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333-217441</w:t>
      </w:r>
    </w:p>
    <w:p>
      <w:pPr>
        <w:spacing w:after="0" w:line="141" w:lineRule="exact"/>
        <w:rPr>
          <w:sz w:val="24"/>
          <w:szCs w:val="24"/>
          <w:color w:val="auto"/>
        </w:rPr>
      </w:pPr>
    </w:p>
    <w:p>
      <w:pPr>
        <w:ind w:right="640"/>
        <w:spacing w:after="0" w:line="249" w:lineRule="auto"/>
        <w:rPr>
          <w:sz w:val="20"/>
          <w:szCs w:val="20"/>
          <w:color w:val="auto"/>
        </w:rPr>
      </w:pPr>
      <w:r>
        <w:rPr>
          <w:rFonts w:ascii="Arial" w:cs="Arial" w:eastAsia="Arial" w:hAnsi="Arial"/>
          <w:sz w:val="18"/>
          <w:szCs w:val="18"/>
          <w:b w:val="1"/>
          <w:bCs w:val="1"/>
          <w:color w:val="CC062A"/>
        </w:rPr>
        <w:t>The information in this preliminary prospectus supplement is not complete and may be changed. This preliminary prospectus supplement is not an offer to sell nor does it seek an offer to buy these securities in any jurisdiction where the offer or sale is not permitted.</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CC062A"/>
        </w:rPr>
        <w:t>SUBJECT TO COMPLETION, DATED DECEMBER 4, 2019</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May 4, 2017)</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$80,000,000</w:t>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178" w:lineRule="exact"/>
        <w:rPr>
          <w:sz w:val="24"/>
          <w:szCs w:val="24"/>
          <w:color w:val="auto"/>
        </w:rPr>
      </w:pPr>
    </w:p>
    <w:p>
      <w:pPr>
        <w:ind w:right="280" w:firstLine="456"/>
        <w:spacing w:after="0" w:line="268" w:lineRule="auto"/>
        <w:rPr>
          <w:sz w:val="20"/>
          <w:szCs w:val="20"/>
          <w:color w:val="auto"/>
        </w:rPr>
      </w:pPr>
      <w:r>
        <w:rPr>
          <w:rFonts w:ascii="Arial" w:cs="Arial" w:eastAsia="Arial" w:hAnsi="Arial"/>
          <w:sz w:val="18"/>
          <w:szCs w:val="18"/>
          <w:color w:val="auto"/>
        </w:rPr>
        <w:t>We are offering up to $80,000,000 of shares of our common stock. Assuming a public offering price of $8.05 per share, we would be offering 9,937,888 shares of our common stock in this offering.</w:t>
      </w:r>
    </w:p>
    <w:p>
      <w:pPr>
        <w:spacing w:after="0" w:line="118" w:lineRule="exact"/>
        <w:rPr>
          <w:sz w:val="24"/>
          <w:szCs w:val="24"/>
          <w:color w:val="auto"/>
        </w:rPr>
      </w:pPr>
    </w:p>
    <w:p>
      <w:pPr>
        <w:ind w:right="180" w:firstLine="456"/>
        <w:spacing w:after="0" w:line="268" w:lineRule="auto"/>
        <w:rPr>
          <w:sz w:val="20"/>
          <w:szCs w:val="20"/>
          <w:color w:val="auto"/>
        </w:rPr>
      </w:pPr>
      <w:r>
        <w:rPr>
          <w:rFonts w:ascii="Arial" w:cs="Arial" w:eastAsia="Arial" w:hAnsi="Arial"/>
          <w:sz w:val="18"/>
          <w:szCs w:val="18"/>
          <w:color w:val="auto"/>
        </w:rPr>
        <w:t>Our common stock is listed on The Nasdaq Global Market under the symbol “ARDX.” On December 3, 2019, the last reported sale price of our common stock on The Nasdaq Global Market was $8.05 per share.</w:t>
      </w:r>
    </w:p>
    <w:p>
      <w:pPr>
        <w:spacing w:after="0" w:line="99" w:lineRule="exact"/>
        <w:rPr>
          <w:sz w:val="24"/>
          <w:szCs w:val="24"/>
          <w:color w:val="auto"/>
        </w:rPr>
      </w:pPr>
    </w:p>
    <w:p>
      <w:pPr>
        <w:jc w:val="both"/>
        <w:ind w:right="220" w:firstLine="456"/>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Before making an investment decision, please read the information under the heading “</w:t>
      </w:r>
      <w:hyperlink w:anchor="page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S-7 of this prospectus supplement and in the documents incorporated by reference into this prospectus supplement.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210"/>
        </w:trPr>
        <w:tc>
          <w:tcPr>
            <w:tcW w:w="6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29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386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0" w:type="dxa"/>
            <w:vAlign w:val="bottom"/>
          </w:tcPr>
          <w:p>
            <w:pPr>
              <w:jc w:val="right"/>
              <w:ind w:right="817"/>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86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975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88"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See “Underwriting” for additional disclosure regarding estimated underwriting discounts and commissions and estimated offering expenses.</w:t>
      </w:r>
    </w:p>
    <w:p>
      <w:pPr>
        <w:spacing w:after="0" w:line="181" w:lineRule="exact"/>
        <w:rPr>
          <w:sz w:val="24"/>
          <w:szCs w:val="24"/>
          <w:color w:val="auto"/>
        </w:rPr>
      </w:pPr>
    </w:p>
    <w:p>
      <w:pPr>
        <w:ind w:right="200" w:firstLine="456"/>
        <w:spacing w:after="0" w:line="268" w:lineRule="auto"/>
        <w:rPr>
          <w:sz w:val="20"/>
          <w:szCs w:val="20"/>
          <w:color w:val="auto"/>
        </w:rPr>
      </w:pPr>
      <w:r>
        <w:rPr>
          <w:rFonts w:ascii="Arial" w:cs="Arial" w:eastAsia="Arial" w:hAnsi="Arial"/>
          <w:sz w:val="18"/>
          <w:szCs w:val="18"/>
          <w:color w:val="auto"/>
        </w:rPr>
        <w:t>We intend to grant the underwriters the right to purchase up to $12,000,000 of additional shares of our common stock. The underwriters can exercise this right at any time within 30 days after the date of this prospectus supplement.</w:t>
      </w:r>
    </w:p>
    <w:p>
      <w:pPr>
        <w:spacing w:after="0" w:line="118"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118" w:lineRule="exact"/>
        <w:rPr>
          <w:sz w:val="24"/>
          <w:szCs w:val="24"/>
          <w:color w:val="auto"/>
        </w:rPr>
      </w:pPr>
    </w:p>
    <w:tbl>
      <w:tblPr>
        <w:tblLayout w:type="fixed"/>
        <w:tblInd w:w="460" w:type="dxa"/>
        <w:tblCellMar>
          <w:top w:w="0" w:type="dxa"/>
          <w:left w:w="0" w:type="dxa"/>
          <w:bottom w:w="0" w:type="dxa"/>
          <w:right w:w="0" w:type="dxa"/>
        </w:tblCellMar>
      </w:tblPr>
      <w:tr>
        <w:trPr>
          <w:trHeight w:val="222"/>
        </w:trPr>
        <w:tc>
          <w:tcPr>
            <w:tcW w:w="8560" w:type="dxa"/>
            <w:vAlign w:val="bottom"/>
          </w:tcPr>
          <w:p>
            <w:pPr>
              <w:spacing w:after="0"/>
              <w:rPr>
                <w:sz w:val="20"/>
                <w:szCs w:val="20"/>
                <w:color w:val="auto"/>
              </w:rPr>
            </w:pPr>
            <w:r>
              <w:rPr>
                <w:rFonts w:ascii="Arial" w:cs="Arial" w:eastAsia="Arial" w:hAnsi="Arial"/>
                <w:sz w:val="18"/>
                <w:szCs w:val="18"/>
                <w:color w:val="auto"/>
                <w:w w:val="92"/>
              </w:rPr>
              <w:t>The underwriters expect to deliver the shares of common stock against payment in New York, New York on or about</w:t>
            </w:r>
          </w:p>
        </w:tc>
        <w:tc>
          <w:tcPr>
            <w:tcW w:w="84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136" w:lineRule="exact"/>
        <w:rPr>
          <w:sz w:val="24"/>
          <w:szCs w:val="24"/>
          <w:color w:val="auto"/>
        </w:rPr>
      </w:pPr>
    </w:p>
    <w:p>
      <w:pPr>
        <w:ind w:right="24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Joint Book-Running Managers</w:t>
      </w:r>
    </w:p>
    <w:p>
      <w:pPr>
        <w:sectPr>
          <w:pgSz w:w="11900" w:h="16838" w:orient="portrait"/>
          <w:cols w:equalWidth="0" w:num="1">
            <w:col w:w="11420"/>
          </w:cols>
          <w:pgMar w:left="240" w:top="230" w:right="239" w:bottom="1440" w:gutter="0" w:footer="0" w:header="0"/>
        </w:sectPr>
      </w:pPr>
    </w:p>
    <w:p>
      <w:pPr>
        <w:spacing w:after="0" w:line="36" w:lineRule="exact"/>
        <w:rPr>
          <w:sz w:val="24"/>
          <w:szCs w:val="24"/>
          <w:color w:val="auto"/>
        </w:rPr>
      </w:pPr>
    </w:p>
    <w:p>
      <w:pPr>
        <w:spacing w:after="0"/>
        <w:rPr>
          <w:sz w:val="20"/>
          <w:szCs w:val="20"/>
          <w:color w:val="auto"/>
        </w:rPr>
      </w:pPr>
      <w:r>
        <w:rPr>
          <w:rFonts w:ascii="Arial" w:cs="Arial" w:eastAsia="Arial" w:hAnsi="Arial"/>
          <w:sz w:val="40"/>
          <w:szCs w:val="40"/>
          <w:b w:val="1"/>
          <w:bCs w:val="1"/>
          <w:color w:val="auto"/>
        </w:rPr>
        <w:t>Citigroup</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Cowen</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jc w:val="center"/>
        <w:ind w:right="340"/>
        <w:spacing w:after="0"/>
        <w:rPr>
          <w:sz w:val="20"/>
          <w:szCs w:val="20"/>
          <w:color w:val="auto"/>
        </w:rPr>
      </w:pPr>
      <w:r>
        <w:rPr>
          <w:rFonts w:ascii="Arial" w:cs="Arial" w:eastAsia="Arial" w:hAnsi="Arial"/>
          <w:sz w:val="40"/>
          <w:szCs w:val="40"/>
          <w:b w:val="1"/>
          <w:bCs w:val="1"/>
          <w:color w:val="auto"/>
        </w:rPr>
        <w:t>SVB Leerink</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40"/>
          <w:szCs w:val="40"/>
          <w:b w:val="1"/>
          <w:bCs w:val="1"/>
          <w:color w:val="auto"/>
        </w:rPr>
        <w:t>Piper Jaffray</w:t>
      </w:r>
    </w:p>
    <w:p>
      <w:pPr>
        <w:spacing w:after="0" w:line="200" w:lineRule="exact"/>
        <w:rPr>
          <w:sz w:val="24"/>
          <w:szCs w:val="24"/>
          <w:color w:val="auto"/>
        </w:rPr>
      </w:pPr>
    </w:p>
    <w:p>
      <w:pPr>
        <w:sectPr>
          <w:pgSz w:w="11900" w:h="16838" w:orient="portrait"/>
          <w:cols w:equalWidth="0" w:num="4">
            <w:col w:w="2380" w:space="720"/>
            <w:col w:w="1680" w:space="720"/>
            <w:col w:w="2740" w:space="720"/>
            <w:col w:w="2460"/>
          </w:cols>
          <w:pgMar w:left="240" w:top="230" w:right="239" w:bottom="1440" w:gutter="0" w:footer="0" w:header="0"/>
          <w:type w:val="continuous"/>
        </w:sectPr>
      </w:pPr>
    </w:p>
    <w:p>
      <w:pPr>
        <w:spacing w:after="0" w:line="23" w:lineRule="exact"/>
        <w:rPr>
          <w:sz w:val="24"/>
          <w:szCs w:val="24"/>
          <w:color w:val="auto"/>
        </w:rPr>
      </w:pPr>
    </w:p>
    <w:p>
      <w:pPr>
        <w:spacing w:after="0"/>
        <w:rPr>
          <w:sz w:val="20"/>
          <w:szCs w:val="20"/>
          <w:color w:val="auto"/>
        </w:rPr>
      </w:pPr>
      <w:r>
        <w:rPr>
          <w:rFonts w:ascii="Arial" w:cs="Arial" w:eastAsia="Arial" w:hAnsi="Arial"/>
          <w:sz w:val="15"/>
          <w:szCs w:val="15"/>
          <w:color w:val="auto"/>
        </w:rPr>
        <w:t>Prospectus Supplement dated</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 2019</w:t>
      </w:r>
    </w:p>
    <w:p>
      <w:pPr>
        <w:sectPr>
          <w:pgSz w:w="11900" w:h="16838" w:orient="portrait"/>
          <w:cols w:equalWidth="0" w:num="2">
            <w:col w:w="2280" w:space="720"/>
            <w:col w:w="8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20" w:type="dxa"/>
            <w:vAlign w:val="bottom"/>
            <w:gridSpan w:val="5"/>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0940" w:type="dxa"/>
            <w:vAlign w:val="bottom"/>
            <w:gridSpan w:val="27"/>
          </w:tcPr>
          <w:p>
            <w:pPr>
              <w:spacing w:after="0"/>
              <w:rPr>
                <w:sz w:val="20"/>
                <w:szCs w:val="20"/>
                <w:color w:val="auto"/>
              </w:rPr>
            </w:pPr>
            <w:r>
              <w:rPr>
                <w:rFonts w:ascii="Arial" w:cs="Arial" w:eastAsia="Arial" w:hAnsi="Arial"/>
                <w:sz w:val="18"/>
                <w:szCs w:val="18"/>
                <w:b w:val="1"/>
                <w:bCs w:val="1"/>
                <w:color w:val="auto"/>
              </w:rPr>
              <w:t>Prospectus Supplement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360" w:type="dxa"/>
            <w:vAlign w:val="bottom"/>
            <w:gridSpan w:val="20"/>
            <w:vMerge w:val="restart"/>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ABOUT THIS PROSPECTUS SUPPLEMENT</w:t>
              </w:r>
            </w:hyperlink>
          </w:p>
        </w:tc>
        <w:tc>
          <w:tcPr>
            <w:tcW w:w="7580" w:type="dxa"/>
            <w:vAlign w:val="bottom"/>
            <w:gridSpan w:val="7"/>
            <w:vMerge w:val="restart"/>
          </w:tcPr>
          <w:p>
            <w:pPr>
              <w:spacing w:after="0"/>
              <w:rPr>
                <w:sz w:val="24"/>
                <w:szCs w:val="24"/>
                <w:color w:val="auto"/>
              </w:rPr>
            </w:pP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360" w:type="dxa"/>
            <w:vAlign w:val="bottom"/>
            <w:tcBorders>
              <w:bottom w:val="single" w:sz="8" w:color="0000EE"/>
            </w:tcBorders>
            <w:gridSpan w:val="20"/>
            <w:vMerge w:val="continue"/>
          </w:tcPr>
          <w:p>
            <w:pPr>
              <w:spacing w:after="0"/>
              <w:rPr>
                <w:sz w:val="13"/>
                <w:szCs w:val="13"/>
                <w:color w:val="auto"/>
              </w:rPr>
            </w:pPr>
          </w:p>
        </w:tc>
        <w:tc>
          <w:tcPr>
            <w:tcW w:w="7580" w:type="dxa"/>
            <w:vAlign w:val="bottom"/>
            <w:gridSpan w:val="7"/>
            <w:vMerge w:val="continue"/>
          </w:tcPr>
          <w:p>
            <w:pPr>
              <w:spacing w:after="0"/>
              <w:rPr>
                <w:sz w:val="13"/>
                <w:szCs w:val="13"/>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60" w:type="dxa"/>
            <w:vAlign w:val="bottom"/>
            <w:tcBorders>
              <w:bottom w:val="single" w:sz="8" w:color="0000EE"/>
            </w:tcBorders>
            <w:gridSpan w:val="19"/>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MARKET, INDUSTRY AND OTHER DATA</w:t>
              </w:r>
            </w:hyperlink>
          </w:p>
        </w:tc>
        <w:tc>
          <w:tcPr>
            <w:tcW w:w="7680" w:type="dxa"/>
            <w:vAlign w:val="bottom"/>
            <w:gridSpan w:val="8"/>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PROSPECTUS SUPPLEMENT SUMMARY</w:t>
              </w:r>
            </w:hyperlink>
          </w:p>
        </w:tc>
        <w:tc>
          <w:tcPr>
            <w:tcW w:w="7720" w:type="dxa"/>
            <w:vAlign w:val="bottom"/>
            <w:gridSpan w:val="9"/>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THE OFFERING</w:t>
              </w:r>
            </w:hyperlink>
          </w:p>
        </w:tc>
        <w:tc>
          <w:tcPr>
            <w:tcW w:w="9680" w:type="dxa"/>
            <w:vAlign w:val="bottom"/>
            <w:gridSpan w:val="2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SPECIAL NOTE REGARDING FORWARD-LOOKING STATEMENTS</w:t>
              </w:r>
            </w:hyperlink>
          </w:p>
        </w:tc>
        <w:tc>
          <w:tcPr>
            <w:tcW w:w="5720" w:type="dxa"/>
            <w:vAlign w:val="bottom"/>
            <w:gridSpan w:val="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9400" w:type="dxa"/>
            <w:vAlign w:val="bottom"/>
            <w:gridSpan w:val="19"/>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DILUTION</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MARKET FOR COMMON STOCK</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DIVIDEND POLICY</w:t>
              </w:r>
            </w:hyperlink>
          </w:p>
        </w:tc>
        <w:tc>
          <w:tcPr>
            <w:tcW w:w="8340" w:type="dxa"/>
            <w:vAlign w:val="bottom"/>
            <w:gridSpan w:val="1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MATERIAL U.S. FEDERAL INCOME TAX CONSEQUENCES TO NON-U.S. HOLDERS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S-18</w:t>
            </w:r>
          </w:p>
        </w:tc>
        <w:tc>
          <w:tcPr>
            <w:tcW w:w="0" w:type="dxa"/>
            <w:vAlign w:val="bottom"/>
          </w:tcPr>
          <w:p>
            <w:pPr>
              <w:spacing w:after="0"/>
              <w:rPr>
                <w:sz w:val="1"/>
                <w:szCs w:val="1"/>
                <w:color w:val="auto"/>
              </w:rPr>
            </w:pPr>
          </w:p>
        </w:tc>
      </w:tr>
      <w:tr>
        <w:trPr>
          <w:trHeight w:val="196"/>
        </w:trPr>
        <w:tc>
          <w:tcPr>
            <w:tcW w:w="65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UNDERWRITING</w:t>
              </w:r>
            </w:hyperlink>
          </w:p>
        </w:tc>
        <w:tc>
          <w:tcPr>
            <w:tcW w:w="4380" w:type="dxa"/>
            <w:vAlign w:val="bottom"/>
            <w:gridSpan w:val="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MATTERS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S-30</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9520" w:type="dxa"/>
            <w:vAlign w:val="bottom"/>
            <w:gridSpan w:val="21"/>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S-30</w:t>
            </w:r>
          </w:p>
        </w:tc>
        <w:tc>
          <w:tcPr>
            <w:tcW w:w="0" w:type="dxa"/>
            <w:vAlign w:val="bottom"/>
          </w:tcPr>
          <w:p>
            <w:pPr>
              <w:spacing w:after="0"/>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S-30</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INCORPORATION BY REFERENCE</w:t>
              </w:r>
            </w:hyperlink>
          </w:p>
        </w:tc>
        <w:tc>
          <w:tcPr>
            <w:tcW w:w="960" w:type="dxa"/>
            <w:vAlign w:val="bottom"/>
            <w:tcBorders>
              <w:top w:val="single" w:sz="8" w:color="0000EE"/>
            </w:tcBorders>
            <w:gridSpan w:val="7"/>
          </w:tcPr>
          <w:p>
            <w:pPr>
              <w:spacing w:after="0"/>
              <w:rPr>
                <w:sz w:val="17"/>
                <w:szCs w:val="17"/>
                <w:color w:val="auto"/>
              </w:rPr>
            </w:pPr>
          </w:p>
        </w:tc>
        <w:tc>
          <w:tcPr>
            <w:tcW w:w="7220" w:type="dxa"/>
            <w:vAlign w:val="bottom"/>
            <w:gridSpan w:val="5"/>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S-30</w:t>
            </w:r>
          </w:p>
        </w:tc>
        <w:tc>
          <w:tcPr>
            <w:tcW w:w="0" w:type="dxa"/>
            <w:vAlign w:val="bottom"/>
          </w:tcPr>
          <w:p>
            <w:pPr>
              <w:spacing w:after="0"/>
              <w:rPr>
                <w:sz w:val="1"/>
                <w:szCs w:val="1"/>
                <w:color w:val="auto"/>
              </w:rPr>
            </w:pPr>
          </w:p>
        </w:tc>
      </w:tr>
      <w:tr>
        <w:trPr>
          <w:trHeight w:val="451"/>
        </w:trPr>
        <w:tc>
          <w:tcPr>
            <w:tcW w:w="10940" w:type="dxa"/>
            <w:vAlign w:val="bottom"/>
            <w:gridSpan w:val="27"/>
          </w:tcPr>
          <w:p>
            <w:pPr>
              <w:spacing w:after="0"/>
              <w:rPr>
                <w:sz w:val="20"/>
                <w:szCs w:val="20"/>
                <w:color w:val="auto"/>
              </w:rPr>
            </w:pPr>
            <w:r>
              <w:rPr>
                <w:rFonts w:ascii="Arial" w:cs="Arial" w:eastAsia="Arial" w:hAnsi="Arial"/>
                <w:sz w:val="18"/>
                <w:szCs w:val="18"/>
                <w:b w:val="1"/>
                <w:bCs w:val="1"/>
                <w:color w:val="auto"/>
              </w:rPr>
              <w:t>Prospectus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0940" w:type="dxa"/>
            <w:vAlign w:val="bottom"/>
            <w:gridSpan w:val="2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40" w:type="dxa"/>
            <w:vAlign w:val="bottom"/>
            <w:tcBorders>
              <w:right w:val="single" w:sz="8" w:color="0000EE"/>
            </w:tcBorders>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WHERE YOU CAN FIND MORE INFORMATION; INCORPORATION BY REFERENCE</w:t>
              </w:r>
            </w:hyperlink>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8"/>
          </w:tcPr>
          <w:p>
            <w:pPr>
              <w:spacing w:after="0" w:line="196"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ABOUT ARDELYX</w:t>
              </w:r>
            </w:hyperlink>
          </w:p>
        </w:tc>
        <w:tc>
          <w:tcPr>
            <w:tcW w:w="9400" w:type="dxa"/>
            <w:vAlign w:val="bottom"/>
            <w:gridSpan w:val="1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Borders>
              <w:right w:val="single" w:sz="8" w:color="0000EE"/>
            </w:tcBorders>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RATIO OF EARNINGS TO FIXED CHARGES AND PREFERENCE DIVIDENDS</w:t>
              </w:r>
            </w:hyperlink>
          </w:p>
        </w:tc>
        <w:tc>
          <w:tcPr>
            <w:tcW w:w="494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CAPITAL STOCK</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6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4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DESCRIPTION OF DEBT SECURITIES</w:t>
              </w:r>
            </w:hyperlink>
          </w:p>
        </w:tc>
        <w:tc>
          <w:tcPr>
            <w:tcW w:w="798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DESCRIPTION OF WARRANTS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6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74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DESCRIPTION OF PURCHASE CONTRACTS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DESCRIPTION OF UNITS</w:t>
              </w:r>
            </w:hyperlink>
          </w:p>
        </w:tc>
        <w:tc>
          <w:tcPr>
            <w:tcW w:w="1480" w:type="dxa"/>
            <w:vAlign w:val="bottom"/>
            <w:tcBorders>
              <w:top w:val="single" w:sz="8" w:color="0000EE"/>
            </w:tcBorders>
            <w:gridSpan w:val="11"/>
          </w:tcPr>
          <w:p>
            <w:pPr>
              <w:spacing w:after="0"/>
              <w:rPr>
                <w:sz w:val="17"/>
                <w:szCs w:val="17"/>
                <w:color w:val="auto"/>
              </w:rPr>
            </w:pPr>
          </w:p>
        </w:tc>
        <w:tc>
          <w:tcPr>
            <w:tcW w:w="748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6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60">
              <w:r>
                <w:rPr>
                  <w:rFonts w:ascii="Arial" w:cs="Arial" w:eastAsia="Arial" w:hAnsi="Arial"/>
                  <w:sz w:val="18"/>
                  <w:szCs w:val="18"/>
                  <w:color w:val="0000EE"/>
                  <w:w w:val="93"/>
                </w:rPr>
                <w:t>GLOBAL SECURITIES</w:t>
              </w:r>
            </w:hyperlink>
          </w:p>
        </w:tc>
        <w:tc>
          <w:tcPr>
            <w:tcW w:w="9180" w:type="dxa"/>
            <w:vAlign w:val="bottom"/>
            <w:gridSpan w:val="1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PLAN OF DISTRIBUTION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LEGAL MATTERS</w:t>
              </w:r>
            </w:hyperlink>
          </w:p>
        </w:tc>
        <w:tc>
          <w:tcPr>
            <w:tcW w:w="8940" w:type="dxa"/>
            <w:vAlign w:val="bottom"/>
            <w:gridSpan w:val="1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9520" w:type="dxa"/>
            <w:vAlign w:val="bottom"/>
            <w:gridSpan w:val="2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provide information to you about this offering of shares of our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dates.</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not authorized anyone to provide you with any information or to make any representation, other than those contained or incorporated by reference in this prospectus supplement or in any free writing prospectus we have prepared. We take no responsibility for, and provide no assurance as to the reliability of, any other information that others may give you. Neither we or the underwriters are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supplement entitled “Where You Can Find More Information” and “Information Incorporated by Reference.”</w:t>
      </w:r>
    </w:p>
    <w:p>
      <w:pPr>
        <w:spacing w:after="0" w:line="10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offering to sell, and seeking offers to buy, shares of our common stock only in jurisdictions where offers and sales are permitted. The distribution of this prospectus and the offering of our common stock in certain jurisdictions may be restricted by law. Persons outside the United States who come into possession of this prospectus must inform themselves about, and observe any restrictions relating to, the offering of our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0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When we refer to “Ardelyx,” “we,” “our,” “us” and the “Company” in this prospectus, we mean Ardelyx, Inc., unless otherwise specified. When we refer to “you,” we mean the holders of common stock of the Company.</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Ardelyx</w:t>
      </w:r>
      <w:r>
        <w:rPr>
          <w:rFonts w:ascii="Arial" w:cs="Arial" w:eastAsia="Arial" w:hAnsi="Arial"/>
          <w:sz w:val="11"/>
          <w:szCs w:val="11"/>
          <w:color w:val="auto"/>
        </w:rPr>
        <w:t>®</w:t>
      </w:r>
      <w:r>
        <w:rPr>
          <w:rFonts w:ascii="Arial" w:cs="Arial" w:eastAsia="Arial" w:hAnsi="Arial"/>
          <w:sz w:val="18"/>
          <w:szCs w:val="18"/>
          <w:color w:val="auto"/>
        </w:rPr>
        <w:t>, IBSRELA</w:t>
      </w:r>
      <w:r>
        <w:rPr>
          <w:rFonts w:ascii="Arial" w:cs="Arial" w:eastAsia="Arial" w:hAnsi="Arial"/>
          <w:sz w:val="11"/>
          <w:szCs w:val="11"/>
          <w:color w:val="auto"/>
        </w:rPr>
        <w:t>®</w:t>
      </w:r>
      <w:r>
        <w:rPr>
          <w:rFonts w:ascii="Arial" w:cs="Arial" w:eastAsia="Arial" w:hAnsi="Arial"/>
          <w:sz w:val="18"/>
          <w:szCs w:val="18"/>
          <w:color w:val="auto"/>
        </w:rPr>
        <w:t xml:space="preserve"> and our logo are some of our trademarks used in this prospectus. This prospectus also includes trademarks, tradenames, and service marks that are the property of other organizations. Solely for convenience, our trademarks and tradenames referred to in this prospectus supplement appear without the </w:t>
      </w:r>
      <w:r>
        <w:rPr>
          <w:rFonts w:ascii="Arial" w:cs="Arial" w:eastAsia="Arial" w:hAnsi="Arial"/>
          <w:sz w:val="11"/>
          <w:szCs w:val="11"/>
          <w:color w:val="auto"/>
        </w:rPr>
        <w:t>®</w:t>
      </w:r>
      <w:r>
        <w:rPr>
          <w:rFonts w:ascii="Arial" w:cs="Arial" w:eastAsia="Arial" w:hAnsi="Arial"/>
          <w:sz w:val="18"/>
          <w:szCs w:val="18"/>
          <w:color w:val="auto"/>
        </w:rPr>
        <w:t xml:space="preserve"> and </w:t>
      </w:r>
      <w:r>
        <w:rPr>
          <w:rFonts w:ascii="Arial" w:cs="Arial" w:eastAsia="Arial" w:hAnsi="Arial"/>
          <w:sz w:val="11"/>
          <w:szCs w:val="11"/>
          <w:color w:val="auto"/>
        </w:rPr>
        <w:t>™</w:t>
      </w:r>
      <w:r>
        <w:rPr>
          <w:rFonts w:ascii="Arial" w:cs="Arial" w:eastAsia="Arial" w:hAnsi="Arial"/>
          <w:sz w:val="18"/>
          <w:szCs w:val="18"/>
          <w:color w:val="auto"/>
        </w:rPr>
        <w:t xml:space="preserve"> symbol, but those references are not intended to indicate, in any way, that we will not assert, to the fullest extent under applicable law, our rights, or the right of the applicable licensor to these trademarks and tradenames.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MARKET, INDUSTRY AND OTHER DATA</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including the information incorporated by reference, contains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003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50038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PROSPECTUS SUPPLEMENT SUMMARY</w:t>
      </w:r>
    </w:p>
    <w:p>
      <w:pPr>
        <w:spacing w:after="0" w:line="164"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i w:val="1"/>
          <w:iCs w:val="1"/>
          <w:color w:val="auto"/>
        </w:rPr>
        <w:t>This summary provides a general overview of selected information and does not contain all of the information you should consider before buying our common stock. Therefore, you should read the entire prospectus and any free writing prospectus that we have authorized for use in connection with this offering carefully, including the information incorporated by reference, before deciding to invest in our common stock. Investors should carefully consider the information set forth under “Risk Factors” beginning on page S-7 and the “Risk Factors” section, as well as our audited financial statements and related notes thereto, included in our Annual Report on Form 10-K for the year ended December 31, 2018 as well as our Quarterly Report on Form 10-Q for the quarterly period ended September 30, 2019 and any subsequent Quarterly Report on Form 10-Q incorporated by reference herein.</w:t>
      </w:r>
    </w:p>
    <w:p>
      <w:pPr>
        <w:spacing w:after="0" w:line="1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Ardelyx, Inc.</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are a biopharmaceutical company focused on developing first-in-class medicines to improve treatment choices for people with cardiorenal diseases. This includes patients with chronic kidney disease, or CKD, suffering from elevated serum phosphorus, or hyperphosphatemia; and patients with CKD and/or heart failure patients with elevated serum potassium, or hyperkalemia.</w:t>
      </w:r>
    </w:p>
    <w:p>
      <w:pPr>
        <w:spacing w:after="0" w:line="127"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Our portfolio is led by the development of tenapanor, a first-in-class inhibitor of NHE3. On December 3, 2019, we announced positive results from our PHREEDOM trial, a Phase 3 clinical trial evaluating tenapanor as a monotherapy treatment for hyperphosphatemia in patients with CKD who are on dialysis. The PHREEDOM trial met its primary endpoint demonstrating a statistically significant difference in the change in least square mean serum phosphorus (-1.4 mg/dL, p&lt;0.0001), as compared to placebo, during the randomized withdrawal period. During the first 26-week treatment period, 77% of tenapanor-treated patients in the intent-to-treat population (n=408) had a decrease in serum phosphorus, with those patients experiencing a mean reduction from baseline of 2.0 mg/dL. The PHREEDOM monotherapy trial followed a successful first Phase 3 monotherapy trial completed in 2017, which achieved statistical significance for the primary endpoint. With the positive results from the PHREEDOM study, we expect to file a New Drug Application, or NDA, for tenapanor for the treatment of hyperphosphatemia in CKD patients on dialysis in mid-2020. Tenapanor, if successfully developed and approved, would be the first therapy for phosphate management that is not a phosphate binder.</w:t>
      </w:r>
    </w:p>
    <w:p>
      <w:pPr>
        <w:spacing w:after="0" w:line="106"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In September 2019, we reported positive results from the AMPLIFY trial, a Phase 3 clinical trial evaluating tenapanor’s efficacy in combination with phosphate binders. Based on results from the AMPLIFY trial, tenapanor is the only phosphate lowering therapy that has been shown to be effective at lowering serum phosphorus in combination with phosphate binders in a clinical trial. We are also conducting a long-term, open-label Phase 4 study, called NORMALIZE, to evaluate the ability of tenapanor alone or in combination with sevelamer to achieve serum phosphorus concentrations towards the normal range (&lt;4.6 mg/dL), while minimizing medication burden, in patients with CKD who are on dialysis. Of the 73 patients thus far treated for more than one month, 42% have achieved normal serum phosphorus of less than 4.6 mg/dL, and of those, 58% have accomplished this with either tenapanor alone or in combination with only one to three sevelamer tablets per day.</w:t>
      </w:r>
    </w:p>
    <w:p>
      <w:pPr>
        <w:spacing w:after="0" w:line="105" w:lineRule="exact"/>
        <w:rPr>
          <w:sz w:val="20"/>
          <w:szCs w:val="20"/>
          <w:color w:val="auto"/>
        </w:rPr>
      </w:pPr>
    </w:p>
    <w:p>
      <w:pPr>
        <w:jc w:val="both"/>
        <w:ind w:left="200" w:firstLine="441"/>
        <w:spacing w:after="0" w:line="306" w:lineRule="auto"/>
        <w:rPr>
          <w:sz w:val="20"/>
          <w:szCs w:val="20"/>
          <w:color w:val="auto"/>
        </w:rPr>
      </w:pPr>
      <w:r>
        <w:rPr>
          <w:rFonts w:ascii="Arial" w:cs="Arial" w:eastAsia="Arial" w:hAnsi="Arial"/>
          <w:sz w:val="16"/>
          <w:szCs w:val="16"/>
          <w:color w:val="auto"/>
        </w:rPr>
        <w:t>We are also advancing our small molecule potassium secretagogue program, RDX013, for the potential treatment of hyperkalemia. Hyperkalemia is a common problem in patients with heart and kidney disease, particularly in patients taking common blood pressure medications known as RAAS inhibitors, which inhibit the renin-angiotensin-aldosterone system. Similar to our non-binder approach to lowering hyperphosphatemia with</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60"/>
          </w:cols>
          <w:pgMar w:left="24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1686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1686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spacing w:after="0" w:line="268" w:lineRule="auto"/>
        <w:rPr>
          <w:sz w:val="20"/>
          <w:szCs w:val="20"/>
          <w:color w:val="auto"/>
        </w:rPr>
      </w:pPr>
      <w:r>
        <w:rPr>
          <w:rFonts w:ascii="Arial" w:cs="Arial" w:eastAsia="Arial" w:hAnsi="Arial"/>
          <w:sz w:val="18"/>
          <w:szCs w:val="18"/>
          <w:color w:val="auto"/>
        </w:rPr>
        <w:t>tenapanor, the goal of our RDX013 program is to lower elevated potassium with a much lower pill burden than potassium binders and to potentially provide advantages as a stand-alone agent or in combination with potassium binders.</w:t>
      </w:r>
    </w:p>
    <w:p>
      <w:pPr>
        <w:spacing w:after="0" w:line="11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to the development of tenapanor for the treatment of hyperphosphatemia for CKD patients on dialysis, we have developed tenapanor for the treatment of patients with irritable bowel syndrome with constipation, or IBS-C. On September 12, 2019, the FDA approved IBSRELA (tenapanor), a 50 mg, twice daily oral pill for the treatment of IBS-C in adults. Although we received FDA approval for our NDA for tenapanor for the treatment of IBS-C in September 2019, we do not currently expect to commercialize tenapanor for IBS-C ourselves in the United States, and have not entered into a collaboration partnership for such commercialization.</w:t>
      </w:r>
    </w:p>
    <w:p>
      <w:pPr>
        <w:spacing w:after="0" w:line="129" w:lineRule="exact"/>
        <w:rPr>
          <w:sz w:val="20"/>
          <w:szCs w:val="20"/>
          <w:color w:val="auto"/>
        </w:rPr>
      </w:pPr>
    </w:p>
    <w:p>
      <w:pPr>
        <w:ind w:left="200" w:right="160" w:firstLine="441"/>
        <w:spacing w:after="0" w:line="332" w:lineRule="auto"/>
        <w:rPr>
          <w:sz w:val="20"/>
          <w:szCs w:val="20"/>
          <w:color w:val="auto"/>
        </w:rPr>
      </w:pPr>
      <w:r>
        <w:rPr>
          <w:rFonts w:ascii="Arial" w:cs="Arial" w:eastAsia="Arial" w:hAnsi="Arial"/>
          <w:sz w:val="16"/>
          <w:szCs w:val="16"/>
          <w:color w:val="auto"/>
        </w:rPr>
        <w:t>We have developed a proprietary drug discovery and design platform to discover targets found in the GI tract that regulate processes in the body and design products candidates that act upon those targets to take advantage of the gut’s ability to communicate with other organs.</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83" w:lineRule="exact"/>
        <w:rPr>
          <w:sz w:val="20"/>
          <w:szCs w:val="20"/>
          <w:color w:val="auto"/>
        </w:rPr>
      </w:pPr>
    </w:p>
    <w:p>
      <w:pPr>
        <w:ind w:left="200" w:right="40" w:firstLine="441"/>
        <w:spacing w:after="0" w:line="335" w:lineRule="auto"/>
        <w:rPr>
          <w:sz w:val="20"/>
          <w:szCs w:val="20"/>
          <w:color w:val="auto"/>
        </w:rPr>
      </w:pPr>
      <w:r>
        <w:rPr>
          <w:rFonts w:ascii="Arial" w:cs="Arial" w:eastAsia="Arial" w:hAnsi="Arial"/>
          <w:sz w:val="15"/>
          <w:szCs w:val="15"/>
          <w:color w:val="auto"/>
        </w:rPr>
        <w:t>We were founded in October 2007 as a Delaware corporation under the name Nteryx, Inc. Our principal executive offices are located at 34175 Ardenwood Blvd., Suite 200, Fremont, CA 94555, and our telephone number is (510) 745-1700. Our website address is www.ardelyx.com. The information on, or that can be accessed through, our website is not part of this prospectus. We have included our website address as an inactive textual reference only.</w:t>
      </w:r>
    </w:p>
    <w:p>
      <w:pPr>
        <w:spacing w:after="0" w:line="75"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and a “smaller reporting company,” as defined in the Securities and Exchange Act of 1934, as amended, or the Exchange Act. We will remain an emerging growth company until December 31, 2019, and a smaller reporting company until the last day of the fiscal year in which (1) the market value of our common stock held by non-affiliates exceeds</w:t>
      </w:r>
    </w:p>
    <w:p>
      <w:pPr>
        <w:spacing w:after="0" w:line="1" w:lineRule="exact"/>
        <w:rPr>
          <w:sz w:val="20"/>
          <w:szCs w:val="20"/>
          <w:color w:val="auto"/>
        </w:rPr>
      </w:pPr>
    </w:p>
    <w:p>
      <w:pPr>
        <w:ind w:left="200" w:right="240"/>
        <w:spacing w:after="0" w:line="255" w:lineRule="auto"/>
        <w:rPr>
          <w:sz w:val="20"/>
          <w:szCs w:val="20"/>
          <w:color w:val="auto"/>
        </w:rPr>
      </w:pPr>
      <w:r>
        <w:rPr>
          <w:rFonts w:ascii="Arial" w:cs="Arial" w:eastAsia="Arial" w:hAnsi="Arial"/>
          <w:sz w:val="18"/>
          <w:szCs w:val="18"/>
          <w:color w:val="auto"/>
        </w:rPr>
        <w:t>$250 million as of the end of that year’s second fiscal quarter, and our annual revenues exceed $100 million during such fiscal year, or (2) our annual revenues do not exceed $100 million during such fiscal year, and the market value of our common stock held by non-affiliates exceeds $700 million as of the end of that year’s second fiscal quarter.</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346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5346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3860" w:type="dxa"/>
            <w:vAlign w:val="bottom"/>
          </w:tcPr>
          <w:p>
            <w:pPr>
              <w:spacing w:after="0"/>
              <w:rPr>
                <w:sz w:val="19"/>
                <w:szCs w:val="19"/>
                <w:color w:val="auto"/>
              </w:rPr>
            </w:pPr>
          </w:p>
        </w:tc>
        <w:tc>
          <w:tcPr>
            <w:tcW w:w="2460" w:type="dxa"/>
            <w:vAlign w:val="bottom"/>
            <w:gridSpan w:val="2"/>
          </w:tcPr>
          <w:p>
            <w:pPr>
              <w:ind w:left="980"/>
              <w:spacing w:after="0"/>
              <w:rPr>
                <w:sz w:val="20"/>
                <w:szCs w:val="20"/>
                <w:color w:val="auto"/>
              </w:rPr>
            </w:pPr>
            <w:r>
              <w:rPr>
                <w:rFonts w:ascii="Arial" w:cs="Arial" w:eastAsia="Arial" w:hAnsi="Arial"/>
                <w:sz w:val="18"/>
                <w:szCs w:val="18"/>
                <w:b w:val="1"/>
                <w:bCs w:val="1"/>
                <w:color w:val="auto"/>
              </w:rPr>
              <w:t>THE OFFERING</w:t>
            </w:r>
          </w:p>
        </w:tc>
        <w:tc>
          <w:tcPr>
            <w:tcW w:w="4700" w:type="dxa"/>
            <w:vAlign w:val="bottom"/>
          </w:tcPr>
          <w:p>
            <w:pPr>
              <w:spacing w:after="0"/>
              <w:rPr>
                <w:sz w:val="19"/>
                <w:szCs w:val="19"/>
                <w:color w:val="auto"/>
              </w:rPr>
            </w:pPr>
          </w:p>
        </w:tc>
      </w:tr>
      <w:tr>
        <w:trPr>
          <w:trHeight w:val="365"/>
        </w:trPr>
        <w:tc>
          <w:tcPr>
            <w:tcW w:w="3860" w:type="dxa"/>
            <w:vAlign w:val="bottom"/>
          </w:tcPr>
          <w:p>
            <w:pPr>
              <w:spacing w:after="0"/>
              <w:rPr>
                <w:sz w:val="20"/>
                <w:szCs w:val="20"/>
                <w:color w:val="auto"/>
              </w:rPr>
            </w:pPr>
            <w:r>
              <w:rPr>
                <w:rFonts w:ascii="Arial" w:cs="Arial" w:eastAsia="Arial" w:hAnsi="Arial"/>
                <w:sz w:val="18"/>
                <w:szCs w:val="18"/>
                <w:color w:val="auto"/>
              </w:rPr>
              <w:t>Issuer</w:t>
            </w:r>
          </w:p>
        </w:tc>
        <w:tc>
          <w:tcPr>
            <w:tcW w:w="2460" w:type="dxa"/>
            <w:vAlign w:val="bottom"/>
            <w:gridSpan w:val="2"/>
          </w:tcPr>
          <w:p>
            <w:pPr>
              <w:ind w:left="320"/>
              <w:spacing w:after="0"/>
              <w:rPr>
                <w:sz w:val="20"/>
                <w:szCs w:val="20"/>
                <w:color w:val="auto"/>
              </w:rPr>
            </w:pPr>
            <w:r>
              <w:rPr>
                <w:rFonts w:ascii="Arial" w:cs="Arial" w:eastAsia="Arial" w:hAnsi="Arial"/>
                <w:sz w:val="18"/>
                <w:szCs w:val="18"/>
                <w:color w:val="auto"/>
              </w:rPr>
              <w:t>Ardelyx, Inc.</w:t>
            </w:r>
          </w:p>
        </w:tc>
        <w:tc>
          <w:tcPr>
            <w:tcW w:w="4700" w:type="dxa"/>
            <w:vAlign w:val="bottom"/>
          </w:tcPr>
          <w:p>
            <w:pPr>
              <w:spacing w:after="0"/>
              <w:rPr>
                <w:sz w:val="24"/>
                <w:szCs w:val="24"/>
                <w:color w:val="auto"/>
              </w:rPr>
            </w:pPr>
          </w:p>
        </w:tc>
      </w:tr>
      <w:tr>
        <w:trPr>
          <w:trHeight w:val="378"/>
        </w:trPr>
        <w:tc>
          <w:tcPr>
            <w:tcW w:w="3860" w:type="dxa"/>
            <w:vAlign w:val="bottom"/>
          </w:tcPr>
          <w:p>
            <w:pPr>
              <w:spacing w:after="0"/>
              <w:rPr>
                <w:sz w:val="20"/>
                <w:szCs w:val="20"/>
                <w:color w:val="auto"/>
              </w:rPr>
            </w:pPr>
            <w:r>
              <w:rPr>
                <w:rFonts w:ascii="Arial" w:cs="Arial" w:eastAsia="Arial" w:hAnsi="Arial"/>
                <w:sz w:val="18"/>
                <w:szCs w:val="18"/>
                <w:color w:val="auto"/>
              </w:rPr>
              <w:t>Common stock we are offering</w:t>
            </w:r>
          </w:p>
        </w:tc>
        <w:tc>
          <w:tcPr>
            <w:tcW w:w="1140" w:type="dxa"/>
            <w:vAlign w:val="bottom"/>
          </w:tcPr>
          <w:p>
            <w:pPr>
              <w:spacing w:after="0"/>
              <w:rPr>
                <w:sz w:val="24"/>
                <w:szCs w:val="24"/>
                <w:color w:val="auto"/>
              </w:rPr>
            </w:pPr>
          </w:p>
        </w:tc>
        <w:tc>
          <w:tcPr>
            <w:tcW w:w="6020" w:type="dxa"/>
            <w:vAlign w:val="bottom"/>
            <w:gridSpan w:val="2"/>
          </w:tcPr>
          <w:p>
            <w:pPr>
              <w:ind w:left="60"/>
              <w:spacing w:after="0"/>
              <w:rPr>
                <w:sz w:val="20"/>
                <w:szCs w:val="20"/>
                <w:color w:val="auto"/>
              </w:rPr>
            </w:pPr>
            <w:r>
              <w:rPr>
                <w:rFonts w:ascii="Arial" w:cs="Arial" w:eastAsia="Arial" w:hAnsi="Arial"/>
                <w:sz w:val="18"/>
                <w:szCs w:val="18"/>
                <w:color w:val="auto"/>
              </w:rPr>
              <w:t>shares of our common stock.</w:t>
            </w:r>
          </w:p>
        </w:tc>
      </w:tr>
      <w:tr>
        <w:trPr>
          <w:trHeight w:val="372"/>
        </w:trPr>
        <w:tc>
          <w:tcPr>
            <w:tcW w:w="3860" w:type="dxa"/>
            <w:vAlign w:val="bottom"/>
          </w:tcPr>
          <w:p>
            <w:pPr>
              <w:spacing w:after="0"/>
              <w:rPr>
                <w:sz w:val="20"/>
                <w:szCs w:val="20"/>
                <w:color w:val="auto"/>
              </w:rPr>
            </w:pPr>
            <w:r>
              <w:rPr>
                <w:rFonts w:ascii="Arial" w:cs="Arial" w:eastAsia="Arial" w:hAnsi="Arial"/>
                <w:sz w:val="18"/>
                <w:szCs w:val="18"/>
                <w:color w:val="auto"/>
                <w:w w:val="96"/>
              </w:rPr>
              <w:t>Common stock to be outstanding after the offering</w:t>
            </w:r>
          </w:p>
        </w:tc>
        <w:tc>
          <w:tcPr>
            <w:tcW w:w="1140" w:type="dxa"/>
            <w:vAlign w:val="bottom"/>
          </w:tcPr>
          <w:p>
            <w:pPr>
              <w:spacing w:after="0"/>
              <w:rPr>
                <w:sz w:val="24"/>
                <w:szCs w:val="24"/>
                <w:color w:val="auto"/>
              </w:rPr>
            </w:pPr>
          </w:p>
        </w:tc>
        <w:tc>
          <w:tcPr>
            <w:tcW w:w="1320" w:type="dxa"/>
            <w:vAlign w:val="bottom"/>
          </w:tcPr>
          <w:p>
            <w:pPr>
              <w:ind w:left="60"/>
              <w:spacing w:after="0"/>
              <w:rPr>
                <w:sz w:val="20"/>
                <w:szCs w:val="20"/>
                <w:color w:val="auto"/>
              </w:rPr>
            </w:pPr>
            <w:r>
              <w:rPr>
                <w:rFonts w:ascii="Arial" w:cs="Arial" w:eastAsia="Arial" w:hAnsi="Arial"/>
                <w:sz w:val="18"/>
                <w:szCs w:val="18"/>
                <w:color w:val="auto"/>
              </w:rPr>
              <w:t>shares (or</w:t>
            </w:r>
          </w:p>
        </w:tc>
        <w:tc>
          <w:tcPr>
            <w:tcW w:w="4700" w:type="dxa"/>
            <w:vAlign w:val="bottom"/>
          </w:tcPr>
          <w:p>
            <w:pPr>
              <w:ind w:left="140"/>
              <w:spacing w:after="0"/>
              <w:rPr>
                <w:sz w:val="20"/>
                <w:szCs w:val="20"/>
                <w:color w:val="auto"/>
              </w:rPr>
            </w:pPr>
            <w:r>
              <w:rPr>
                <w:rFonts w:ascii="Arial" w:cs="Arial" w:eastAsia="Arial" w:hAnsi="Arial"/>
                <w:sz w:val="18"/>
                <w:szCs w:val="18"/>
                <w:color w:val="auto"/>
              </w:rPr>
              <w:t>shares if the underwriters exercise their option to</w:t>
            </w:r>
          </w:p>
        </w:tc>
      </w:tr>
      <w:tr>
        <w:trPr>
          <w:trHeight w:val="222"/>
        </w:trPr>
        <w:tc>
          <w:tcPr>
            <w:tcW w:w="3860" w:type="dxa"/>
            <w:vAlign w:val="bottom"/>
          </w:tcPr>
          <w:p>
            <w:pPr>
              <w:spacing w:after="0"/>
              <w:rPr>
                <w:sz w:val="19"/>
                <w:szCs w:val="19"/>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purchase</w:t>
            </w:r>
          </w:p>
        </w:tc>
        <w:tc>
          <w:tcPr>
            <w:tcW w:w="6020" w:type="dxa"/>
            <w:vAlign w:val="bottom"/>
            <w:gridSpan w:val="2"/>
          </w:tcPr>
          <w:p>
            <w:pPr>
              <w:ind w:left="500"/>
              <w:spacing w:after="0"/>
              <w:rPr>
                <w:sz w:val="20"/>
                <w:szCs w:val="20"/>
                <w:color w:val="auto"/>
              </w:rPr>
            </w:pPr>
            <w:r>
              <w:rPr>
                <w:rFonts w:ascii="Arial" w:cs="Arial" w:eastAsia="Arial" w:hAnsi="Arial"/>
                <w:sz w:val="18"/>
                <w:szCs w:val="18"/>
                <w:color w:val="auto"/>
              </w:rPr>
              <w:t>additional ordinary shares in full).</w:t>
            </w:r>
          </w:p>
        </w:tc>
      </w:tr>
      <w:tr>
        <w:trPr>
          <w:trHeight w:val="358"/>
        </w:trPr>
        <w:tc>
          <w:tcPr>
            <w:tcW w:w="386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We intend to grant the underwriters a 30-day option to purchase up to an</w:t>
            </w:r>
          </w:p>
        </w:tc>
      </w:tr>
      <w:tr>
        <w:trPr>
          <w:trHeight w:val="222"/>
        </w:trPr>
        <w:tc>
          <w:tcPr>
            <w:tcW w:w="3860" w:type="dxa"/>
            <w:vAlign w:val="bottom"/>
          </w:tcPr>
          <w:p>
            <w:pPr>
              <w:spacing w:after="0"/>
              <w:rPr>
                <w:sz w:val="19"/>
                <w:szCs w:val="19"/>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additional</w:t>
            </w:r>
          </w:p>
        </w:tc>
        <w:tc>
          <w:tcPr>
            <w:tcW w:w="6020" w:type="dxa"/>
            <w:vAlign w:val="bottom"/>
            <w:gridSpan w:val="2"/>
          </w:tcPr>
          <w:p>
            <w:pPr>
              <w:ind w:left="580"/>
              <w:spacing w:after="0"/>
              <w:rPr>
                <w:sz w:val="20"/>
                <w:szCs w:val="20"/>
                <w:color w:val="auto"/>
              </w:rPr>
            </w:pPr>
            <w:r>
              <w:rPr>
                <w:rFonts w:ascii="Arial" w:cs="Arial" w:eastAsia="Arial" w:hAnsi="Arial"/>
                <w:sz w:val="18"/>
                <w:szCs w:val="18"/>
                <w:color w:val="auto"/>
              </w:rPr>
              <w:t>shares of our common stock.</w:t>
            </w:r>
          </w:p>
        </w:tc>
      </w:tr>
      <w:tr>
        <w:trPr>
          <w:trHeight w:val="358"/>
        </w:trPr>
        <w:tc>
          <w:tcPr>
            <w:tcW w:w="3860" w:type="dxa"/>
            <w:vAlign w:val="bottom"/>
          </w:tcPr>
          <w:p>
            <w:pPr>
              <w:spacing w:after="0"/>
              <w:rPr>
                <w:sz w:val="20"/>
                <w:szCs w:val="20"/>
                <w:color w:val="auto"/>
              </w:rPr>
            </w:pPr>
            <w:r>
              <w:rPr>
                <w:rFonts w:ascii="Arial" w:cs="Arial" w:eastAsia="Arial" w:hAnsi="Arial"/>
                <w:sz w:val="18"/>
                <w:szCs w:val="18"/>
                <w:color w:val="auto"/>
              </w:rPr>
              <w:t>Use of proceeds</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w w:val="90"/>
              </w:rPr>
              <w:t>We currently expect to use our existing cash, cash equivalents and short-term investments and</w:t>
            </w:r>
          </w:p>
        </w:tc>
      </w:tr>
      <w:tr>
        <w:trPr>
          <w:trHeight w:val="216"/>
        </w:trPr>
        <w:tc>
          <w:tcPr>
            <w:tcW w:w="3860" w:type="dxa"/>
            <w:vAlign w:val="bottom"/>
          </w:tcPr>
          <w:p>
            <w:pPr>
              <w:spacing w:after="0"/>
              <w:rPr>
                <w:sz w:val="18"/>
                <w:szCs w:val="18"/>
                <w:color w:val="auto"/>
              </w:rPr>
            </w:pP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w w:val="94"/>
              </w:rPr>
              <w:t>the net proceeds from this offering to support our activities for the clinical development and</w:t>
            </w:r>
          </w:p>
        </w:tc>
      </w:tr>
      <w:tr>
        <w:trPr>
          <w:trHeight w:val="216"/>
        </w:trPr>
        <w:tc>
          <w:tcPr>
            <w:tcW w:w="3860" w:type="dxa"/>
            <w:vAlign w:val="bottom"/>
          </w:tcPr>
          <w:p>
            <w:pPr>
              <w:spacing w:after="0"/>
              <w:rPr>
                <w:sz w:val="18"/>
                <w:szCs w:val="18"/>
                <w:color w:val="auto"/>
              </w:rPr>
            </w:pP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w w:val="88"/>
              </w:rPr>
              <w:t>potential commercialization of tenapanor for the treatment of hyperphosphatemia in patients with</w:t>
            </w:r>
          </w:p>
        </w:tc>
      </w:tr>
      <w:tr>
        <w:trPr>
          <w:trHeight w:val="216"/>
        </w:trPr>
        <w:tc>
          <w:tcPr>
            <w:tcW w:w="3860" w:type="dxa"/>
            <w:vAlign w:val="bottom"/>
          </w:tcPr>
          <w:p>
            <w:pPr>
              <w:spacing w:after="0"/>
              <w:rPr>
                <w:sz w:val="18"/>
                <w:szCs w:val="18"/>
                <w:color w:val="auto"/>
              </w:rPr>
            </w:pP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w w:val="91"/>
              </w:rPr>
              <w:t>CKD on dialysis, for regulatory activities to support the submission of a New Drug Application,</w:t>
            </w:r>
          </w:p>
        </w:tc>
      </w:tr>
      <w:tr>
        <w:trPr>
          <w:trHeight w:val="216"/>
        </w:trPr>
        <w:tc>
          <w:tcPr>
            <w:tcW w:w="3860" w:type="dxa"/>
            <w:vAlign w:val="bottom"/>
          </w:tcPr>
          <w:p>
            <w:pPr>
              <w:spacing w:after="0"/>
              <w:rPr>
                <w:sz w:val="18"/>
                <w:szCs w:val="18"/>
                <w:color w:val="auto"/>
              </w:rPr>
            </w:pP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w w:val="91"/>
              </w:rPr>
              <w:t>or NDA, in such indication, as well as for clinical trials and nonclinical studies for other product</w:t>
            </w:r>
          </w:p>
        </w:tc>
      </w:tr>
      <w:tr>
        <w:trPr>
          <w:trHeight w:val="216"/>
        </w:trPr>
        <w:tc>
          <w:tcPr>
            <w:tcW w:w="3860" w:type="dxa"/>
            <w:vAlign w:val="bottom"/>
          </w:tcPr>
          <w:p>
            <w:pPr>
              <w:spacing w:after="0"/>
              <w:rPr>
                <w:sz w:val="18"/>
                <w:szCs w:val="18"/>
                <w:color w:val="auto"/>
              </w:rPr>
            </w:pP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w w:val="90"/>
              </w:rPr>
              <w:t>candidates, and for general corporate purposes and working capital. See “Use of Proceeds” on</w:t>
            </w:r>
          </w:p>
        </w:tc>
      </w:tr>
      <w:tr>
        <w:trPr>
          <w:trHeight w:val="222"/>
        </w:trPr>
        <w:tc>
          <w:tcPr>
            <w:tcW w:w="3860" w:type="dxa"/>
            <w:vAlign w:val="bottom"/>
          </w:tcPr>
          <w:p>
            <w:pPr>
              <w:spacing w:after="0"/>
              <w:rPr>
                <w:sz w:val="19"/>
                <w:szCs w:val="19"/>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w w:val="90"/>
              </w:rPr>
              <w:t>page S-11.</w:t>
            </w:r>
          </w:p>
        </w:tc>
        <w:tc>
          <w:tcPr>
            <w:tcW w:w="132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358"/>
        </w:trPr>
        <w:tc>
          <w:tcPr>
            <w:tcW w:w="3860" w:type="dxa"/>
            <w:vAlign w:val="bottom"/>
          </w:tcPr>
          <w:p>
            <w:pPr>
              <w:spacing w:after="0"/>
              <w:rPr>
                <w:sz w:val="20"/>
                <w:szCs w:val="20"/>
                <w:color w:val="auto"/>
              </w:rPr>
            </w:pPr>
            <w:r>
              <w:rPr>
                <w:rFonts w:ascii="Arial" w:cs="Arial" w:eastAsia="Arial" w:hAnsi="Arial"/>
                <w:sz w:val="18"/>
                <w:szCs w:val="18"/>
                <w:color w:val="auto"/>
              </w:rPr>
              <w:t>Risk factors</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w w:val="89"/>
              </w:rPr>
              <w:t>You should read the “Risk Factors” section of this prospectus supplement and in the documents</w:t>
            </w:r>
          </w:p>
        </w:tc>
      </w:tr>
      <w:tr>
        <w:trPr>
          <w:trHeight w:val="216"/>
        </w:trPr>
        <w:tc>
          <w:tcPr>
            <w:tcW w:w="3860" w:type="dxa"/>
            <w:vAlign w:val="bottom"/>
          </w:tcPr>
          <w:p>
            <w:pPr>
              <w:spacing w:after="0"/>
              <w:rPr>
                <w:sz w:val="18"/>
                <w:szCs w:val="18"/>
                <w:color w:val="auto"/>
              </w:rPr>
            </w:pP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w w:val="96"/>
              </w:rPr>
              <w:t>incorporated by reference in this prospectus for a discussion of factors to consider before</w:t>
            </w:r>
          </w:p>
        </w:tc>
      </w:tr>
      <w:tr>
        <w:trPr>
          <w:trHeight w:val="222"/>
        </w:trPr>
        <w:tc>
          <w:tcPr>
            <w:tcW w:w="3860" w:type="dxa"/>
            <w:vAlign w:val="bottom"/>
          </w:tcPr>
          <w:p>
            <w:pPr>
              <w:spacing w:after="0"/>
              <w:rPr>
                <w:sz w:val="19"/>
                <w:szCs w:val="19"/>
                <w:color w:val="auto"/>
              </w:rPr>
            </w:pP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deciding to purchase shares of our common stock.</w:t>
            </w:r>
          </w:p>
        </w:tc>
      </w:tr>
      <w:tr>
        <w:trPr>
          <w:trHeight w:val="365"/>
        </w:trPr>
        <w:tc>
          <w:tcPr>
            <w:tcW w:w="3860" w:type="dxa"/>
            <w:vAlign w:val="bottom"/>
          </w:tcPr>
          <w:p>
            <w:pPr>
              <w:spacing w:after="0"/>
              <w:rPr>
                <w:sz w:val="20"/>
                <w:szCs w:val="20"/>
                <w:color w:val="auto"/>
              </w:rPr>
            </w:pPr>
            <w:r>
              <w:rPr>
                <w:rFonts w:ascii="Arial" w:cs="Arial" w:eastAsia="Arial" w:hAnsi="Arial"/>
                <w:sz w:val="18"/>
                <w:szCs w:val="18"/>
                <w:color w:val="auto"/>
              </w:rPr>
              <w:t>Symbol on The Nasdaq Global Market</w:t>
            </w:r>
          </w:p>
        </w:tc>
        <w:tc>
          <w:tcPr>
            <w:tcW w:w="1140" w:type="dxa"/>
            <w:vAlign w:val="bottom"/>
          </w:tcPr>
          <w:p>
            <w:pPr>
              <w:ind w:left="320"/>
              <w:spacing w:after="0"/>
              <w:rPr>
                <w:sz w:val="20"/>
                <w:szCs w:val="20"/>
                <w:color w:val="auto"/>
              </w:rPr>
            </w:pPr>
            <w:r>
              <w:rPr>
                <w:rFonts w:ascii="Arial" w:cs="Arial" w:eastAsia="Arial" w:hAnsi="Arial"/>
                <w:sz w:val="18"/>
                <w:szCs w:val="18"/>
                <w:color w:val="auto"/>
              </w:rPr>
              <w:t>“ARDX”</w:t>
            </w:r>
          </w:p>
        </w:tc>
        <w:tc>
          <w:tcPr>
            <w:tcW w:w="1320" w:type="dxa"/>
            <w:vAlign w:val="bottom"/>
          </w:tcPr>
          <w:p>
            <w:pPr>
              <w:spacing w:after="0"/>
              <w:rPr>
                <w:sz w:val="24"/>
                <w:szCs w:val="24"/>
                <w:color w:val="auto"/>
              </w:rPr>
            </w:pPr>
          </w:p>
        </w:tc>
        <w:tc>
          <w:tcPr>
            <w:tcW w:w="4700" w:type="dxa"/>
            <w:vAlign w:val="bottom"/>
          </w:tcPr>
          <w:p>
            <w:pPr>
              <w:spacing w:after="0"/>
              <w:rPr>
                <w:sz w:val="24"/>
                <w:szCs w:val="24"/>
                <w:color w:val="auto"/>
              </w:rPr>
            </w:pPr>
          </w:p>
        </w:tc>
      </w:tr>
    </w:tbl>
    <w:p>
      <w:pPr>
        <w:spacing w:after="0" w:line="156" w:lineRule="exact"/>
        <w:rPr>
          <w:sz w:val="20"/>
          <w:szCs w:val="20"/>
          <w:color w:val="auto"/>
        </w:rPr>
      </w:pPr>
    </w:p>
    <w:p>
      <w:pPr>
        <w:ind w:left="200" w:right="340" w:firstLine="441"/>
        <w:spacing w:after="0" w:line="306" w:lineRule="auto"/>
        <w:rPr>
          <w:sz w:val="20"/>
          <w:szCs w:val="20"/>
          <w:color w:val="auto"/>
        </w:rPr>
      </w:pPr>
      <w:r>
        <w:rPr>
          <w:rFonts w:ascii="Arial" w:cs="Arial" w:eastAsia="Arial" w:hAnsi="Arial"/>
          <w:sz w:val="16"/>
          <w:szCs w:val="16"/>
          <w:color w:val="auto"/>
        </w:rPr>
        <w:t>The number of shares of common stock to be outstanding after this offering is based on 62,883,080 shares of common stock outstanding as of September 30, 2019, and excludes (i) 2,873,563 shares of common stock that we sold in a private placement to Kyowa Kirin Co., Ltd. on November 25, 2019 for proceeds of approximately $20 million, and (ii) the following, in each case as of September 30, 2019:</w:t>
      </w:r>
    </w:p>
    <w:p>
      <w:pPr>
        <w:spacing w:after="0" w:line="12" w:lineRule="exact"/>
        <w:rPr>
          <w:sz w:val="20"/>
          <w:szCs w:val="20"/>
          <w:color w:val="auto"/>
        </w:rPr>
      </w:pPr>
    </w:p>
    <w:p>
      <w:pPr>
        <w:ind w:left="840" w:right="160" w:hanging="211"/>
        <w:spacing w:after="0" w:line="268"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7,339,124 shares of common stock issuable upon the exercise of outstanding stock options having a weighted-average exercise price of $6.52 per share;</w:t>
      </w:r>
    </w:p>
    <w:p>
      <w:pPr>
        <w:spacing w:after="0" w:line="37" w:lineRule="exact"/>
        <w:rPr>
          <w:rFonts w:ascii="Arial" w:cs="Arial" w:eastAsia="Arial" w:hAnsi="Arial"/>
          <w:sz w:val="18"/>
          <w:szCs w:val="18"/>
          <w:color w:val="auto"/>
        </w:rPr>
      </w:pPr>
    </w:p>
    <w:p>
      <w:pPr>
        <w:ind w:left="840" w:hanging="211"/>
        <w:spacing w:after="0"/>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2,172,899 shares of common stock issuable upon the exercise of outstanding warrants having an exercise price of $13.91 per share;</w:t>
      </w:r>
    </w:p>
    <w:p>
      <w:pPr>
        <w:spacing w:after="0" w:line="126" w:lineRule="exact"/>
        <w:rPr>
          <w:rFonts w:ascii="Arial" w:cs="Arial" w:eastAsia="Arial" w:hAnsi="Arial"/>
          <w:sz w:val="16"/>
          <w:szCs w:val="16"/>
          <w:color w:val="auto"/>
        </w:rPr>
      </w:pPr>
    </w:p>
    <w:p>
      <w:pPr>
        <w:ind w:left="840" w:hanging="21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850,309 shares of common stock issuable upon the settlement of outstanding restricted stock units;</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0"/>
          <w:numId w:val="2"/>
        </w:numPr>
        <w:rPr>
          <w:rFonts w:ascii="Arial" w:cs="Arial" w:eastAsia="Arial" w:hAnsi="Arial"/>
          <w:sz w:val="15"/>
          <w:szCs w:val="15"/>
          <w:color w:val="auto"/>
        </w:rPr>
      </w:pPr>
      <w:r>
        <w:rPr>
          <w:rFonts w:ascii="Arial" w:cs="Arial" w:eastAsia="Arial" w:hAnsi="Arial"/>
          <w:sz w:val="15"/>
          <w:szCs w:val="15"/>
          <w:color w:val="auto"/>
        </w:rPr>
        <w:t>1,000,000 shares of common stock reserved for issuance pursuant to future awards under our 2016 Employment Commencement Inducement Plan;</w:t>
      </w:r>
    </w:p>
    <w:p>
      <w:pPr>
        <w:spacing w:after="0" w:line="138" w:lineRule="exact"/>
        <w:rPr>
          <w:rFonts w:ascii="Arial" w:cs="Arial" w:eastAsia="Arial" w:hAnsi="Arial"/>
          <w:sz w:val="15"/>
          <w:szCs w:val="15"/>
          <w:color w:val="auto"/>
        </w:rPr>
      </w:pPr>
    </w:p>
    <w:p>
      <w:pPr>
        <w:ind w:left="840" w:right="320" w:hanging="211"/>
        <w:spacing w:after="0" w:line="325" w:lineRule="auto"/>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1,190,996 shares of common stock reserved for issuance pursuant to future awards under our 2014 Equity Incentive Award Plan, as well as any automatic increases in the number of shares of our common stock reserved for future issuance under this plan; and</w:t>
      </w:r>
    </w:p>
    <w:p>
      <w:pPr>
        <w:spacing w:after="0" w:line="1" w:lineRule="exact"/>
        <w:rPr>
          <w:rFonts w:ascii="Arial" w:cs="Arial" w:eastAsia="Arial" w:hAnsi="Arial"/>
          <w:sz w:val="16"/>
          <w:szCs w:val="16"/>
          <w:color w:val="auto"/>
        </w:rPr>
      </w:pPr>
    </w:p>
    <w:p>
      <w:pPr>
        <w:ind w:left="840" w:right="180" w:hanging="211"/>
        <w:spacing w:after="0" w:line="268"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519,578 shares of common stock reserved for future issuance under our Employee Stock Purchase Plan, as well as any automatic increases in the number of shares of our common stock reserved for future issuance under this plan.</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3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530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Unless otherwise stated, all information contained in this prospectus supplement reflects an assumed public offering price of $8.05 per share, which was the last reported sale price of our common stock on The Nasdaq Global Market on December 3, 2019, and no exercise of the underwriters’ option to purchase additional shares.</w:t>
      </w:r>
    </w:p>
    <w:p>
      <w:pPr>
        <w:spacing w:after="0" w:line="15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20"/>
          </w:cols>
          <w:pgMar w:left="24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described below and discussed under the section captioned “Risk Factors” contained in our Quarterly Report on Form 10-Q for the quarterly period ended September 30, 2019, incorporated by reference in this prospectus in its entirety, together with other information in this prospectus, and the information and documents incorporated by reference in this prospectus, and any free writing prospectus that we have authorized for use in connection with this offering before you make a decision to invest in our common stock.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Relating to this Offering</w:t>
      </w:r>
    </w:p>
    <w:p>
      <w:pPr>
        <w:spacing w:after="0" w:line="83" w:lineRule="exact"/>
        <w:rPr>
          <w:sz w:val="20"/>
          <w:szCs w:val="20"/>
          <w:color w:val="auto"/>
        </w:rPr>
      </w:pPr>
    </w:p>
    <w:p>
      <w:pPr>
        <w:ind w:left="240" w:right="740"/>
        <w:spacing w:after="0" w:line="268" w:lineRule="auto"/>
        <w:rPr>
          <w:sz w:val="20"/>
          <w:szCs w:val="20"/>
          <w:color w:val="auto"/>
        </w:rPr>
      </w:pPr>
      <w:r>
        <w:rPr>
          <w:rFonts w:ascii="Arial" w:cs="Arial" w:eastAsia="Arial" w:hAnsi="Arial"/>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3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management will have broad discretion over the use of proceeds from this offering. We currently expect to use our existing cash, cash equivalents and short-term investments and the net proceeds from this offering as described in the section captioned “Use of Proceeds.” However,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You may experience immediate and substantial dilution in the net tangible book value per share of the common stock you purchase.</w:t>
      </w:r>
    </w:p>
    <w:p>
      <w:pPr>
        <w:spacing w:after="0" w:line="10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price per share of our common stock being offered is higher than the net tangible book value per share of our common stock outstanding prior to this offering. As a result, investors purchasing shares of common stock in this offering will incur immediate dilution of $6.35 per share, based on an assumed public offering price of $8.05 per share, which was the last reported sale price of our common stock on The Nasdaq Global Market on December 3, 2019, and our as-adjusted net tangible book value as of September 30, 2019 after giving effect to this offering. For information on how the foregoing amounts were calculated, see “Dilution.”</w:t>
      </w:r>
    </w:p>
    <w:p>
      <w:pPr>
        <w:spacing w:after="0" w:line="12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This dilution is due to the substantially lower price paid by our investors who purchased shares prior to this offering as compared to the price offered to the public in this offering, and the exercise of stock options granted to our employees. As a result of the dilution to investors purchasing shares in this offering, investors may receive significantly less than the purchase price paid in this offering, if anything, in the event of our liquidation.</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As of September 30, 2019, approximately 10.9 million shares of common stock that are either subject to outstanding options or restricted stock units or reserved for future issuance under our equity incentive plans are eligible for sale in the public market to the extent permitted by the provisions of various vesting schedules. Additionally, as of September 30, 2019, approximately 2.2 million shares of common stock that are subject to outstanding warrants are eligible for sale in the public market.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stock price may be volatile and our stockholders may not be able to resell shares of our common stock at or above the price they paid.</w:t>
      </w:r>
    </w:p>
    <w:p>
      <w:pPr>
        <w:spacing w:after="0" w:line="10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the “Risk Factors” section contained in our Quarterly Report on Form 10-Q for the quarterly period ended September 30, 2019, and others such as:</w:t>
      </w:r>
    </w:p>
    <w:p>
      <w:pPr>
        <w:spacing w:after="0" w:line="46" w:lineRule="exact"/>
        <w:rPr>
          <w:sz w:val="20"/>
          <w:szCs w:val="20"/>
          <w:color w:val="auto"/>
        </w:rPr>
      </w:pPr>
    </w:p>
    <w:p>
      <w:pPr>
        <w:ind w:left="660" w:right="82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from, or any delays in, clinical trial programs relating to our product candidates, including the ongoing clinical trials for tenapanor for hyperphosphatemia;</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efforts to establish a collaboration partnership for the commercialization of IBSRELA in the United States;</w:t>
      </w:r>
    </w:p>
    <w:p>
      <w:pPr>
        <w:spacing w:after="0" w:line="103"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alone or with collaboration partners, to obtain regulatory approval for or commercialize for tenapanor for hyperphosphatemia, or delays in obtaining regulatory approval or commercializing;</w:t>
      </w:r>
    </w:p>
    <w:p>
      <w:pPr>
        <w:spacing w:after="0" w:line="37" w:lineRule="exact"/>
        <w:rPr>
          <w:rFonts w:ascii="Arial" w:cs="Arial" w:eastAsia="Arial" w:hAnsi="Arial"/>
          <w:sz w:val="18"/>
          <w:szCs w:val="18"/>
          <w:color w:val="auto"/>
        </w:rPr>
      </w:pPr>
    </w:p>
    <w:p>
      <w:pPr>
        <w:ind w:left="660" w:right="660" w:hanging="206"/>
        <w:spacing w:after="0" w:line="32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announcements of regulatory approval, a complete response letter or a refuse to file letter to tenapanor for hyperphosphatemia, or specific label restrictions or patient populations for its use, or changes or delays in the regulatory review process;</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announcements relating to our current or future collaboration partnerships;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03"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product label, our clinical trials, manufacturing supply chain or sales and marketing activities;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103"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meet any of our projected timelines or goals with regard to the clinical development of any of our product candidates, including the ongoing Phase 3 clinical trials for tenapanor for hyperphosphatemia;</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efforts to acquire or license or discover additional product candidates;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efforts to obtain adequate intellectual property protection for our product candidates;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 or other healthcare reform measures in the United States;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and directors or our stockholders in the future;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debt securities or sales or licensing of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United States equity markets;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07"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cease to publish research, or publish inaccurate or unfavorable research about our business, our stock price and trading volume could decline.</w:t>
      </w:r>
    </w:p>
    <w:p>
      <w:pPr>
        <w:spacing w:after="0" w:line="3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This prospectus, including the documents incorporated by reference herein and therein, and any free writing prospectus that we have authorized for use in connection with this offering, contain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24" w:lineRule="exact"/>
        <w:rPr>
          <w:sz w:val="20"/>
          <w:szCs w:val="20"/>
          <w:color w:val="auto"/>
        </w:rPr>
      </w:pPr>
    </w:p>
    <w:p>
      <w:pPr>
        <w:ind w:left="660" w:right="120" w:hanging="206"/>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plans for and our participation in the commercialization of tenapanor for the treatment of hyperphosphatemia in CKD patients on dialysis, including our expectations regarding our plans to build our own sales and marketing organization to market and sell tenapanor for such indication;</w:t>
      </w:r>
    </w:p>
    <w:p>
      <w:pPr>
        <w:spacing w:after="0" w:line="45" w:lineRule="exact"/>
        <w:rPr>
          <w:rFonts w:ascii="Arial" w:cs="Arial" w:eastAsia="Arial" w:hAnsi="Arial"/>
          <w:sz w:val="18"/>
          <w:szCs w:val="18"/>
          <w:color w:val="auto"/>
        </w:rPr>
      </w:pPr>
    </w:p>
    <w:p>
      <w:pPr>
        <w:ind w:left="660" w:right="80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 regarding our plans for the submission of a NDA with the FDA requesting approval to market tenapanor for the treatment of hyperphosphatemia in CKD patients on dialysis, if our Phase 3 clinical program is successful;</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seek one or more collaboration partners to commercialize IBSRELA in the United States;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with respect to our pre-clinical programs;</w:t>
      </w:r>
    </w:p>
    <w:p>
      <w:pPr>
        <w:spacing w:after="0" w:line="103" w:lineRule="exact"/>
        <w:rPr>
          <w:rFonts w:ascii="Arial" w:cs="Arial" w:eastAsia="Arial" w:hAnsi="Arial"/>
          <w:sz w:val="18"/>
          <w:szCs w:val="18"/>
          <w:color w:val="auto"/>
        </w:rPr>
      </w:pPr>
    </w:p>
    <w:p>
      <w:pPr>
        <w:ind w:left="660" w:right="240" w:hanging="206"/>
        <w:spacing w:after="0" w:line="30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identify and validate targets and novel drug candidates using our proprietary drug discovery and design platform including the Ardelyx Primary Enterocyte and Colonocyte Culture System, or any other proprietary drug discovery and design platform we develop for the identification, screening, testing, design and development of new product candidates for the treatment of renal diseases;</w:t>
      </w:r>
    </w:p>
    <w:p>
      <w:pPr>
        <w:spacing w:after="0" w:line="12" w:lineRule="exact"/>
        <w:rPr>
          <w:rFonts w:ascii="Arial" w:cs="Arial" w:eastAsia="Arial" w:hAnsi="Arial"/>
          <w:sz w:val="16"/>
          <w:szCs w:val="16"/>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estimates of our expenses, future revenue, capital requirements, our needs for additional financing and our ability to obtain additional capital;</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You should read this prospectus and the documents incorporated by reference herein completely and with the understanding that our actual results may differ materially from what we expect as expressed or implied by our forward-looking statements. In light of the significant risks and uncertainties to which our forward-looking statements are subject, you should not place undue reliance on or regard these statements as a representation or warranty by us or any other person that we will achieve our objectives and plans in any specified timeframe, or at all. We discuss many of these risks in greater detail in the documents incorporated by reference herein, including under the heading “Risk Factors.” These forward-looking statements represent our estimates and assumptions only as of the dates of this prospectus and the documents incorporated by reference herein and therein, regardless of the time of delivery of this prospectus or any sale of our common stock and, except as required by law, we undertake no obligation to update or revise publicly any forward-looking statements, whether as a result of new information, future events or otherwise after the date of this prospectus. For all forward-looking statements, we claim the protection of the safe harbor for forward-looking statements contained in the Private Securities Litigation Reform Act of 1995.</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estimate that the net proceeds from this offering will be approximately $74.8 million after deducting the estimated underwriting discounts and commissions and estimated offering expenses payable by us. If the underwriters exercise their option to purchase additional shares in full, we estimate that the net proceeds will be approximately $86.1 million after deducting the estimated underwriting discounts and commissions and estimated offering expenses payable by us. Assuming an issuance of 9,937,888 shares of common stock in this offering, a $1.00 increase (decrease) in the assumed public offering price would increase (decrease) the net proceeds to us by approximately $9.3 million (based on the assumed public offering price of $8.05 per share) after deducting the estimated underwriting discounts and commissions and estimated offering expenses payable by us. We may also increase or decrease the size of this offering by issuing more or less shares than the 9,937,888 shares we have estimated. An increase (decrease) of 1,000,000 shares in the number of shares offered by us would increase (decrease) the net proceeds to us from this offering by approximately $7.6 million, assuming that the public offering price (based on the assumed public offering price of $8.05 per share) remains the same and after deducting the estimated underwriting discounts and commissions and estimated offering expenses payable by us.</w:t>
      </w:r>
    </w:p>
    <w:p>
      <w:pPr>
        <w:spacing w:after="0" w:line="10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currently expect to use our existing cash, cash equivalents and short-term investments and the net proceeds from this offering to support our activities for the clinical development and potential commercialization of tenapanor for the treatment of hyperphosphatemia in patients with CKD on dialysis, for regulatory activities to support the submission of an NDA in such indication, as well as for clinical trials and nonclinical studies for other product candidates, and for general corporate purposes and working capital.</w:t>
      </w:r>
    </w:p>
    <w:p>
      <w:pPr>
        <w:spacing w:after="0" w:line="13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amounts and timing of our actual expenditures will depend on numerous factors, including our clinical and pre-commercial activities with respect to tenapanor for the treatment of hyperphosphatemia in patients with CKD on dialysis, our regulatory activities for tenapanor in such indication, our ability to establish one or more new collaborations for the commercialization of IBSRELA, the timing of potential future milestone payments from our current and future collaboration partners, as well as the amount of cash used in our operations and the amount of payments under our loan and security agreement with Solar Capital Ltd. and Western Alliance Bank.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from this offering in interest-bearing investment-grade securities, certificates of deposit or government securities.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cash equivalents and short-term investments and capitalization as of September 30, 2019:</w:t>
      </w:r>
    </w:p>
    <w:p>
      <w:pPr>
        <w:spacing w:after="0" w:line="77"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 pro forma basis to give effect to our issuance and sale on November 25, 2019 of 2,873,563 shares of our common stock to Kyowa Kirin Co., Ltd. in a private placement, for gross proceeds to us of approximately $20.0 million; and</w:t>
      </w:r>
    </w:p>
    <w:p>
      <w:pPr>
        <w:spacing w:after="0" w:line="37" w:lineRule="exact"/>
        <w:rPr>
          <w:rFonts w:ascii="Arial" w:cs="Arial" w:eastAsia="Arial" w:hAnsi="Arial"/>
          <w:sz w:val="18"/>
          <w:szCs w:val="18"/>
          <w:color w:val="auto"/>
        </w:rPr>
      </w:pPr>
    </w:p>
    <w:p>
      <w:pPr>
        <w:ind w:left="660" w:right="20" w:hanging="206"/>
        <w:spacing w:after="0" w:line="30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a pro forma as adjusted basis to give effect to the issuance and sale by us of 9,937,888 shares of our common stock in this offering at an assumed public offering price of $8.05, the last reported sale price of our common stock on The Nasdaq Global Market on December 3, 2019, and after deducting the estimated underwriting discounts and commissions and estimated offering expenses payable by us.</w:t>
      </w:r>
    </w:p>
    <w:p>
      <w:pPr>
        <w:spacing w:after="0" w:line="9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You should read this information together with our audited financial statements and related notes incorporated by reference in this prospectus. For more details on how you can obtain our SEC reports and other information, you should read the section of the prospectus supplement entitled “Where You Can Find More Information.”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6"/>
              </w:rPr>
              <w:t>As of September 30, 2019</w:t>
            </w: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Pro Forma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7"/>
              </w:rPr>
              <w:t>As</w:t>
            </w: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44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Pro Forma</w:t>
            </w:r>
          </w:p>
        </w:tc>
        <w:tc>
          <w:tcPr>
            <w:tcW w:w="6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Adjusted(1)</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4"/>
              </w:rPr>
              <w:t>(in thousands, except share</w:t>
            </w: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and per share data)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103,543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$ 123,543</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$ 198,361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3"/>
            <w:vMerge w:val="restart"/>
          </w:tcPr>
          <w:p>
            <w:pPr>
              <w:ind w:left="580"/>
              <w:spacing w:after="0"/>
              <w:rPr>
                <w:sz w:val="20"/>
                <w:szCs w:val="20"/>
                <w:color w:val="auto"/>
              </w:rPr>
            </w:pPr>
            <w:r>
              <w:rPr>
                <w:rFonts w:ascii="Arial" w:cs="Arial" w:eastAsia="Arial" w:hAnsi="Arial"/>
                <w:sz w:val="18"/>
                <w:szCs w:val="18"/>
                <w:color w:val="auto"/>
              </w:rPr>
              <w:t>Loan payable, long term</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49,803</w:t>
            </w: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49,803</w:t>
            </w:r>
          </w:p>
        </w:tc>
        <w:tc>
          <w:tcPr>
            <w:tcW w:w="4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49,803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6940" w:type="dxa"/>
            <w:vAlign w:val="bottom"/>
            <w:gridSpan w:val="2"/>
          </w:tcPr>
          <w:p>
            <w:pPr>
              <w:ind w:left="440"/>
              <w:spacing w:after="0"/>
              <w:rPr>
                <w:sz w:val="20"/>
                <w:szCs w:val="20"/>
                <w:color w:val="auto"/>
              </w:rPr>
            </w:pPr>
            <w:r>
              <w:rPr>
                <w:rFonts w:ascii="Arial" w:cs="Arial" w:eastAsia="Arial" w:hAnsi="Arial"/>
                <w:sz w:val="18"/>
                <w:szCs w:val="18"/>
                <w:color w:val="auto"/>
              </w:rPr>
              <w:t>Preferred stock—$0.0001 par value—5,000,000 shares authorized, actual and as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40" w:type="dxa"/>
            <w:vAlign w:val="bottom"/>
            <w:gridSpan w:val="2"/>
          </w:tcPr>
          <w:p>
            <w:pPr>
              <w:ind w:left="660"/>
              <w:spacing w:after="0"/>
              <w:rPr>
                <w:sz w:val="20"/>
                <w:szCs w:val="20"/>
                <w:color w:val="auto"/>
              </w:rPr>
            </w:pPr>
            <w:r>
              <w:rPr>
                <w:rFonts w:ascii="Arial" w:cs="Arial" w:eastAsia="Arial" w:hAnsi="Arial"/>
                <w:sz w:val="18"/>
                <w:szCs w:val="18"/>
                <w:color w:val="auto"/>
              </w:rPr>
              <w:t>adjusted; no shares issued or outstanding, actual, pro forma and pro forma as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40" w:type="dxa"/>
            <w:vAlign w:val="bottom"/>
            <w:gridSpan w:val="2"/>
          </w:tcPr>
          <w:p>
            <w:pPr>
              <w:ind w:left="660"/>
              <w:spacing w:after="0"/>
              <w:rPr>
                <w:sz w:val="20"/>
                <w:szCs w:val="20"/>
                <w:color w:val="auto"/>
              </w:rPr>
            </w:pPr>
            <w:r>
              <w:rPr>
                <w:rFonts w:ascii="Arial" w:cs="Arial" w:eastAsia="Arial" w:hAnsi="Arial"/>
                <w:sz w:val="18"/>
                <w:szCs w:val="18"/>
                <w:color w:val="auto"/>
              </w:rPr>
              <w:t>adjusted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4"/>
              </w:rPr>
              <w:t>Common stock—$0.0001 par value—authorized, 300,000,000 actual and as adjusted;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5"/>
              </w:rPr>
              <w:t>issued and outstanding, 62,883,080 actual, 65,756,643 pro forma, and 75,694,531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6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pro forma as adjusted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4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489,810</w:t>
            </w: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509,810</w:t>
            </w:r>
          </w:p>
        </w:tc>
        <w:tc>
          <w:tcPr>
            <w:tcW w:w="4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584,628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(440,662)</w:t>
            </w: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(440,662)</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(440,662)</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4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69,158</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60" w:type="dxa"/>
            <w:vAlign w:val="bottom"/>
          </w:tcPr>
          <w:p>
            <w:pPr>
              <w:ind w:left="620"/>
              <w:spacing w:after="0"/>
              <w:rPr>
                <w:sz w:val="20"/>
                <w:szCs w:val="20"/>
                <w:color w:val="auto"/>
              </w:rPr>
            </w:pPr>
            <w:r>
              <w:rPr>
                <w:rFonts w:ascii="Arial" w:cs="Arial" w:eastAsia="Arial" w:hAnsi="Arial"/>
                <w:sz w:val="18"/>
                <w:szCs w:val="18"/>
                <w:color w:val="auto"/>
              </w:rPr>
              <w:t>Total capitalization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98,961</w:t>
            </w:r>
          </w:p>
        </w:tc>
        <w:tc>
          <w:tcPr>
            <w:tcW w:w="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$ 118,961</w:t>
            </w:r>
          </w:p>
        </w:tc>
        <w:tc>
          <w:tcPr>
            <w:tcW w:w="4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$ 193,780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312"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Assuming an issuance of 9,937,888 shares of common stock in this offering, a $1.00 increase (decrease) in the assumed public offering price would increase (decrease) the as adjusted amount of each of cash, cash equivalents and short-term investments, additional paid-in capital, total stockholders’ equity and total capitalization by approximately $9.3 million (based on the assumed public offering price of $8.05 per share) after deducting the estimated underwriting discounts and commissions and estimated offering expenses payable by us. A 1,000,000 share increase (decrease) in the number of shares offered by us would increase (decrease) the as adjusted amount of each of cash, cash equivalents and short-term investments, additional paid-in capital, total stockholders’ equity and total capitalization by approximately $7.6 million, assuming that the public offering price (based on the assumed public offering price of $8.05 per share) remains the same and after deducting the estimated underwriting discounts and commissions and estimated offering</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expenses payable by us. The as adjusted information discussed above is illustrative only and will adjust based on the actual public offering price and other terms of this offering determined at pricing.</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outstanding share information in the table above is based on 62,883,080 shares of common stock outstanding as of September 30, 2019 and excludes</w:t>
      </w:r>
    </w:p>
    <w:p>
      <w:pPr>
        <w:spacing w:after="0" w:line="50" w:lineRule="exact"/>
        <w:rPr>
          <w:sz w:val="20"/>
          <w:szCs w:val="20"/>
          <w:color w:val="auto"/>
        </w:rPr>
      </w:pPr>
    </w:p>
    <w:p>
      <w:pPr>
        <w:ind w:right="540" w:firstLine="8"/>
        <w:spacing w:after="0" w:line="261" w:lineRule="auto"/>
        <w:tabs>
          <w:tab w:leader="none" w:pos="210" w:val="left"/>
        </w:tabs>
        <w:numPr>
          <w:ilvl w:val="0"/>
          <w:numId w:val="7"/>
        </w:numPr>
        <w:rPr>
          <w:rFonts w:ascii="Arial" w:cs="Arial" w:eastAsia="Arial" w:hAnsi="Arial"/>
          <w:sz w:val="18"/>
          <w:szCs w:val="18"/>
          <w:color w:val="auto"/>
        </w:rPr>
      </w:pPr>
      <w:r>
        <w:rPr>
          <w:rFonts w:ascii="Arial" w:cs="Arial" w:eastAsia="Arial" w:hAnsi="Arial"/>
          <w:sz w:val="18"/>
          <w:szCs w:val="18"/>
          <w:color w:val="auto"/>
        </w:rPr>
        <w:t>2,873,563 shares of common stock that we sold in a private placement to Kyowa Kirin Co., Ltd. on November 25, 2019 for proceeds of approximately $20 million and (ii) the following, in each case as of September 30, 2019:</w:t>
      </w:r>
    </w:p>
    <w:p>
      <w:pPr>
        <w:spacing w:after="0" w:line="43" w:lineRule="exact"/>
        <w:rPr>
          <w:rFonts w:ascii="Arial" w:cs="Arial" w:eastAsia="Arial" w:hAnsi="Arial"/>
          <w:sz w:val="18"/>
          <w:szCs w:val="18"/>
          <w:color w:val="auto"/>
        </w:rPr>
      </w:pPr>
    </w:p>
    <w:p>
      <w:pPr>
        <w:ind w:left="660" w:hanging="206"/>
        <w:spacing w:after="0"/>
        <w:tabs>
          <w:tab w:leader="none" w:pos="660" w:val="left"/>
        </w:tabs>
        <w:numPr>
          <w:ilvl w:val="1"/>
          <w:numId w:val="7"/>
        </w:numPr>
        <w:rPr>
          <w:rFonts w:ascii="Arial" w:cs="Arial" w:eastAsia="Arial" w:hAnsi="Arial"/>
          <w:sz w:val="15"/>
          <w:szCs w:val="15"/>
          <w:color w:val="auto"/>
        </w:rPr>
      </w:pPr>
      <w:r>
        <w:rPr>
          <w:rFonts w:ascii="Arial" w:cs="Arial" w:eastAsia="Arial" w:hAnsi="Arial"/>
          <w:sz w:val="15"/>
          <w:szCs w:val="15"/>
          <w:color w:val="auto"/>
        </w:rPr>
        <w:t>7,339,124 shares of common stock issuable upon the exercise of outstanding stock options having a weighted-average exercise price of $6.52 per share;</w:t>
      </w:r>
    </w:p>
    <w:p>
      <w:pPr>
        <w:spacing w:after="0" w:line="138" w:lineRule="exact"/>
        <w:rPr>
          <w:rFonts w:ascii="Arial" w:cs="Arial" w:eastAsia="Arial" w:hAnsi="Arial"/>
          <w:sz w:val="15"/>
          <w:szCs w:val="15"/>
          <w:color w:val="auto"/>
        </w:rPr>
      </w:pPr>
    </w:p>
    <w:p>
      <w:pPr>
        <w:ind w:left="660" w:hanging="206"/>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2,172,899 shares of common stock issuable upon the exercise of outstanding warrants having an exercise price of $13.91 per share;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850,309 shares of common stock issuable upon the settlement of outstanding restricted stock units;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1"/>
          <w:numId w:val="7"/>
        </w:numPr>
        <w:rPr>
          <w:rFonts w:ascii="Arial" w:cs="Arial" w:eastAsia="Arial" w:hAnsi="Arial"/>
          <w:sz w:val="16"/>
          <w:szCs w:val="16"/>
          <w:color w:val="auto"/>
        </w:rPr>
      </w:pPr>
      <w:r>
        <w:rPr>
          <w:rFonts w:ascii="Arial" w:cs="Arial" w:eastAsia="Arial" w:hAnsi="Arial"/>
          <w:sz w:val="16"/>
          <w:szCs w:val="16"/>
          <w:color w:val="auto"/>
        </w:rPr>
        <w:t>1,000,000 shares of common stock reserved for issuance pursuant to future awards under our 2016 Employment Commencement Inducement Plan;</w:t>
      </w:r>
    </w:p>
    <w:p>
      <w:pPr>
        <w:spacing w:after="0" w:line="126" w:lineRule="exact"/>
        <w:rPr>
          <w:rFonts w:ascii="Arial" w:cs="Arial" w:eastAsia="Arial" w:hAnsi="Arial"/>
          <w:sz w:val="16"/>
          <w:szCs w:val="16"/>
          <w:color w:val="auto"/>
        </w:rPr>
      </w:pPr>
    </w:p>
    <w:p>
      <w:pPr>
        <w:ind w:left="660" w:right="600" w:hanging="206"/>
        <w:spacing w:after="0" w:line="325" w:lineRule="auto"/>
        <w:tabs>
          <w:tab w:leader="none" w:pos="660" w:val="left"/>
        </w:tabs>
        <w:numPr>
          <w:ilvl w:val="1"/>
          <w:numId w:val="7"/>
        </w:numPr>
        <w:rPr>
          <w:rFonts w:ascii="Arial" w:cs="Arial" w:eastAsia="Arial" w:hAnsi="Arial"/>
          <w:sz w:val="16"/>
          <w:szCs w:val="16"/>
          <w:color w:val="auto"/>
        </w:rPr>
      </w:pPr>
      <w:r>
        <w:rPr>
          <w:rFonts w:ascii="Arial" w:cs="Arial" w:eastAsia="Arial" w:hAnsi="Arial"/>
          <w:sz w:val="16"/>
          <w:szCs w:val="16"/>
          <w:color w:val="auto"/>
        </w:rPr>
        <w:t>1,190,996 shares of common stock reserved for issuance pursuant to future awards under our 2014 Equity Incentive Award Plan, as well as any automatic increases in the number of shares of our common stock reserved for future issuance under this plan; and</w:t>
      </w:r>
    </w:p>
    <w:p>
      <w:pPr>
        <w:spacing w:after="0" w:line="1" w:lineRule="exact"/>
        <w:rPr>
          <w:rFonts w:ascii="Arial" w:cs="Arial" w:eastAsia="Arial" w:hAnsi="Arial"/>
          <w:sz w:val="16"/>
          <w:szCs w:val="16"/>
          <w:color w:val="auto"/>
        </w:rPr>
      </w:pPr>
    </w:p>
    <w:p>
      <w:pPr>
        <w:ind w:left="660" w:right="480" w:hanging="206"/>
        <w:spacing w:after="0" w:line="268"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519,578 shares of common stock reserved for future issuance under our Employee Stock Purchase Plan, as well as any automatic increases in the number of shares of our common stock reserved for future issuance under this plan.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you invest in our common stock in this offering, your interest will be immediately diluted to the extent of the difference between the public offering price per share of our common stock in this offering and the net tangible book value per share of our common stock after this offering. As of September 30, 2019, we had a historical net tangible book value of $49.2 million, or $0.78 per share of common stock. Our net tangible book value represents total tangible assets less total liabilities and convertible preferred stock, all divided by the number of shares of common stock outstanding on September 30, 2019.</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giving effect to the sale of 9,937,888 shares of common stock in this offering based on the last reported sale price of our common stock on The Nasdaq Global Market on December 3, 2019, or $8.05 per share, and after deducting the estimated underwriting discounts and commissions and estimated offering expenses, our as adjusted net tangible book value at September 30, 2019 would have been approximately $124.0 million, or $0.92 per share. This represents an immediate increase in as adjusted net tangible book value of $1.70 per share to existing stockholders and an immediate dilution of $6.35 per share to new investors. The following table illustrates this per share dilution:</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Net tangible book value per share as of September 30, 2019</w:t>
            </w: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$0.78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per share attributable to new investors</w:t>
            </w:r>
          </w:p>
        </w:tc>
        <w:tc>
          <w:tcPr>
            <w:tcW w:w="16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$0.92</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w w:val="96"/>
              </w:rPr>
              <w:t>As adjusted net tangible book value per share as of September 30, 2019, after giving effect to this offering</w:t>
            </w: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our common stock in this offering</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 underwriters fully exercise their option to purchase additional shares, as adjusted net tangible book value after this offering would increase to approximately $1.82 per share, and there would be an immediate dilution of approximately $6.23 per share to new investors.</w:t>
      </w:r>
    </w:p>
    <w:p>
      <w:pPr>
        <w:spacing w:after="0" w:line="7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Assuming an issuance of 9,937,888 shares of common stock in this offering, a $1.00 increase (decrease) in the assumed public offering price would increase (decrease) the as adjusted net tangible book value by approximately $9.3 million, or approximately $0.13 per share, and increase (decrease) the dilution per share to new investors by approximately $0.87 per share (based on the assumed public offering price of $8.05 per share) after deducting the estimated underwriting discounts and commissions and estimated offering expenses payable by us. Assuming the assumed public offering price remains the same, after deducting the estimated underwriting discounts and commissions and estimated offering expenses payable by us, each increase of 1,000,000 shares in the number of shares we are offering would increase our as adjusted net tangible book value as of September 30, 2019 after this offering by $7.6 million, or $0.08 per share, and would decrease dilution to investors in this offering by $0.08 per share, and each decrease of 1,000,000 in the number of shares we are offering would decrease our as adjusted net tangible book value as of September 30, 2019 after this offering by $7.6 million, or $0.08 per share, and would increase dilution to investors in this offering by $0.08 per share. The as adjusted information discussed above is illustrative only and will adjust based on the actual public offering price and other terms of this offering determined at pricing.</w:t>
      </w:r>
    </w:p>
    <w:p>
      <w:pPr>
        <w:spacing w:after="0" w:line="10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the extent that outstanding options or warrants are exercised, investors purchasing our common stock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30" w:lineRule="exact"/>
        <w:rPr>
          <w:sz w:val="20"/>
          <w:szCs w:val="20"/>
          <w:color w:val="auto"/>
        </w:rPr>
      </w:pPr>
    </w:p>
    <w:p>
      <w:pPr>
        <w:ind w:right="1000" w:firstLine="456"/>
        <w:spacing w:after="0" w:line="268" w:lineRule="auto"/>
        <w:rPr>
          <w:sz w:val="20"/>
          <w:szCs w:val="20"/>
          <w:color w:val="auto"/>
        </w:rPr>
      </w:pPr>
      <w:r>
        <w:rPr>
          <w:rFonts w:ascii="Arial" w:cs="Arial" w:eastAsia="Arial" w:hAnsi="Arial"/>
          <w:sz w:val="18"/>
          <w:szCs w:val="18"/>
          <w:color w:val="auto"/>
        </w:rPr>
        <w:t>The number of shares of common stock to be outstanding after this offering is based on 62,883,080 shares of common stock outstanding as of September 30, 2019, and excludes (i) 2,873,563 shares of common stock that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sold in a private placement to Kyowa Kirin Co., Ltd. on November 25, 2019 for proceeds of approximately $20 million and (ii) the following, in each case as of September 30, 2019:</w:t>
      </w:r>
    </w:p>
    <w:p>
      <w:pPr>
        <w:spacing w:after="0" w:line="37"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7,339,124 shares of common stock issuable upon the exercise of outstanding stock options having a weighted-average exercise price of $6.52 per share;</w:t>
      </w:r>
    </w:p>
    <w:p>
      <w:pPr>
        <w:spacing w:after="0" w:line="138" w:lineRule="exact"/>
        <w:rPr>
          <w:rFonts w:ascii="Arial" w:cs="Arial" w:eastAsia="Arial" w:hAnsi="Arial"/>
          <w:sz w:val="15"/>
          <w:szCs w:val="15"/>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2,172,899 shares of common stock issuable upon the exercise of outstanding warrants having an exercise price of $13.91 per share;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850,309 shares of common stock issuable upon the settlement of outstanding restricted stock units;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1,000,000 shares of common stock reserved for issuance pursuant to future awards under our 2016 Employment Commencement Inducement Plan;</w:t>
      </w:r>
    </w:p>
    <w:p>
      <w:pPr>
        <w:spacing w:after="0" w:line="126" w:lineRule="exact"/>
        <w:rPr>
          <w:rFonts w:ascii="Arial" w:cs="Arial" w:eastAsia="Arial" w:hAnsi="Arial"/>
          <w:sz w:val="16"/>
          <w:szCs w:val="16"/>
          <w:color w:val="auto"/>
        </w:rPr>
      </w:pPr>
    </w:p>
    <w:p>
      <w:pPr>
        <w:ind w:left="660" w:right="600" w:hanging="206"/>
        <w:spacing w:after="0" w:line="32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1,190,996 shares of common stock reserved for issuance pursuant to future awards under our 2014 Equity Incentive Award Plan, as well as any automatic increases in the number of shares of our common stock reserved for future issuance under this plan; and</w:t>
      </w:r>
    </w:p>
    <w:p>
      <w:pPr>
        <w:spacing w:after="0" w:line="1" w:lineRule="exact"/>
        <w:rPr>
          <w:rFonts w:ascii="Arial" w:cs="Arial" w:eastAsia="Arial" w:hAnsi="Arial"/>
          <w:sz w:val="16"/>
          <w:szCs w:val="16"/>
          <w:color w:val="auto"/>
        </w:rPr>
      </w:pPr>
    </w:p>
    <w:p>
      <w:pPr>
        <w:ind w:left="660" w:right="48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519,578 shares of common stock reserved for future issuance under our Employee Stock Purchase Plan, as well as any automatic increases in the number of shares of our common stock reserved for future issuance under this plan.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FOR COMMON STOCK</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common stock is traded on The Nasdaq Global Market under the symbol “ARDX.” As of December 3, 2019, there were 65,801,113 shares of our common stock outstanding held by 35 holders of record. On December 3, 2019, the closing price for the common stock as reported on The Nasdaq Global Market was $8.05.</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In addition, unless waived, the terms of our loan and security agreement with Solar Capital Ltd. and Western Alliance Bank generally prohibit us from declaring or paying any cash dividends and other distributions. Any future determination related to dividend policy will be made at the discretion of our board of directors.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49"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03"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8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87"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b w:val="1"/>
          <w:bCs w:val="1"/>
          <w:color w:val="auto"/>
        </w:rPr>
        <w:t>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83" w:lineRule="exact"/>
        <w:rPr>
          <w:sz w:val="20"/>
          <w:szCs w:val="20"/>
          <w:color w:val="auto"/>
        </w:rPr>
      </w:pPr>
    </w:p>
    <w:p>
      <w:pPr>
        <w:ind w:right="80" w:firstLine="456"/>
        <w:spacing w:after="0" w:line="325" w:lineRule="auto"/>
        <w:rPr>
          <w:sz w:val="20"/>
          <w:szCs w:val="20"/>
          <w:color w:val="auto"/>
        </w:rPr>
      </w:pPr>
      <w:r>
        <w:rPr>
          <w:rFonts w:ascii="Arial" w:cs="Arial" w:eastAsia="Arial" w:hAnsi="Arial"/>
          <w:sz w:val="16"/>
          <w:szCs w:val="16"/>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03" w:lineRule="exact"/>
        <w:rPr>
          <w:rFonts w:ascii="Arial" w:cs="Arial" w:eastAsia="Arial" w:hAnsi="Arial"/>
          <w:sz w:val="18"/>
          <w:szCs w:val="18"/>
          <w:color w:val="auto"/>
        </w:rPr>
      </w:pPr>
    </w:p>
    <w:p>
      <w:pPr>
        <w:ind w:left="660" w:right="340" w:hanging="206"/>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3"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As described above in the section entitled “Dividend Policy,” we do not anticipate paying any cash dividends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0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29"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Subject to the discussions below under “—Information Reporting and Backup Withholding,” a Non-U.S. Holder will not be subject to U.S. federal income tax on any gain realized upon the sale or other taxable disposition of our common stock unless:</w:t>
      </w:r>
    </w:p>
    <w:p>
      <w:pPr>
        <w:spacing w:after="0" w:line="37" w:lineRule="exact"/>
        <w:rPr>
          <w:sz w:val="20"/>
          <w:szCs w:val="20"/>
          <w:color w:val="auto"/>
        </w:rPr>
      </w:pPr>
    </w:p>
    <w:p>
      <w:pPr>
        <w:ind w:left="660" w:right="200" w:hanging="206"/>
        <w:spacing w:after="0" w:line="32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 w:lineRule="exact"/>
        <w:rPr>
          <w:rFonts w:ascii="Arial" w:cs="Arial" w:eastAsia="Arial" w:hAnsi="Arial"/>
          <w:sz w:val="16"/>
          <w:szCs w:val="16"/>
          <w:color w:val="auto"/>
        </w:rPr>
      </w:pPr>
    </w:p>
    <w:p>
      <w:pPr>
        <w:ind w:left="660" w:right="26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37"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2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05" w:lineRule="exact"/>
        <w:rPr>
          <w:sz w:val="20"/>
          <w:szCs w:val="20"/>
          <w:color w:val="auto"/>
        </w:rPr>
      </w:pPr>
    </w:p>
    <w:p>
      <w:pPr>
        <w:ind w:right="2180" w:firstLine="456"/>
        <w:spacing w:after="0" w:line="375" w:lineRule="auto"/>
        <w:rPr>
          <w:sz w:val="20"/>
          <w:szCs w:val="20"/>
          <w:color w:val="auto"/>
        </w:rPr>
      </w:pPr>
      <w:r>
        <w:rPr>
          <w:rFonts w:ascii="Arial" w:cs="Arial" w:eastAsia="Arial" w:hAnsi="Arial"/>
          <w:sz w:val="18"/>
          <w:szCs w:val="18"/>
          <w:color w:val="auto"/>
        </w:rPr>
        <w:t xml:space="preserve">Non-U.S. Holders should consult their tax advisors regarding any applicable tax treaties that may provide for different rules. </w:t>
      </w:r>
      <w:r>
        <w:rPr>
          <w:rFonts w:ascii="Arial" w:cs="Arial" w:eastAsia="Arial" w:hAnsi="Arial"/>
          <w:sz w:val="18"/>
          <w:szCs w:val="18"/>
          <w:b w:val="1"/>
          <w:bCs w:val="1"/>
          <w:color w:val="auto"/>
        </w:rPr>
        <w:t>Information Reporting and Backup Withholding</w:t>
      </w:r>
    </w:p>
    <w:p>
      <w:pPr>
        <w:spacing w:after="0" w:line="1" w:lineRule="exact"/>
        <w:rPr>
          <w:sz w:val="20"/>
          <w:szCs w:val="20"/>
          <w:color w:val="auto"/>
        </w:rPr>
      </w:pPr>
    </w:p>
    <w:p>
      <w:pPr>
        <w:ind w:right="260" w:firstLine="456"/>
        <w:spacing w:after="0" w:line="286" w:lineRule="auto"/>
        <w:rPr>
          <w:sz w:val="20"/>
          <w:szCs w:val="20"/>
          <w:color w:val="auto"/>
        </w:rPr>
      </w:pPr>
      <w:r>
        <w:rPr>
          <w:rFonts w:ascii="Arial" w:cs="Arial" w:eastAsia="Arial" w:hAnsi="Arial"/>
          <w:sz w:val="16"/>
          <w:szCs w:val="16"/>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w:t>
      </w:r>
    </w:p>
    <w:p>
      <w:pPr>
        <w:ind w:right="60"/>
        <w:spacing w:after="0" w:line="288" w:lineRule="auto"/>
        <w:rPr>
          <w:sz w:val="20"/>
          <w:szCs w:val="20"/>
          <w:color w:val="auto"/>
        </w:rPr>
      </w:pPr>
      <w:r>
        <w:rPr>
          <w:rFonts w:ascii="Arial" w:cs="Arial" w:eastAsia="Arial" w:hAnsi="Arial"/>
          <w:sz w:val="16"/>
          <w:szCs w:val="16"/>
          <w:color w:val="auto"/>
        </w:rPr>
        <w:t>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obligations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1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our common stock beginning on January 1, 2019, recently proposed Treasury Regulations eliminate FATCA withholding on payments of gross proceeds entirely. Taxpayers generally may rely on these proposed Treasury Regulations until final Treasury Regulations are issued.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Prospective investors should consult their tax advisors regarding the potential application of withholding under FATCA to their investment in our common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Subject to the terms and conditions set forth in the underwriting agreement to be entered into among us and Citigroup Global Markets Inc., Cowen and Company LLC, SVB Leerink LLC and Piper Jaffray &amp; Co.,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11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Underwriter</w:t>
            </w:r>
          </w:p>
        </w:tc>
        <w:tc>
          <w:tcPr>
            <w:tcW w:w="6720" w:type="dxa"/>
            <w:vAlign w:val="bottom"/>
          </w:tcPr>
          <w:p>
            <w:pPr>
              <w:jc w:val="center"/>
              <w:ind w:left="6032"/>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53"/>
        </w:trPr>
        <w:tc>
          <w:tcPr>
            <w:tcW w:w="740" w:type="dxa"/>
            <w:vAlign w:val="bottom"/>
            <w:tcBorders>
              <w:bottom w:val="single" w:sz="8" w:color="auto"/>
            </w:tcBorders>
            <w:vMerge w:val="continue"/>
          </w:tcPr>
          <w:p>
            <w:pPr>
              <w:spacing w:after="0"/>
              <w:rPr>
                <w:sz w:val="12"/>
                <w:szCs w:val="12"/>
                <w:color w:val="auto"/>
              </w:rPr>
            </w:pPr>
          </w:p>
        </w:tc>
        <w:tc>
          <w:tcPr>
            <w:tcW w:w="6720" w:type="dxa"/>
            <w:vAlign w:val="bottom"/>
          </w:tcPr>
          <w:p>
            <w:pPr>
              <w:jc w:val="center"/>
              <w:ind w:left="6032"/>
              <w:spacing w:after="0" w:line="148"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Citigroup</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Cowen and Company LLC</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SVB Leerink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Piper Jaffray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6985</wp:posOffset>
            </wp:positionV>
            <wp:extent cx="6515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22520" cy="163195"/>
                    </a:xfrm>
                    <a:prstGeom prst="rect">
                      <a:avLst/>
                    </a:prstGeom>
                    <a:noFill/>
                  </pic:spPr>
                </pic:pic>
              </a:graphicData>
            </a:graphic>
          </wp:anchor>
        </w:drawing>
      </w:r>
    </w:p>
    <w:p>
      <w:pPr>
        <w:spacing w:after="0" w:line="19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99"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advised us that they propose to offer the shares of common stock to the public at the initial public offering price set forth on the</w:t>
      </w:r>
    </w:p>
    <w:p>
      <w:pPr>
        <w:spacing w:after="0" w:line="38"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cover page of this prospectus and to certain dealers, which may include the underwriters, at that price less a concession not in excess of $ per share of common stock. The underwriters may allow, and certain dealers may reallow, a discount from the concession not in excess of $ per share of common stock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 supplement.</w:t>
      </w:r>
    </w:p>
    <w:p>
      <w:pPr>
        <w:spacing w:after="0" w:line="10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 additional shares.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gridSpan w:val="3"/>
          </w:tcPr>
          <w:p>
            <w:pPr>
              <w:jc w:val="right"/>
              <w:ind w:right="551"/>
              <w:spacing w:after="0"/>
              <w:rPr>
                <w:sz w:val="20"/>
                <w:szCs w:val="20"/>
                <w:color w:val="auto"/>
              </w:rPr>
            </w:pPr>
            <w:r>
              <w:rPr>
                <w:rFonts w:ascii="Arial" w:cs="Arial" w:eastAsia="Arial" w:hAnsi="Arial"/>
                <w:sz w:val="14"/>
                <w:szCs w:val="14"/>
                <w:b w:val="1"/>
                <w:bCs w:val="1"/>
                <w:color w:val="auto"/>
              </w:rPr>
              <w:t>Per Share</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r>
      <w:tr>
        <w:trPr>
          <w:trHeight w:val="129"/>
        </w:trPr>
        <w:tc>
          <w:tcPr>
            <w:tcW w:w="4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Without</w:t>
            </w:r>
          </w:p>
        </w:tc>
        <w:tc>
          <w:tcPr>
            <w:tcW w:w="4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8"/>
              </w:rPr>
              <w:t>With</w:t>
            </w:r>
          </w:p>
        </w:tc>
        <w:tc>
          <w:tcPr>
            <w:tcW w:w="46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Without</w:t>
            </w:r>
          </w:p>
        </w:tc>
        <w:tc>
          <w:tcPr>
            <w:tcW w:w="4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8"/>
              </w:rPr>
              <w:t>With</w:t>
            </w:r>
          </w:p>
        </w:tc>
        <w:tc>
          <w:tcPr>
            <w:tcW w:w="60" w:type="dxa"/>
            <w:vAlign w:val="bottom"/>
          </w:tcPr>
          <w:p>
            <w:pPr>
              <w:spacing w:after="0"/>
              <w:rPr>
                <w:sz w:val="11"/>
                <w:szCs w:val="11"/>
                <w:color w:val="auto"/>
              </w:rPr>
            </w:pPr>
          </w:p>
        </w:tc>
      </w:tr>
      <w:tr>
        <w:trPr>
          <w:trHeight w:val="149"/>
        </w:trPr>
        <w:tc>
          <w:tcPr>
            <w:tcW w:w="4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 to</w:t>
            </w:r>
          </w:p>
        </w:tc>
        <w:tc>
          <w:tcPr>
            <w:tcW w:w="4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 to</w:t>
            </w:r>
          </w:p>
        </w:tc>
        <w:tc>
          <w:tcPr>
            <w:tcW w:w="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 to</w:t>
            </w:r>
          </w:p>
        </w:tc>
        <w:tc>
          <w:tcPr>
            <w:tcW w:w="46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Option to</w:t>
            </w:r>
          </w:p>
        </w:tc>
      </w:tr>
      <w:tr>
        <w:trPr>
          <w:trHeight w:val="149"/>
        </w:trPr>
        <w:tc>
          <w:tcPr>
            <w:tcW w:w="4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w:t>
            </w:r>
          </w:p>
        </w:tc>
        <w:tc>
          <w:tcPr>
            <w:tcW w:w="4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w:t>
            </w:r>
          </w:p>
        </w:tc>
        <w:tc>
          <w:tcPr>
            <w:tcW w:w="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Purchase</w:t>
            </w:r>
          </w:p>
        </w:tc>
        <w:tc>
          <w:tcPr>
            <w:tcW w:w="46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Purchase</w:t>
            </w:r>
          </w:p>
        </w:tc>
      </w:tr>
      <w:tr>
        <w:trPr>
          <w:trHeight w:val="149"/>
        </w:trPr>
        <w:tc>
          <w:tcPr>
            <w:tcW w:w="4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4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Additional</w:t>
            </w:r>
          </w:p>
        </w:tc>
        <w:tc>
          <w:tcPr>
            <w:tcW w:w="46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Additional</w:t>
            </w:r>
          </w:p>
        </w:tc>
      </w:tr>
      <w:tr>
        <w:trPr>
          <w:trHeight w:val="161"/>
        </w:trPr>
        <w:tc>
          <w:tcPr>
            <w:tcW w:w="4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4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4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46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Shares</w:t>
            </w:r>
          </w:p>
        </w:tc>
      </w:tr>
      <w:tr>
        <w:trPr>
          <w:trHeight w:val="210"/>
        </w:trPr>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31"/>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11"/>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31"/>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Underwriting discounts and commissions paid by us</w:t>
            </w:r>
          </w:p>
        </w:tc>
        <w:tc>
          <w:tcPr>
            <w:tcW w:w="1920" w:type="dxa"/>
            <w:vAlign w:val="bottom"/>
            <w:gridSpan w:val="2"/>
          </w:tcPr>
          <w:p>
            <w:pPr>
              <w:jc w:val="right"/>
              <w:ind w:right="53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1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920" w:type="dxa"/>
            <w:vAlign w:val="bottom"/>
            <w:gridSpan w:val="2"/>
            <w:shd w:val="clear" w:color="auto" w:fill="CCEEFF"/>
          </w:tcPr>
          <w:p>
            <w:pPr>
              <w:jc w:val="right"/>
              <w:ind w:right="53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1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9"/>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3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 referred to above, will be approximately $ .</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Market under the trading symbol “ARDX.”</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granted to the underwriters an option, exercisable for 30 days from the date of this prospectus, to purchase, from time to time, in whole or in part,</w:t>
      </w:r>
    </w:p>
    <w:p>
      <w:pPr>
        <w:spacing w:after="0" w:line="50"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our officers and directors (for the avoidance of doubt, not including any entities affiliated with New Enterprise Associates) have agreed, subject to specified exceptions, not to directly or indirectly:</w:t>
      </w:r>
    </w:p>
    <w:p>
      <w:pPr>
        <w:spacing w:after="0" w:line="37" w:lineRule="exact"/>
        <w:rPr>
          <w:sz w:val="20"/>
          <w:szCs w:val="20"/>
          <w:color w:val="auto"/>
        </w:rPr>
      </w:pPr>
    </w:p>
    <w:p>
      <w:pPr>
        <w:ind w:left="660" w:right="100" w:hanging="206"/>
        <w:spacing w:after="0" w:line="298"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or otherwise transfer or dispose of, directly or indirectly, or file with the Securities and Exchange Commission a registration statement under the Securities Act relating to, any shares of our common stock or any securities convertible into or exercisable or exchangeable for our common stock, or publicly disclose the intention to make any offer, sale, pledge, disposition or filing, or</w:t>
      </w:r>
    </w:p>
    <w:p>
      <w:pPr>
        <w:spacing w:after="0" w:line="18"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common stock or any such other securities, or</w:t>
      </w:r>
    </w:p>
    <w:p>
      <w:pPr>
        <w:spacing w:after="0" w:line="37" w:lineRule="exact"/>
        <w:rPr>
          <w:rFonts w:ascii="Arial" w:cs="Arial" w:eastAsia="Arial" w:hAnsi="Arial"/>
          <w:sz w:val="18"/>
          <w:szCs w:val="18"/>
          <w:color w:val="auto"/>
        </w:rPr>
      </w:pPr>
    </w:p>
    <w:p>
      <w:pPr>
        <w:ind w:left="660" w:right="20" w:hanging="206"/>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shares or any of the economic consequences of ownership of common stock or any such other securities currently or hereafter owned either of record or beneficially by the undersigned or such family member, or cause to be filed a registration statement, prospectus or prospectus supplement (or an amendment or supplement thereto) with respect to any such registration, or</w:t>
      </w:r>
    </w:p>
    <w:p>
      <w:pPr>
        <w:spacing w:after="0" w:line="48"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publicly announce an intention to do any of the foregoing for a period of 60 days after the date of this prospectus supplement without the prior written consent of the representatives.</w:t>
      </w:r>
    </w:p>
    <w:p>
      <w:pPr>
        <w:spacing w:after="0" w:line="118" w:lineRule="exact"/>
        <w:rPr>
          <w:sz w:val="20"/>
          <w:szCs w:val="20"/>
          <w:color w:val="auto"/>
        </w:rPr>
      </w:pPr>
    </w:p>
    <w:p>
      <w:pPr>
        <w:jc w:val="center"/>
        <w:ind w:right="40"/>
        <w:spacing w:after="0" w:line="440" w:lineRule="auto"/>
        <w:rPr>
          <w:sz w:val="20"/>
          <w:szCs w:val="20"/>
          <w:color w:val="auto"/>
        </w:rPr>
      </w:pPr>
      <w:r>
        <w:rPr>
          <w:rFonts w:ascii="Arial" w:cs="Arial" w:eastAsia="Arial" w:hAnsi="Arial"/>
          <w:sz w:val="18"/>
          <w:szCs w:val="18"/>
          <w:color w:val="auto"/>
        </w:rPr>
        <w:t>This restriction terminates after the close of trading of the common stock on and including the 60th day after the date of this prospectus supplement. S-23</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5"/>
          <w:szCs w:val="15"/>
          <w:color w:val="auto"/>
        </w:rPr>
        <w:t>The foregoing restrictions shall not apply to us with respect to (a) the shares of our common stock to be sold hereunder, (b) the issuance by us of shares of common stock upon the exercise of an option or warrant (whether by cash exercise or “net” or “cashless exercise”) or the conversion of outstanding securities, in each case that is described in or issued pursuant to our equity incentive award plans, (c) the issuance of equity-based awards pursuant to the our equity incentive award plans, (d) the filing of a registration statement on Form S-8 relating to the shares of common stock granted, or options to purchase, pursuant to or reserved for issuance under our equity incentive award plans and (e) the sale or issuance of or entry into an agreement to sell or issue shares of common stock or securities convertible into or exercisable or exchangeable for common stock in connection with (1) an equipment leasing arrangement or debt financing facility,</w:t>
      </w:r>
    </w:p>
    <w:p>
      <w:pPr>
        <w:spacing w:after="0" w:line="1" w:lineRule="exact"/>
        <w:rPr>
          <w:sz w:val="20"/>
          <w:szCs w:val="20"/>
          <w:color w:val="auto"/>
        </w:rPr>
      </w:pPr>
    </w:p>
    <w:p>
      <w:pPr>
        <w:ind w:right="20" w:firstLine="8"/>
        <w:spacing w:after="0" w:line="292" w:lineRule="auto"/>
        <w:tabs>
          <w:tab w:leader="none" w:pos="2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mergers, (3) acquisition of securities, businesses, proper or other assets, (4) joint ventures or (5) strategic alliances; provided, that the aggregate number of shares of common stock or securities convertible into or exercisable for common stock (on an as-converted or as-exercised basis, as the case may be) that we may sell or issue or agree to sell or issue pursuant to this clause (e) shall not exceed 5.0% of the total number of shares of common stock issued and outstanding immediately following the completion of this offering; and provided further, that each recipient of shares of common stock or securities convertible into or exercisable for common stock pursuant to this clause (e) shall execute a lock-up agreement.</w:t>
      </w:r>
    </w:p>
    <w:p>
      <w:pPr>
        <w:spacing w:after="0" w:line="10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foregoing restrictions shall not apply to our officers and directors with respect to (a) the shares of our common stock to be sold hereunder; (b) the transfer of shares or related securities (i) by bona fide gift or gifts, will or intestacy, (ii) to a family member or any trust or entity formed for estate planning purposes, (iii) where the stockholder is a corporation, partnership or other business entity, as a distribution to partners, members or stockholders or a transfer to affiliates, or (iv) where the stockholder is a trust, to a trustor or beneficiary of the trust; (c) the transfer of shares or related securities upon a vesting event or upon the exercise or conversion of options or warrants to purchase the Company’s securities, in each case, on a “cashless” or “net exercise” basis or to cover tax withholding obligations of the undersigned in connection with such vesting or exercise; (d) the transfer of shares or related securities by operation of law; (e) the transfer of shares or related securities pursuant to agreements under which the Company has either the option to repurchase or a right of first refusal with respect to such shares or related securities of the Company; (f) the transfer of shares or related securities pursuant to a bona fide third party tender offer, merger, consolidation or other similar transaction made to all holders of shares or related securities involving a change of control of the Company; (g) selling shares or related securities pursuant to an existing 10b5-1 trading plan; and (h) establishing a 10b5-1 trading plan, provided that such plan does not allow for the sale of any shares or related securities during the lock-up period.</w:t>
      </w:r>
    </w:p>
    <w:p>
      <w:pPr>
        <w:spacing w:after="0" w:line="11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representatives may, in their discretion and at any time or from time to time before the termination of the 60-day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83"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The underwriters have advised us that they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7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3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9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None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underwriters may also engage in passive market making transactions in our common stock on The Nasdaq Global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 prospectus in electronic format may be made available by e-mail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8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9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in any jurisdiction in which such an offer or a solicitation is unlawful.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77"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w:t>
      </w:r>
      <w:r>
        <w:rPr>
          <w:rFonts w:ascii="Arial" w:cs="Arial" w:eastAsia="Arial" w:hAnsi="Arial"/>
          <w:sz w:val="18"/>
          <w:szCs w:val="18"/>
          <w:b w:val="1"/>
          <w:bCs w:val="1"/>
          <w:color w:val="auto"/>
        </w:rPr>
        <w:t>Relevant Member State</w:t>
      </w:r>
      <w:r>
        <w:rPr>
          <w:rFonts w:ascii="Arial" w:cs="Arial" w:eastAsia="Arial" w:hAnsi="Arial"/>
          <w:sz w:val="18"/>
          <w:szCs w:val="18"/>
          <w:color w:val="auto"/>
        </w:rPr>
        <w:t>”), with effect from and including the date on which the Prospectus Directive is implemented in that Relevant Member State, no offer of shares may be made to the public in that Relevant Member State other than:</w:t>
      </w:r>
    </w:p>
    <w:p>
      <w:pPr>
        <w:spacing w:after="0" w:line="44" w:lineRule="exact"/>
        <w:rPr>
          <w:sz w:val="20"/>
          <w:szCs w:val="20"/>
          <w:color w:val="auto"/>
        </w:rPr>
      </w:pPr>
    </w:p>
    <w:p>
      <w:pPr>
        <w:ind w:left="1000" w:hanging="54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76" w:lineRule="exact"/>
        <w:rPr>
          <w:rFonts w:ascii="Arial" w:cs="Arial" w:eastAsia="Arial" w:hAnsi="Arial"/>
          <w:sz w:val="18"/>
          <w:szCs w:val="18"/>
          <w:color w:val="auto"/>
        </w:rPr>
      </w:pPr>
    </w:p>
    <w:p>
      <w:pPr>
        <w:ind w:left="1000" w:right="460" w:hanging="546"/>
        <w:spacing w:after="0" w:line="268"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underwriters; or</w:t>
      </w:r>
    </w:p>
    <w:p>
      <w:pPr>
        <w:spacing w:after="0" w:line="37" w:lineRule="exact"/>
        <w:rPr>
          <w:rFonts w:ascii="Arial" w:cs="Arial" w:eastAsia="Arial" w:hAnsi="Arial"/>
          <w:sz w:val="18"/>
          <w:szCs w:val="18"/>
          <w:color w:val="auto"/>
        </w:rPr>
      </w:pPr>
    </w:p>
    <w:p>
      <w:pPr>
        <w:ind w:left="1000" w:hanging="54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58"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provided that no such offer of shares shall require the Company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9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the purposes of this provision, the expression an “</w:t>
      </w:r>
      <w:r>
        <w:rPr>
          <w:rFonts w:ascii="Arial" w:cs="Arial" w:eastAsia="Arial" w:hAnsi="Arial"/>
          <w:sz w:val="18"/>
          <w:szCs w:val="18"/>
          <w:b w:val="1"/>
          <w:bCs w:val="1"/>
          <w:color w:val="auto"/>
        </w:rPr>
        <w:t>offer of shares to the public</w:t>
      </w:r>
      <w:r>
        <w:rPr>
          <w:rFonts w:ascii="Arial" w:cs="Arial" w:eastAsia="Arial" w:hAnsi="Arial"/>
          <w:sz w:val="18"/>
          <w:szCs w:val="18"/>
          <w:color w:val="auto"/>
        </w:rPr>
        <w:t>”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Instrument 45-106 Prospectus Exemptions or subsection 73.3(1) of the Securities Act (Ontario), and are permitted clients, as defined in 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Instrument 31-103 Registration Requirements, Exemptions and Ongoing Registrant Obligations. Any resale of the shares must be made in accordance with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exemption from, or in a transaction not subject to, the prospectus requirements of applicable securities laws.</w:t>
      </w:r>
    </w:p>
    <w:p>
      <w:pPr>
        <w:spacing w:after="0" w:line="1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9"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64"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The shares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document:</w:t>
      </w:r>
    </w:p>
    <w:p>
      <w:pPr>
        <w:spacing w:after="0" w:line="77"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does not constitute a product disclosure document or a prospectus under Chapter 6D.2 of the Corporations Act 2001 (Cth) (the “Corporations Act”);</w:t>
      </w:r>
    </w:p>
    <w:p>
      <w:pPr>
        <w:spacing w:after="0" w:line="126" w:lineRule="exact"/>
        <w:rPr>
          <w:rFonts w:ascii="Arial" w:cs="Arial" w:eastAsia="Arial" w:hAnsi="Arial"/>
          <w:sz w:val="16"/>
          <w:szCs w:val="16"/>
          <w:color w:val="auto"/>
        </w:rPr>
      </w:pPr>
    </w:p>
    <w:p>
      <w:pPr>
        <w:ind w:left="660" w:right="40" w:hanging="206"/>
        <w:spacing w:after="0" w:line="32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w:t>
      </w:r>
    </w:p>
    <w:p>
      <w:pPr>
        <w:spacing w:after="0" w:line="1" w:lineRule="exact"/>
        <w:rPr>
          <w:rFonts w:ascii="Arial" w:cs="Arial" w:eastAsia="Arial" w:hAnsi="Arial"/>
          <w:sz w:val="16"/>
          <w:szCs w:val="16"/>
          <w:color w:val="auto"/>
        </w:rPr>
      </w:pPr>
    </w:p>
    <w:p>
      <w:pPr>
        <w:ind w:left="660" w:right="200" w:hanging="206"/>
        <w:spacing w:after="0" w:line="32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 w:lineRule="exact"/>
        <w:rPr>
          <w:rFonts w:ascii="Arial" w:cs="Arial" w:eastAsia="Arial" w:hAnsi="Arial"/>
          <w:sz w:val="16"/>
          <w:szCs w:val="16"/>
          <w:color w:val="auto"/>
        </w:rPr>
      </w:pPr>
    </w:p>
    <w:p>
      <w:pPr>
        <w:ind w:left="660" w:right="40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18"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99"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8"/>
        <w:spacing w:after="0" w:line="290" w:lineRule="auto"/>
        <w:tabs>
          <w:tab w:leader="none" w:pos="366" w:val="left"/>
        </w:tabs>
        <w:numPr>
          <w:ilvl w:val="0"/>
          <w:numId w:val="16"/>
        </w:numPr>
        <w:rPr>
          <w:rFonts w:ascii="Arial" w:cs="Arial" w:eastAsia="Arial" w:hAnsi="Arial"/>
          <w:sz w:val="16"/>
          <w:szCs w:val="16"/>
          <w:color w:val="auto"/>
        </w:rPr>
      </w:pPr>
      <w:r>
        <w:rPr>
          <w:rFonts w:ascii="Arial" w:cs="Arial" w:eastAsia="Arial" w:hAnsi="Arial"/>
          <w:sz w:val="16"/>
          <w:szCs w:val="16"/>
          <w:color w:val="auto"/>
        </w:rPr>
        <w:t>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w:t>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Section 275(1), or any person pursuant to Section 275(1A), and in accordance with the conditions specified in Section 275 of the SFA, or (iii) otherwise pursuant to, and in accordance with the conditions of, any other applicable provision of the SFA.</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77" w:lineRule="exact"/>
        <w:rPr>
          <w:sz w:val="20"/>
          <w:szCs w:val="20"/>
          <w:color w:val="auto"/>
        </w:rPr>
      </w:pPr>
    </w:p>
    <w:p>
      <w:pPr>
        <w:ind w:left="1000" w:right="100" w:hanging="546"/>
        <w:spacing w:after="0" w:line="325"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 w:lineRule="exact"/>
        <w:rPr>
          <w:rFonts w:ascii="Arial" w:cs="Arial" w:eastAsia="Arial" w:hAnsi="Arial"/>
          <w:sz w:val="16"/>
          <w:szCs w:val="16"/>
          <w:color w:val="auto"/>
        </w:rPr>
      </w:pPr>
    </w:p>
    <w:p>
      <w:pPr>
        <w:ind w:left="1000" w:right="120" w:hanging="546"/>
        <w:spacing w:after="0" w:line="268"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ind w:right="320"/>
        <w:spacing w:after="0" w:line="325"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 w:lineRule="exact"/>
        <w:rPr>
          <w:sz w:val="20"/>
          <w:szCs w:val="20"/>
          <w:color w:val="auto"/>
        </w:rPr>
      </w:pPr>
    </w:p>
    <w:p>
      <w:pPr>
        <w:ind w:left="1000" w:right="580" w:hanging="546"/>
        <w:spacing w:after="0" w:line="268"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37" w:lineRule="exact"/>
        <w:rPr>
          <w:rFonts w:ascii="Arial" w:cs="Arial" w:eastAsia="Arial" w:hAnsi="Arial"/>
          <w:sz w:val="18"/>
          <w:szCs w:val="18"/>
          <w:color w:val="auto"/>
        </w:rPr>
      </w:pPr>
    </w:p>
    <w:p>
      <w:pPr>
        <w:ind w:left="1000" w:hanging="546"/>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76" w:lineRule="exact"/>
        <w:rPr>
          <w:rFonts w:ascii="Arial" w:cs="Arial" w:eastAsia="Arial" w:hAnsi="Arial"/>
          <w:sz w:val="18"/>
          <w:szCs w:val="18"/>
          <w:color w:val="auto"/>
        </w:rPr>
      </w:pPr>
    </w:p>
    <w:p>
      <w:pPr>
        <w:ind w:left="1000" w:hanging="546"/>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76" w:lineRule="exact"/>
        <w:rPr>
          <w:rFonts w:ascii="Arial" w:cs="Arial" w:eastAsia="Arial" w:hAnsi="Arial"/>
          <w:sz w:val="18"/>
          <w:szCs w:val="18"/>
          <w:color w:val="auto"/>
        </w:rPr>
      </w:pPr>
    </w:p>
    <w:p>
      <w:pPr>
        <w:ind w:left="1000" w:hanging="546"/>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76" w:lineRule="exact"/>
        <w:rPr>
          <w:rFonts w:ascii="Arial" w:cs="Arial" w:eastAsia="Arial" w:hAnsi="Arial"/>
          <w:sz w:val="18"/>
          <w:szCs w:val="18"/>
          <w:color w:val="auto"/>
        </w:rPr>
      </w:pPr>
    </w:p>
    <w:p>
      <w:pPr>
        <w:ind w:left="1000" w:hanging="546"/>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validity of the issuance of our common stock offered hereby will be passed upon for us by Latham &amp; Watkins LLP, Menlo Park, California. Davis Polk &amp; Wardwell LLP, Menlo Park, California, is acting as counsel for the underwriters in connection with this offering.</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2018, as set forth in their report, which is incorporated by reference in this prospectus supplement and elsewhere in the registration statement. Our financial statements are incorporated by reference in reliance on Ernst &amp; Young LLP’s report, given on their authority as experts in accounting and auditing.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have filed with the SEC a registration statement on Form S-3 under the Securities Act, of which this prospectus forms a part. The rules and regulations of the SEC allow us to omit from this prospectus certain information included in the registration statement. For further information about us and the securities we are offering under this prospectus,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86"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 xml:space="preserve">We file reports, proxy statements and other information with the SEC under the Exchange Act. The SEC also maintains an Internet website that contains reports, proxy statements and other information about issuers, like us, that file electronically with the SEC. The address of that website is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information filed (rather than furnished) with the SEC under Sections 13(a), 13(c), 14, or 15(d) of the Exchange Act between the date of this prospectus and the termination of this offering, provided, however, that we are not incorporating any information furnished under Item 2.02 or Item 7.01 of any current report on Form 8-K:</w:t>
      </w:r>
    </w:p>
    <w:p>
      <w:pPr>
        <w:spacing w:after="0" w:line="26" w:lineRule="exact"/>
        <w:rPr>
          <w:sz w:val="20"/>
          <w:szCs w:val="20"/>
          <w:color w:val="auto"/>
        </w:rPr>
      </w:pPr>
    </w:p>
    <w:p>
      <w:pPr>
        <w:ind w:left="660" w:right="80" w:hanging="206"/>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2018, filed with the SEC on March 6, 2019, including the information specifically incorporated by reference into our Annual Report on Form 10-K from our </w:t>
      </w:r>
      <w:hyperlink r:id="rId49">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Schedule 14A filed with the SEC on April 26, 2019;</w:t>
      </w:r>
    </w:p>
    <w:p>
      <w:pPr>
        <w:spacing w:after="0" w:line="45"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19"/>
        </w:numPr>
        <w:rPr>
          <w:rFonts w:ascii="Arial" w:cs="Arial" w:eastAsia="Arial" w:hAnsi="Arial"/>
          <w:sz w:val="18"/>
          <w:szCs w:val="18"/>
          <w:color w:val="0000EE"/>
        </w:rPr>
      </w:pPr>
      <w:hyperlink r:id="rId50">
        <w:r>
          <w:rPr>
            <w:rFonts w:ascii="Arial" w:cs="Arial" w:eastAsia="Arial" w:hAnsi="Arial"/>
            <w:sz w:val="18"/>
            <w:szCs w:val="18"/>
            <w:color w:val="auto"/>
          </w:rPr>
          <w:t xml:space="preserve">our Quarterly Reports on Form 10-Q for the quarters ended March 31, 2019, June 30, 2019 and September 30, 2019, filed with the SEC on </w:t>
        </w:r>
        <w:r>
          <w:rPr>
            <w:rFonts w:ascii="Arial" w:cs="Arial" w:eastAsia="Arial" w:hAnsi="Arial"/>
            <w:sz w:val="18"/>
            <w:szCs w:val="18"/>
            <w:u w:val="single" w:color="auto"/>
            <w:color w:val="0000EE"/>
          </w:rPr>
          <w:t>May 7,</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1">
        <w:r>
          <w:rPr>
            <w:rFonts w:ascii="Arial" w:cs="Arial" w:eastAsia="Arial" w:hAnsi="Arial"/>
            <w:sz w:val="18"/>
            <w:szCs w:val="18"/>
            <w:u w:val="single" w:color="auto"/>
            <w:color w:val="0000EE"/>
          </w:rPr>
          <w:t xml:space="preserve">August 9, 2019 </w:t>
        </w:r>
      </w:hyperlink>
      <w:hyperlink r:id="rId50">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52">
        <w:r>
          <w:rPr>
            <w:rFonts w:ascii="Arial" w:cs="Arial" w:eastAsia="Arial" w:hAnsi="Arial"/>
            <w:sz w:val="18"/>
            <w:szCs w:val="18"/>
            <w:u w:val="single" w:color="auto"/>
            <w:color w:val="0000EE"/>
          </w:rPr>
          <w:t>November 6, 2019</w:t>
        </w:r>
      </w:hyperlink>
      <w:hyperlink r:id="rId50">
        <w:r>
          <w:rPr>
            <w:rFonts w:ascii="Arial" w:cs="Arial" w:eastAsia="Arial" w:hAnsi="Arial"/>
            <w:sz w:val="18"/>
            <w:szCs w:val="18"/>
            <w:color w:val="000000"/>
          </w:rPr>
          <w:t>, respectively;</w:t>
        </w:r>
      </w:hyperlink>
    </w:p>
    <w:p>
      <w:pPr>
        <w:spacing w:after="0" w:line="37" w:lineRule="exact"/>
        <w:rPr>
          <w:rFonts w:ascii="Arial" w:cs="Arial" w:eastAsia="Arial" w:hAnsi="Arial"/>
          <w:sz w:val="18"/>
          <w:szCs w:val="18"/>
          <w:color w:val="0000EE"/>
        </w:rPr>
      </w:pPr>
    </w:p>
    <w:p>
      <w:pPr>
        <w:ind w:left="660" w:right="560" w:hanging="206"/>
        <w:spacing w:after="0" w:line="268" w:lineRule="auto"/>
        <w:tabs>
          <w:tab w:leader="none" w:pos="660" w:val="left"/>
        </w:tabs>
        <w:numPr>
          <w:ilvl w:val="0"/>
          <w:numId w:val="19"/>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53">
        <w:r>
          <w:rPr>
            <w:rFonts w:ascii="Arial" w:cs="Arial" w:eastAsia="Arial" w:hAnsi="Arial"/>
            <w:sz w:val="18"/>
            <w:szCs w:val="18"/>
            <w:u w:val="single" w:color="auto"/>
            <w:color w:val="0000EE"/>
          </w:rPr>
          <w:t>March 18, 2019</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EE"/>
          </w:rPr>
          <w:t>June 5, 2019</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June 14, 2019</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September 3, 2019</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EE"/>
          </w:rPr>
          <w:t>September 13, 2019</w:t>
        </w:r>
      </w:hyperlink>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EE"/>
          </w:rPr>
          <w:t>November 26,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9">
        <w:r>
          <w:rPr>
            <w:rFonts w:ascii="Arial" w:cs="Arial" w:eastAsia="Arial" w:hAnsi="Arial"/>
            <w:sz w:val="18"/>
            <w:szCs w:val="18"/>
            <w:u w:val="single" w:color="auto"/>
            <w:color w:val="0000EE"/>
          </w:rPr>
          <w:t xml:space="preserve">December 2,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60">
        <w:r>
          <w:rPr>
            <w:rFonts w:ascii="Arial" w:cs="Arial" w:eastAsia="Arial" w:hAnsi="Arial"/>
            <w:sz w:val="18"/>
            <w:szCs w:val="18"/>
            <w:u w:val="single" w:color="auto"/>
            <w:color w:val="0000EE"/>
          </w:rPr>
          <w:t>December 3,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18"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76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62">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June 9, 2014, including any amendments or reports filed for the purpose of updating such description.</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These documents may also be accessed on our website at </w:t>
      </w:r>
      <w:r>
        <w:rPr>
          <w:rFonts w:ascii="Arial" w:cs="Arial" w:eastAsia="Arial" w:hAnsi="Arial"/>
          <w:sz w:val="18"/>
          <w:szCs w:val="18"/>
          <w:i w:val="1"/>
          <w:iCs w:val="1"/>
          <w:color w:val="auto"/>
        </w:rPr>
        <w:t>www.ardelyx.com</w:t>
      </w:r>
      <w:r>
        <w:rPr>
          <w:rFonts w:ascii="Arial" w:cs="Arial" w:eastAsia="Arial" w:hAnsi="Arial"/>
          <w:sz w:val="18"/>
          <w:szCs w:val="18"/>
          <w:color w:val="auto"/>
        </w:rPr>
        <w:t>. Except as otherwise specifically incorporated by reference in this prospectus, information contained in, or accessible through, our website is not a part of this prospectus.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will furnish without charge to you, upon written or oral request, a copy of any or all of the documents incorporated by reference, including exhibits to these documents by writing or telephoning us at the following address: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Ardelyx, Inc.</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34175 Ardenwood Blvd., Suite 200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Fremont, CA 94555</w:t>
      </w:r>
    </w:p>
    <w:p>
      <w:pPr>
        <w:spacing w:after="0" w:line="9" w:lineRule="exact"/>
        <w:rPr>
          <w:sz w:val="20"/>
          <w:szCs w:val="20"/>
          <w:color w:val="auto"/>
        </w:rPr>
      </w:pPr>
    </w:p>
    <w:p>
      <w:pPr>
        <w:ind w:left="5580" w:hanging="415"/>
        <w:spacing w:after="0"/>
        <w:tabs>
          <w:tab w:leader="none" w:pos="5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745-1700</w:t>
      </w:r>
    </w:p>
    <w:p>
      <w:pPr>
        <w:spacing w:after="0" w:line="32" w:lineRule="exact"/>
        <w:rPr>
          <w:rFonts w:ascii="Arial" w:cs="Arial" w:eastAsia="Arial" w:hAnsi="Arial"/>
          <w:sz w:val="16"/>
          <w:szCs w:val="16"/>
          <w:color w:val="auto"/>
        </w:rPr>
      </w:pPr>
    </w:p>
    <w:p>
      <w:pPr>
        <w:ind w:left="4740"/>
        <w:spacing w:after="0"/>
        <w:rPr>
          <w:rFonts w:ascii="Arial" w:cs="Arial" w:eastAsia="Arial" w:hAnsi="Arial"/>
          <w:sz w:val="16"/>
          <w:szCs w:val="16"/>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60"/>
          </w:cols>
          <w:pgMar w:left="240" w:top="459"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 Preferred Stock, Debt Securities,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Warrants, Purchase Contracts,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may offer and sell up to $250,000,000 in the aggregate of the securities identified above from time to time in one or more offerings. This prospectus provides you with a general description of the securities.</w:t>
      </w:r>
    </w:p>
    <w:p>
      <w:pPr>
        <w:spacing w:after="0" w:line="17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280"/>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SECURITIES INVOLVES RISKS. SEE THE “</w:t>
      </w:r>
      <w:hyperlink w:anchor="page40">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ON PAGE 5 OF THIS PROSPECTUS AND ANY SIMILAR SECTION CONTAINED IN THE APPLICABLE PROSPECTUS SUPPLEMENT CONCERNING FACTORS YOU SHOULD CONSIDER BEFORE INVESTING IN OUR SECURITIES.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listed on The NASDAQ Global Market under the symbol “ARDX.” On April 21, 2017, the last reported sale price of our common stock on The NASDAQ Global Market was $12.50 per share.</w:t>
      </w:r>
    </w:p>
    <w:p>
      <w:pPr>
        <w:spacing w:after="0" w:line="16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May 4, 2017.</w:t>
      </w:r>
    </w:p>
    <w:p>
      <w:pPr>
        <w:sectPr>
          <w:pgSz w:w="11900" w:h="16838" w:orient="portrait"/>
          <w:cols w:equalWidth="0" w:num="1">
            <w:col w:w="11420"/>
          </w:cols>
          <w:pgMar w:left="240" w:top="459"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6740" w:type="dxa"/>
            <w:vAlign w:val="bottom"/>
            <w:gridSpan w:val="1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68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gridSpan w:val="2"/>
          </w:tcPr>
          <w:p>
            <w:pPr>
              <w:ind w:left="1200"/>
              <w:spacing w:after="0"/>
              <w:rPr>
                <w:sz w:val="20"/>
                <w:szCs w:val="20"/>
                <w:color w:val="auto"/>
              </w:rPr>
            </w:pPr>
            <w:r>
              <w:rPr>
                <w:rFonts w:ascii="Arial" w:cs="Arial" w:eastAsia="Arial" w:hAnsi="Arial"/>
                <w:sz w:val="18"/>
                <w:szCs w:val="18"/>
                <w:b w:val="1"/>
                <w:bCs w:val="1"/>
                <w:color w:val="auto"/>
              </w:rPr>
              <w:t>TABLE OF CONTENTS</w:t>
            </w:r>
          </w:p>
        </w:tc>
        <w:tc>
          <w:tcPr>
            <w:tcW w:w="4680" w:type="dxa"/>
            <w:vAlign w:val="bottom"/>
          </w:tcPr>
          <w:p>
            <w:pPr>
              <w:spacing w:after="0"/>
              <w:rPr>
                <w:sz w:val="24"/>
                <w:szCs w:val="24"/>
                <w:color w:val="auto"/>
              </w:rPr>
            </w:pPr>
          </w:p>
        </w:tc>
      </w:tr>
      <w:tr>
        <w:trPr>
          <w:trHeight w:val="419"/>
        </w:trPr>
        <w:tc>
          <w:tcPr>
            <w:tcW w:w="22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ABOUT THIS PROSPECTUS</w:t>
              </w:r>
            </w:hyperlink>
          </w:p>
        </w:tc>
        <w:tc>
          <w:tcPr>
            <w:tcW w:w="4500" w:type="dxa"/>
            <w:vAlign w:val="bottom"/>
            <w:gridSpan w:val="6"/>
          </w:tcPr>
          <w:p>
            <w:pPr>
              <w:spacing w:after="0"/>
              <w:rPr>
                <w:sz w:val="24"/>
                <w:szCs w:val="24"/>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674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WHERE YOU CAN FIND MORE INFORMATION; INCORPORATION BY REFERENCE</w:t>
              </w:r>
            </w:hyperlink>
          </w:p>
        </w:tc>
        <w:tc>
          <w:tcPr>
            <w:tcW w:w="46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52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ABOUT ARDELYX</w:t>
              </w:r>
            </w:hyperlink>
          </w:p>
        </w:tc>
        <w:tc>
          <w:tcPr>
            <w:tcW w:w="5220" w:type="dxa"/>
            <w:vAlign w:val="bottom"/>
            <w:gridSpan w:val="11"/>
          </w:tcPr>
          <w:p>
            <w:pPr>
              <w:spacing w:after="0"/>
              <w:rPr>
                <w:sz w:val="17"/>
                <w:szCs w:val="17"/>
                <w:color w:val="auto"/>
              </w:rPr>
            </w:pPr>
          </w:p>
        </w:tc>
        <w:tc>
          <w:tcPr>
            <w:tcW w:w="4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RISK FACTORS</w:t>
              </w:r>
            </w:hyperlink>
          </w:p>
        </w:tc>
        <w:tc>
          <w:tcPr>
            <w:tcW w:w="5480" w:type="dxa"/>
            <w:vAlign w:val="bottom"/>
            <w:gridSpan w:val="14"/>
          </w:tcPr>
          <w:p>
            <w:pPr>
              <w:spacing w:after="0"/>
              <w:rPr>
                <w:sz w:val="17"/>
                <w:szCs w:val="17"/>
                <w:color w:val="auto"/>
              </w:rPr>
            </w:pPr>
          </w:p>
        </w:tc>
        <w:tc>
          <w:tcPr>
            <w:tcW w:w="4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6740" w:type="dxa"/>
            <w:vAlign w:val="bottom"/>
            <w:gridSpan w:val="1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4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96"/>
        </w:trPr>
        <w:tc>
          <w:tcPr>
            <w:tcW w:w="6740" w:type="dxa"/>
            <w:vAlign w:val="bottom"/>
            <w:gridSpan w:val="1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RATIO OF EARNINGS TO FIXED CHARGES AND PREFERENCE DIVIDENDS</w:t>
              </w:r>
            </w:hyperlink>
          </w:p>
        </w:tc>
        <w:tc>
          <w:tcPr>
            <w:tcW w:w="4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DESCRIPTION OF CAPITAL STOCK</w:t>
              </w:r>
            </w:hyperlink>
          </w:p>
        </w:tc>
        <w:tc>
          <w:tcPr>
            <w:tcW w:w="3260" w:type="dxa"/>
            <w:vAlign w:val="bottom"/>
            <w:tcBorders>
              <w:top w:val="single" w:sz="8" w:color="0000EE"/>
            </w:tcBorders>
            <w:gridSpan w:val="3"/>
          </w:tcPr>
          <w:p>
            <w:pPr>
              <w:spacing w:after="0"/>
              <w:rPr>
                <w:sz w:val="17"/>
                <w:szCs w:val="17"/>
                <w:color w:val="auto"/>
              </w:rPr>
            </w:pPr>
          </w:p>
        </w:tc>
        <w:tc>
          <w:tcPr>
            <w:tcW w:w="600" w:type="dxa"/>
            <w:vAlign w:val="bottom"/>
          </w:tcPr>
          <w:p>
            <w:pPr>
              <w:spacing w:after="0"/>
              <w:rPr>
                <w:sz w:val="17"/>
                <w:szCs w:val="17"/>
                <w:color w:val="auto"/>
              </w:rPr>
            </w:pPr>
          </w:p>
        </w:tc>
        <w:tc>
          <w:tcPr>
            <w:tcW w:w="46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04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48">
              <w:r>
                <w:rPr>
                  <w:rFonts w:ascii="Arial" w:cs="Arial" w:eastAsia="Arial" w:hAnsi="Arial"/>
                  <w:sz w:val="18"/>
                  <w:szCs w:val="18"/>
                  <w:color w:val="0000EE"/>
                  <w:w w:val="94"/>
                </w:rPr>
                <w:t>DESCRIPTION OF DEBT SECURITIES</w:t>
              </w:r>
            </w:hyperlink>
          </w:p>
        </w:tc>
        <w:tc>
          <w:tcPr>
            <w:tcW w:w="3700" w:type="dxa"/>
            <w:vAlign w:val="bottom"/>
            <w:gridSpan w:val="3"/>
          </w:tcPr>
          <w:p>
            <w:pPr>
              <w:spacing w:after="0"/>
              <w:rPr>
                <w:sz w:val="17"/>
                <w:szCs w:val="17"/>
                <w:color w:val="auto"/>
              </w:rPr>
            </w:pPr>
          </w:p>
        </w:tc>
        <w:tc>
          <w:tcPr>
            <w:tcW w:w="46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6740" w:type="dxa"/>
            <w:vAlign w:val="bottom"/>
            <w:gridSpan w:val="16"/>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DESCRIPTION OF WARRANTS</w:t>
              </w:r>
            </w:hyperlink>
          </w:p>
        </w:tc>
        <w:tc>
          <w:tcPr>
            <w:tcW w:w="46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58">
              <w:r>
                <w:rPr>
                  <w:rFonts w:ascii="Arial" w:cs="Arial" w:eastAsia="Arial" w:hAnsi="Arial"/>
                  <w:sz w:val="18"/>
                  <w:szCs w:val="18"/>
                  <w:color w:val="0000EE"/>
                  <w:w w:val="94"/>
                </w:rPr>
                <w:t>DESCRIPTION OF PURCHASE CONTRACTS</w:t>
              </w:r>
            </w:hyperlink>
          </w:p>
        </w:tc>
        <w:tc>
          <w:tcPr>
            <w:tcW w:w="3180" w:type="dxa"/>
            <w:vAlign w:val="bottom"/>
            <w:gridSpan w:val="2"/>
          </w:tcPr>
          <w:p>
            <w:pPr>
              <w:spacing w:after="0"/>
              <w:rPr>
                <w:sz w:val="17"/>
                <w:szCs w:val="17"/>
                <w:color w:val="auto"/>
              </w:rPr>
            </w:pPr>
          </w:p>
        </w:tc>
        <w:tc>
          <w:tcPr>
            <w:tcW w:w="46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6740" w:type="dxa"/>
            <w:vAlign w:val="bottom"/>
            <w:gridSpan w:val="1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DESCRIPTION OF UNITS</w:t>
              </w:r>
            </w:hyperlink>
          </w:p>
        </w:tc>
        <w:tc>
          <w:tcPr>
            <w:tcW w:w="46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0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GLOBAL SECURITIES</w:t>
              </w:r>
            </w:hyperlink>
          </w:p>
        </w:tc>
        <w:tc>
          <w:tcPr>
            <w:tcW w:w="4720" w:type="dxa"/>
            <w:vAlign w:val="bottom"/>
            <w:gridSpan w:val="8"/>
          </w:tcPr>
          <w:p>
            <w:pPr>
              <w:spacing w:after="0"/>
              <w:rPr>
                <w:sz w:val="17"/>
                <w:szCs w:val="17"/>
                <w:color w:val="auto"/>
              </w:rPr>
            </w:pPr>
          </w:p>
        </w:tc>
        <w:tc>
          <w:tcPr>
            <w:tcW w:w="46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PLAN OF DISTRIBUTION</w:t>
              </w:r>
            </w:hyperlink>
          </w:p>
        </w:tc>
        <w:tc>
          <w:tcPr>
            <w:tcW w:w="4680" w:type="dxa"/>
            <w:vAlign w:val="bottom"/>
            <w:gridSpan w:val="7"/>
          </w:tcPr>
          <w:p>
            <w:pPr>
              <w:spacing w:after="0"/>
              <w:rPr>
                <w:sz w:val="17"/>
                <w:szCs w:val="17"/>
                <w:color w:val="auto"/>
              </w:rPr>
            </w:pPr>
          </w:p>
        </w:tc>
        <w:tc>
          <w:tcPr>
            <w:tcW w:w="46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6740" w:type="dxa"/>
            <w:vAlign w:val="bottom"/>
            <w:gridSpan w:val="1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LEGAL MATTERS</w:t>
              </w:r>
            </w:hyperlink>
          </w:p>
        </w:tc>
        <w:tc>
          <w:tcPr>
            <w:tcW w:w="4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4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EXPERTS</w:t>
              </w:r>
            </w:hyperlink>
          </w:p>
        </w:tc>
        <w:tc>
          <w:tcPr>
            <w:tcW w:w="5280" w:type="dxa"/>
            <w:vAlign w:val="bottom"/>
            <w:gridSpan w:val="12"/>
          </w:tcPr>
          <w:p>
            <w:pPr>
              <w:spacing w:after="0"/>
              <w:rPr>
                <w:sz w:val="17"/>
                <w:szCs w:val="17"/>
                <w:color w:val="auto"/>
              </w:rPr>
            </w:pPr>
          </w:p>
        </w:tc>
        <w:tc>
          <w:tcPr>
            <w:tcW w:w="4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91"/>
        </w:trPr>
        <w:tc>
          <w:tcPr>
            <w:tcW w:w="78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or the SEC, using a “shelf” registration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process. By using a shelf registration statement, we may sell securities from time to time and in one or more offerings up to a total dollar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$250,000,000 as described in this prospectus. Each time that we offer and sell securities, we will provide a prospectus supplement to this prospectus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contains specific information about the securities being offered and sold and the specific terms of that offering. The prospectus supplement may also add,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update or change information contained in this prospectus with respect to that offering. If there is any inconsistency between the information 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prospectus and the applicable prospectus supplement, you should rely on the prospectus supplement. Before purchasing any securities, you should carefully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read both this prospectus and the applicable prospectus supplement, together with the additional information described under the heading “Where You Can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Find More Information; Incorporation by Reference.”</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Neither we nor any underwriter has authorized any other person to provide you with any information or to make any representations other than those contained in this prospectus, any applicable prospectus supplement or any free writing prospectus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When we refer to “Ardelyx,” “we,” “our,” “us” and the “Company” in this prospectus, we mean Ardelyx, Inc., unless otherwise specified. When we refer to “you,” we mean the holders of the applicable series of securities.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Ardelxy</w:t>
      </w:r>
      <w:r>
        <w:rPr>
          <w:rFonts w:ascii="Arial" w:cs="Arial" w:eastAsia="Arial" w:hAnsi="Arial"/>
          <w:sz w:val="15"/>
          <w:szCs w:val="15"/>
          <w:color w:val="auto"/>
        </w:rPr>
        <w:t>®</w:t>
      </w:r>
      <w:r>
        <w:rPr>
          <w:rFonts w:ascii="Arial" w:cs="Arial" w:eastAsia="Arial" w:hAnsi="Arial"/>
          <w:sz w:val="18"/>
          <w:szCs w:val="18"/>
          <w:color w:val="auto"/>
        </w:rPr>
        <w:t xml:space="preserve"> and our logo are some of our trademarks used in this prospectus. This prospectus also includes trademarks, tradenames, and service marks that are the property of other organizations. Solely for convenience, our trademarks and tradenames referred to in this prospectus appear without the </w:t>
      </w:r>
      <w:r>
        <w:rPr>
          <w:rFonts w:ascii="Arial" w:cs="Arial" w:eastAsia="Arial" w:hAnsi="Arial"/>
          <w:sz w:val="15"/>
          <w:szCs w:val="15"/>
          <w:color w:val="auto"/>
        </w:rPr>
        <w:t>®</w:t>
      </w:r>
      <w:r>
        <w:rPr>
          <w:rFonts w:ascii="Arial" w:cs="Arial" w:eastAsia="Arial" w:hAnsi="Arial"/>
          <w:sz w:val="18"/>
          <w:szCs w:val="18"/>
          <w:color w:val="auto"/>
        </w:rPr>
        <w:t xml:space="preserve"> and ™ symbol, but those references are not intended to indicate, in any way, that we will not assert, to the fullest extent under applicable law, our rights, or the right of the applicable licensor to these trademarks and tradenames.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Section of the SEC at prescribed rates. Further information on the operation of the SEC’s Public Reference Room in Washington, D.C. can be obtained by calling the SEC at 1-800-SEC-0330. The SEC also maintains a website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www.ardelyx.com</w:t>
      </w:r>
      <w:r>
        <w:rPr>
          <w:rFonts w:ascii="Arial" w:cs="Arial" w:eastAsia="Arial" w:hAnsi="Arial"/>
          <w:sz w:val="18"/>
          <w:szCs w:val="18"/>
          <w:color w:val="auto"/>
        </w:rPr>
        <w:t>. The information on our website, however, is not, and should not be deemed to be, a part of this prospectus. We have included our website address as an inactive textual reference only.</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8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and performance graph or any information furnished pursuant to Items 2.02 or 7.01 of Form 8-K or related exhibits furnished pursuant to Item 9.01 of Form 8-K.</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76" w:lineRule="exact"/>
        <w:rPr>
          <w:sz w:val="20"/>
          <w:szCs w:val="20"/>
          <w:color w:val="auto"/>
        </w:rPr>
      </w:pPr>
    </w:p>
    <w:p>
      <w:pPr>
        <w:ind w:left="1020" w:hanging="44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7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2016, filed with the SEC on February 17, 2017;</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71">
        <w:r>
          <w:rPr>
            <w:rFonts w:ascii="Arial" w:cs="Arial" w:eastAsia="Arial" w:hAnsi="Arial"/>
            <w:sz w:val="18"/>
            <w:szCs w:val="18"/>
            <w:u w:val="single" w:color="auto"/>
            <w:color w:val="0000EE"/>
          </w:rPr>
          <w:t>February 15, 2017</w:t>
        </w:r>
      </w:hyperlink>
      <w:r>
        <w:rPr>
          <w:rFonts w:ascii="Arial" w:cs="Arial" w:eastAsia="Arial" w:hAnsi="Arial"/>
          <w:sz w:val="18"/>
          <w:szCs w:val="18"/>
          <w:color w:val="auto"/>
        </w:rPr>
        <w:t xml:space="preserve">, </w:t>
      </w:r>
      <w:hyperlink r:id="rId72">
        <w:r>
          <w:rPr>
            <w:rFonts w:ascii="Arial" w:cs="Arial" w:eastAsia="Arial" w:hAnsi="Arial"/>
            <w:sz w:val="18"/>
            <w:szCs w:val="18"/>
            <w:u w:val="single" w:color="auto"/>
            <w:color w:val="0000EE"/>
          </w:rPr>
          <w:t>March 9, 2017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3">
        <w:r>
          <w:rPr>
            <w:rFonts w:ascii="Arial" w:cs="Arial" w:eastAsia="Arial" w:hAnsi="Arial"/>
            <w:sz w:val="18"/>
            <w:szCs w:val="18"/>
            <w:u w:val="single" w:color="auto"/>
            <w:color w:val="0000EE"/>
          </w:rPr>
          <w:t>March 21, 2017</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20" w:right="320" w:hanging="445"/>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62">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June 9, 2014, including any amendments or reports filed for the purpose of updating such description.</w:t>
      </w:r>
    </w:p>
    <w:p>
      <w:pPr>
        <w:spacing w:after="0" w:line="10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Ardelyx,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34175 Ardenwood Blvd., Suite 200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Fremont, CA 94555</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(510)745-1700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ARDELYX</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clinical-stage biopharmaceutical company focused on enhancing the way patients with cardiorenal and gastrointestinal, or GI, diseases are treated by using the gut as the gateway to delivering medicines that matter. We have pioneered the development of small molecule therapeutics that act predominantly in the GI tract, thereby avoiding potentially negative side effects on the rest of the body.</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were founded in October 2007 as a Delaware corporation under the name Nteryx, Inc. Our principal executive offices are located at 34175 Ardenwood Blvd., Suite 200, Fremont, CA 94555, and our telephone number is (510) 745-1700. Our website address is www.ardelyx.com. The information on, or that can be accessed through, our website is not part of this prospectus. We have included our website address as an inactive textual reference only. References in this prospectus to “we,” “us,” “our,” “our company” or “Ardelyx” refer to Ardelyx, Inc.</w:t>
      </w:r>
    </w:p>
    <w:p>
      <w:pPr>
        <w:spacing w:after="0" w:line="1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an “emerging growth company,” as defined in the Jumpstart Our Business Startups Act of 2012. We will remain an emerging growth company until the earlier of (1) the last day of the fiscal year following the fifth anniversary of the completion of our initial public offering of common stock (December 31, 2019), (2) the last day of the fiscal year in which we have total annual gross revenue of at least $1.0 billion, (3) the last day of the fiscal year in which we are deemed to be a large accelerated filer, which means the market value of our common stock that is held by non-affiliates exceeds $700 million as of the prior June 30th, and (4) the date on which we have issued more than $1.0 billion in non-convertible debt during the prior three-year period.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of such securities. The occurrence of any of these risks might cause you to lose all or part of your investment in the offered securities.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intend to use the net proceeds from the sale of the securities as set forth in the applicable prospectus supplement.</w:t>
      </w:r>
    </w:p>
    <w:p>
      <w:pPr>
        <w:spacing w:after="0" w:line="1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45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 AND PREFERENCE DIVIDENDS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following table sets forth our ratio of earnings to fixed charges for the periods indicated (in thousands). The ratio of earnings to fixed charges is computed by dividing fixed charges into earnings before income taxes plus fixed charges. Fixed charges consist of interest expense and that portion of rental expense deemed representative of interest. We do not have any shares of preferred stock outstanding, so our ratio of earnings to fixed charges and preferred stock dividends for any given period is equivalent to our ratio of earnings to fixed charges. Our earnings have been inadequate to cover fixed charges and preference dividends. The following table sets forth the dollar amount of the deficiency to cover fixed charges for each of the years ended December 31, 2016, 2015, 2014, 2013 and 2012. We have derived the deficiency of earnings to cover fixed charges from our historical financial statements. The following should be read in conjunction with our financial statements, including the notes thereto, and the other financial information included or incorporated by reference herein. See Exhibit 12.1 hereto for additional detail regarding the computation of the deficiency of earnings to cover fixed charges.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720" w:type="dxa"/>
            <w:vAlign w:val="bottom"/>
          </w:tcPr>
          <w:p>
            <w:pPr>
              <w:spacing w:after="0"/>
              <w:rPr>
                <w:sz w:val="12"/>
                <w:szCs w:val="12"/>
                <w:color w:val="auto"/>
              </w:rPr>
            </w:pPr>
          </w:p>
        </w:tc>
        <w:tc>
          <w:tcPr>
            <w:tcW w:w="76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6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62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62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Deficiency of earnings available to cover fixed charges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(112,387)</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(29,650)</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(3,147)</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(6,423)</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(9,785)</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indicated above, we had no outstanding shares of preferred stock with required dividend payments.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following summary describes our capital stock and the material provisions of our amended and restated certificate of incorporation and our amended and restated bylaws, our investor rights agreement and registration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amended and restated investor rights agreement, and registration rights agreement, copies of which are incorporated by reference as exhibits to the registration statement of which this prospectus is a part.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amended and restated certificate of incorporation authorizes 300,000,000 shares of common stock, $0.0001 par value per share, and 5,000,000 shares of preferred stock, $0.0001 par value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2/3%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All of our outstanding shares of common stock are, and the shares of common stock to be issued in this offering will be, fully paid and nonassessable.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Based on the number of shares outstanding as of December 31, 2016, under our amended and restated investor rights agreement, the holders of approximately 5.6 million shares of common stock, or their transferees have the right to require us to register their shares under the Securities Act of 1933, as amended, or the Securities Act, so that those shares may be publicly resold, or to include their shares in any registration statement we file, in each case as described below.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Based on the number of shares outstanding as of December 31, 2016, the holders of approximately 5.6 million shares of our common stock, or their transferees, will be entitled to certain demand registration rights. The holders of at least 25% of these shares can, on not more than two occasions, request that we register all or a portion of their shares.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Based on the number of shares outstanding as of December 31, 2016, in the event that we determine to register any of our securities under the Securities Act (subject to certain exceptions), either for our own account or for the account of other security holders, the holders of approximately 5.6 million shares of our common stock, or their transferees,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a registration related to employee benefit plans, the offer and sale of debt securities, or corporate reorganizations or certain other transactions, the holders of these shares are entitled to notice of the registration and have the right, subject to limitations that the underwriters may impose on the number of shares included in the registration, to include their shares in the registration. In an underwritten offering, the managing underwriter, if any, has the right, subject to specified conditions, to limit the number of shares such holders may include.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Based on the number of shares outstanding as of December 31, 2016, the holders of approximately 5.6 million shares of our common stock, or their transferees, are entitled to certain Form S-3 registration rights. The holders of these shares can make a written request that we register their shares on Form S-3 if we are eligible to file a registration statement on Form S-3 and if the aggregate price to the public of the shares offered is at least $1.0 million. These stockholders may make an unlimited number of requests for registration on Form S-3. In addition, to fulfill our obligation to file a Form S-3 registration statement on behalf of the holders of 22,016,121 million shares of our common stock, including shares issuable upon exercise of warrants, on July 13, 2015 and August 11, 2016, we filed registration statements on Form S-3 (File Nos. 333-205630 and 333-213085) for the resale of an aggregate of 22,016,121 shares of our common stock.</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will pay the registration expenses of the holders of the shares registered pursuant to the demand, piggyback and Form S-3 registration rights described above including reasonable fees (up to a maximum of $35,000) for one counsel for the selling shareholders.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demand, piggyback and Form S-3 registration rights described above (other than with respect to the Form S-3 registration statements filed on July 13, 2015 and August 11, 2016) will expire, with respect to any particular stockholder, upon the earlier of five years after the consummation of our initial public offering in June 2014 or when that stockholder can sell all of its shares under Rule 144 of the Securities Act during any 90 day period.</w:t>
      </w:r>
    </w:p>
    <w:p>
      <w:pPr>
        <w:spacing w:after="0" w:line="27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5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Some provisions of Delaware law and our amended and restated certificate of incorporation and our amended and restated bylaws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eliminates the right of stockholders to act by written consent without a meeting.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at least a 66 2/3% stockholder vote. Furthermore, any vacancy on our board of directors, however occurring, including a vacancy resulting from an increase in the size of our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exclusive forum for any derivative action or proceeding brought on our behalf; any action asserting a breach of fiduciary duty, or other wrongdoing by, any of our directors, officers, employees or stockholders; any action asserting a claim against us or any of our directors, officers or employees arising pursuant to the Delaware General Corporation Law, our amended and restated certificate of incorporation or our amended and restated bylaws; any action to interpret, apply, enforce or determine the validity of our amended and restated certificate of incorporation or our amended and restated bylaws; or any action asserting a claim against us or any of our directors, officers or employees that is governed by the internal affairs doctrine.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66 2/3% of the voting power of our then outstanding voting stock.</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for breach of fiduciary duty as a director to the fullest extent permitted by Delaware law. Consequently, our directors will not be personally liable to us or our stockholders for monetary damages for any breach of fiduciary duties as directors, except liability for:</w:t>
      </w:r>
    </w:p>
    <w:p>
      <w:pPr>
        <w:spacing w:after="0" w:line="87" w:lineRule="exact"/>
        <w:rPr>
          <w:sz w:val="20"/>
          <w:szCs w:val="20"/>
          <w:color w:val="auto"/>
        </w:rPr>
      </w:pPr>
    </w:p>
    <w:p>
      <w:pPr>
        <w:ind w:left="1020" w:hanging="44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20" w:hanging="445"/>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8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Global Market 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“ARDX.”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debt securities will be issued under an indenture between us and a third party to be identified therein.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used in this section only, “Ardelyx,” “we,” “our” or “us” refer to Ardelyx, Inc. excluding our subsidiaries, unless expressly stated or the context otherwise requires.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1020" w:right="140" w:hanging="445"/>
        <w:spacing w:after="0" w:line="25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ind w:left="1020" w:right="80" w:hanging="445"/>
        <w:spacing w:after="0" w:line="264"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hanging="445"/>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the terms and conditions upon which we may redeem the debt securities;</w:t>
      </w:r>
    </w:p>
    <w:p>
      <w:pPr>
        <w:spacing w:after="0" w:line="153" w:lineRule="exact"/>
        <w:rPr>
          <w:rFonts w:ascii="Arial" w:cs="Arial" w:eastAsia="Arial" w:hAnsi="Arial"/>
          <w:sz w:val="16"/>
          <w:szCs w:val="16"/>
          <w:color w:val="auto"/>
        </w:rPr>
      </w:pPr>
    </w:p>
    <w:p>
      <w:pPr>
        <w:ind w:left="1020" w:right="420" w:hanging="445"/>
        <w:spacing w:after="0" w:line="286"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0" w:lineRule="exact"/>
        <w:rPr>
          <w:rFonts w:ascii="Arial" w:cs="Arial" w:eastAsia="Arial" w:hAnsi="Arial"/>
          <w:sz w:val="17"/>
          <w:szCs w:val="17"/>
          <w:color w:val="auto"/>
        </w:rPr>
      </w:pPr>
    </w:p>
    <w:p>
      <w:pPr>
        <w:ind w:left="1020" w:right="300" w:hanging="445"/>
        <w:spacing w:after="0" w:line="25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 w:lineRule="exact"/>
        <w:rPr>
          <w:rFonts w:ascii="Arial" w:cs="Arial" w:eastAsia="Arial" w:hAnsi="Arial"/>
          <w:sz w:val="18"/>
          <w:szCs w:val="18"/>
          <w:color w:val="auto"/>
        </w:rPr>
      </w:pPr>
    </w:p>
    <w:p>
      <w:pPr>
        <w:ind w:left="1020" w:hanging="445"/>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27" w:lineRule="exact"/>
        <w:rPr>
          <w:rFonts w:ascii="Arial" w:cs="Arial" w:eastAsia="Arial" w:hAnsi="Arial"/>
          <w:sz w:val="17"/>
          <w:szCs w:val="17"/>
          <w:color w:val="auto"/>
        </w:rPr>
      </w:pPr>
    </w:p>
    <w:p>
      <w:pPr>
        <w:ind w:left="1020" w:hanging="44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20" w:right="260" w:hanging="445"/>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020" w:right="580" w:hanging="445"/>
        <w:spacing w:after="0" w:line="342"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020" w:right="160" w:hanging="445"/>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75" w:lineRule="exact"/>
        <w:rPr>
          <w:rFonts w:ascii="Arial" w:cs="Arial" w:eastAsia="Arial" w:hAnsi="Arial"/>
          <w:sz w:val="18"/>
          <w:szCs w:val="18"/>
          <w:color w:val="auto"/>
        </w:rPr>
      </w:pPr>
    </w:p>
    <w:p>
      <w:pPr>
        <w:ind w:left="1020" w:hanging="445"/>
        <w:spacing w:after="0" w:line="342"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29" w:lineRule="exact"/>
        <w:rPr>
          <w:rFonts w:ascii="Arial" w:cs="Arial" w:eastAsia="Arial" w:hAnsi="Arial"/>
          <w:sz w:val="16"/>
          <w:szCs w:val="16"/>
          <w:color w:val="auto"/>
        </w:rPr>
      </w:pPr>
    </w:p>
    <w:p>
      <w:pPr>
        <w:ind w:left="1020" w:hanging="445"/>
        <w:spacing w:after="0" w:line="26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6" w:lineRule="exact"/>
        <w:rPr>
          <w:rFonts w:ascii="Arial" w:cs="Arial" w:eastAsia="Arial" w:hAnsi="Arial"/>
          <w:sz w:val="18"/>
          <w:szCs w:val="18"/>
          <w:color w:val="auto"/>
        </w:rPr>
      </w:pPr>
    </w:p>
    <w:p>
      <w:pPr>
        <w:ind w:left="1020" w:hanging="44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20" w:right="80" w:hanging="445"/>
        <w:spacing w:after="0" w:line="342"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1020" w:hanging="445"/>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addition to, deletion of or change in the covenants described in this prospectus or in the indenture with respect to the debt securities;</w:t>
      </w:r>
    </w:p>
    <w:p>
      <w:pPr>
        <w:spacing w:after="0" w:line="142" w:lineRule="exact"/>
        <w:rPr>
          <w:rFonts w:ascii="Arial" w:cs="Arial" w:eastAsia="Arial" w:hAnsi="Arial"/>
          <w:sz w:val="17"/>
          <w:szCs w:val="17"/>
          <w:color w:val="auto"/>
        </w:rPr>
      </w:pPr>
    </w:p>
    <w:p>
      <w:pPr>
        <w:ind w:left="1020" w:hanging="445"/>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depositaries, interest rate calculation agents, exchange rate calculation agents or other agents with respect to the debt securities;</w:t>
      </w:r>
    </w:p>
    <w:p>
      <w:pPr>
        <w:spacing w:after="0" w:line="142" w:lineRule="exact"/>
        <w:rPr>
          <w:rFonts w:ascii="Arial" w:cs="Arial" w:eastAsia="Arial" w:hAnsi="Arial"/>
          <w:sz w:val="17"/>
          <w:szCs w:val="17"/>
          <w:color w:val="auto"/>
        </w:rPr>
      </w:pPr>
    </w:p>
    <w:p>
      <w:pPr>
        <w:ind w:left="1020" w:right="540" w:hanging="445"/>
        <w:spacing w:after="0" w:line="26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6" w:lineRule="exact"/>
        <w:rPr>
          <w:rFonts w:ascii="Arial" w:cs="Arial" w:eastAsia="Arial" w:hAnsi="Arial"/>
          <w:sz w:val="18"/>
          <w:szCs w:val="18"/>
          <w:color w:val="auto"/>
        </w:rPr>
      </w:pPr>
    </w:p>
    <w:p>
      <w:pPr>
        <w:ind w:left="1020" w:right="280" w:hanging="445"/>
        <w:spacing w:after="0" w:line="26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6" w:lineRule="exact"/>
        <w:rPr>
          <w:rFonts w:ascii="Arial" w:cs="Arial" w:eastAsia="Arial" w:hAnsi="Arial"/>
          <w:sz w:val="18"/>
          <w:szCs w:val="18"/>
          <w:color w:val="auto"/>
        </w:rPr>
      </w:pPr>
    </w:p>
    <w:p>
      <w:pPr>
        <w:ind w:left="1020" w:right="80" w:hanging="445"/>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you with information on the federal income tax considerations and other special considerations applicable to any of these debt securities in the applicable prospectus supplement.</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Certificated Debt Securities</w:t>
      </w:r>
      <w:r>
        <w:rPr>
          <w:rFonts w:ascii="Arial" w:cs="Arial" w:eastAsia="Arial" w:hAnsi="Arial"/>
          <w:sz w:val="17"/>
          <w:szCs w:val="17"/>
          <w:color w:val="auto"/>
        </w:rPr>
        <w:t>. You may transfer or exchange certificated debt securities at any office we maintain for this purpose in accordance with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Global Debt Securities and Book-Entry System</w:t>
      </w:r>
      <w:r>
        <w:rPr>
          <w:rFonts w:ascii="Arial" w:cs="Arial" w:eastAsia="Arial" w:hAnsi="Arial"/>
          <w:sz w:val="18"/>
          <w:szCs w:val="18"/>
          <w:color w:val="auto"/>
        </w:rPr>
        <w:t>. Each global debt security representing book-entry debt securities will be deposited with, or on behalf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Depositary, and registered in the name of the Depositary or a nominee of the Depositary. Please see “Global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76" w:lineRule="exact"/>
        <w:rPr>
          <w:sz w:val="20"/>
          <w:szCs w:val="20"/>
          <w:color w:val="auto"/>
        </w:rPr>
      </w:pPr>
    </w:p>
    <w:p>
      <w:pPr>
        <w:ind w:left="1020" w:right="160" w:hanging="445"/>
        <w:spacing w:after="0" w:line="308"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Ardelyx) is a corporation organized and validly existing under the laws of any U.S. domestic jurisdiction and expressly assumes our obligations on the debt securities and under the indenture; and</w:t>
      </w:r>
    </w:p>
    <w:p>
      <w:pPr>
        <w:spacing w:after="0" w:line="51" w:lineRule="exact"/>
        <w:rPr>
          <w:rFonts w:ascii="Arial" w:cs="Arial" w:eastAsia="Arial" w:hAnsi="Arial"/>
          <w:sz w:val="17"/>
          <w:szCs w:val="17"/>
          <w:color w:val="auto"/>
        </w:rPr>
      </w:pPr>
    </w:p>
    <w:p>
      <w:pPr>
        <w:ind w:left="1020" w:hanging="44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above, any of our subsidiaries may consolidate with, merge into or transfer all or part of its properties to us. (Section 5.1)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020" w:hanging="445"/>
        <w:spacing w:after="0" w:line="264"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6"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1020" w:right="80" w:hanging="445"/>
        <w:spacing w:after="0" w:line="279"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Ardelyx and the trustee receive written notice from the holders of not less than 25% in principal amount of the outstanding debt securities of that series as provided in the indenture;</w:t>
      </w:r>
    </w:p>
    <w:p>
      <w:pPr>
        <w:spacing w:after="0" w:line="76" w:lineRule="exact"/>
        <w:rPr>
          <w:rFonts w:ascii="Arial" w:cs="Arial" w:eastAsia="Arial" w:hAnsi="Arial"/>
          <w:sz w:val="17"/>
          <w:szCs w:val="17"/>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Ardelyx; and</w:t>
      </w:r>
    </w:p>
    <w:p>
      <w:pPr>
        <w:spacing w:after="0" w:line="130" w:lineRule="exact"/>
        <w:rPr>
          <w:rFonts w:ascii="Arial" w:cs="Arial" w:eastAsia="Arial" w:hAnsi="Arial"/>
          <w:sz w:val="18"/>
          <w:szCs w:val="18"/>
          <w:color w:val="auto"/>
        </w:rPr>
      </w:pPr>
    </w:p>
    <w:p>
      <w:pPr>
        <w:ind w:left="1020" w:right="440" w:hanging="445"/>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8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20" w:hanging="445"/>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debt securities of that series; and</w:t>
      </w:r>
    </w:p>
    <w:p>
      <w:pPr>
        <w:spacing w:after="0" w:line="153" w:lineRule="exact"/>
        <w:rPr>
          <w:rFonts w:ascii="Arial" w:cs="Arial" w:eastAsia="Arial" w:hAnsi="Arial"/>
          <w:sz w:val="16"/>
          <w:szCs w:val="16"/>
          <w:color w:val="auto"/>
        </w:rPr>
      </w:pPr>
    </w:p>
    <w:p>
      <w:pPr>
        <w:ind w:left="1020" w:right="80" w:hanging="445"/>
        <w:spacing w:after="0" w:line="25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and the trustee may modify, amend or supplement the indenture or the debt securities of any series without the consent of any holder of any debt security:</w:t>
      </w:r>
    </w:p>
    <w:p>
      <w:pPr>
        <w:spacing w:after="0" w:line="154" w:lineRule="exact"/>
        <w:rPr>
          <w:sz w:val="20"/>
          <w:szCs w:val="20"/>
          <w:color w:val="auto"/>
        </w:rPr>
      </w:pPr>
    </w:p>
    <w:p>
      <w:pPr>
        <w:ind w:left="1020" w:hanging="445"/>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hanging="445"/>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020" w:right="100" w:hanging="445"/>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020" w:right="700" w:hanging="445"/>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7" w:lineRule="exact"/>
        <w:rPr>
          <w:sz w:val="20"/>
          <w:szCs w:val="20"/>
          <w:color w:val="auto"/>
        </w:rPr>
      </w:pPr>
    </w:p>
    <w:p>
      <w:pPr>
        <w:ind w:left="1020" w:hanging="445"/>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020" w:right="40" w:hanging="445"/>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1020" w:right="200" w:hanging="445"/>
        <w:spacing w:after="0" w:line="264"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6" w:lineRule="exact"/>
        <w:rPr>
          <w:rFonts w:ascii="Arial" w:cs="Arial" w:eastAsia="Arial" w:hAnsi="Arial"/>
          <w:sz w:val="18"/>
          <w:szCs w:val="18"/>
          <w:color w:val="auto"/>
        </w:rPr>
      </w:pPr>
    </w:p>
    <w:p>
      <w:pPr>
        <w:ind w:left="1020" w:hanging="445"/>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130" w:lineRule="exact"/>
        <w:rPr>
          <w:rFonts w:ascii="Arial" w:cs="Arial" w:eastAsia="Arial" w:hAnsi="Arial"/>
          <w:sz w:val="18"/>
          <w:szCs w:val="18"/>
          <w:color w:val="auto"/>
        </w:rPr>
      </w:pPr>
    </w:p>
    <w:p>
      <w:pPr>
        <w:jc w:val="both"/>
        <w:ind w:left="1020" w:hanging="445"/>
        <w:spacing w:after="0" w:line="264"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6" w:lineRule="exact"/>
        <w:rPr>
          <w:rFonts w:ascii="Arial" w:cs="Arial" w:eastAsia="Arial" w:hAnsi="Arial"/>
          <w:sz w:val="18"/>
          <w:szCs w:val="18"/>
          <w:color w:val="auto"/>
        </w:rPr>
      </w:pPr>
    </w:p>
    <w:p>
      <w:pPr>
        <w:ind w:left="1020" w:hanging="445"/>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Legal Defeasance</w:t>
      </w:r>
      <w:r>
        <w:rPr>
          <w:rFonts w:ascii="Arial" w:cs="Arial" w:eastAsia="Arial" w:hAnsi="Arial"/>
          <w:sz w:val="16"/>
          <w:szCs w:val="16"/>
          <w:color w:val="auto"/>
        </w:rPr>
        <w:t>. The indenture provides that, unless otherwise provided by the terms of the applicable series of debt securities, we may be discharged from</w:t>
      </w:r>
      <w:r>
        <w:rPr>
          <w:rFonts w:ascii="Arial" w:cs="Arial" w:eastAsia="Arial" w:hAnsi="Arial"/>
          <w:sz w:val="16"/>
          <w:szCs w:val="16"/>
          <w:i w:val="1"/>
          <w:iCs w:val="1"/>
          <w:color w:val="auto"/>
        </w:rPr>
        <w:t xml:space="preserve"> </w:t>
      </w:r>
      <w:r>
        <w:rPr>
          <w:rFonts w:ascii="Arial" w:cs="Arial" w:eastAsia="Arial" w:hAnsi="Arial"/>
          <w:sz w:val="16"/>
          <w:szCs w:val="16"/>
          <w:color w:val="auto"/>
        </w:rPr>
        <w:t>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beneficial owners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76" w:lineRule="exact"/>
        <w:rPr>
          <w:sz w:val="20"/>
          <w:szCs w:val="20"/>
          <w:color w:val="auto"/>
        </w:rPr>
      </w:pPr>
    </w:p>
    <w:p>
      <w:pPr>
        <w:ind w:left="1020" w:right="80" w:hanging="445"/>
        <w:spacing w:after="0" w:line="342"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29" w:lineRule="exact"/>
        <w:rPr>
          <w:rFonts w:ascii="Arial" w:cs="Arial" w:eastAsia="Arial" w:hAnsi="Arial"/>
          <w:sz w:val="16"/>
          <w:szCs w:val="16"/>
          <w:color w:val="auto"/>
        </w:rPr>
      </w:pPr>
    </w:p>
    <w:p>
      <w:pPr>
        <w:ind w:left="1020" w:right="460" w:hanging="445"/>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ind w:left="1020" w:right="60" w:hanging="445"/>
        <w:spacing w:after="0" w:line="25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98" w:lineRule="exact"/>
        <w:rPr>
          <w:rFonts w:ascii="Arial" w:cs="Arial" w:eastAsia="Arial" w:hAnsi="Arial"/>
          <w:sz w:val="18"/>
          <w:szCs w:val="18"/>
          <w:color w:val="auto"/>
        </w:rPr>
      </w:pPr>
    </w:p>
    <w:p>
      <w:pPr>
        <w:ind w:left="1020" w:right="20" w:hanging="445"/>
        <w:spacing w:after="0" w:line="286"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beneficial owners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200"/>
        <w:spacing w:after="0" w:line="312" w:lineRule="auto"/>
        <w:rPr>
          <w:sz w:val="20"/>
          <w:szCs w:val="20"/>
          <w:color w:val="auto"/>
        </w:rPr>
      </w:pPr>
      <w:r>
        <w:rPr>
          <w:rFonts w:ascii="Arial" w:cs="Arial" w:eastAsia="Arial" w:hAnsi="Arial"/>
          <w:sz w:val="16"/>
          <w:szCs w:val="16"/>
          <w:color w:val="auto"/>
        </w:rPr>
        <w:t>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particular terms of any issue of warrants will be described in the prospectus supplement relating to the issue. Those terms may include:</w:t>
      </w:r>
    </w:p>
    <w:p>
      <w:pPr>
        <w:spacing w:after="0" w:line="131" w:lineRule="exact"/>
        <w:rPr>
          <w:sz w:val="20"/>
          <w:szCs w:val="20"/>
          <w:color w:val="auto"/>
        </w:rPr>
      </w:pPr>
    </w:p>
    <w:p>
      <w:pPr>
        <w:ind w:left="1020" w:right="260" w:hanging="445"/>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75" w:lineRule="exact"/>
        <w:rPr>
          <w:rFonts w:ascii="Arial" w:cs="Arial" w:eastAsia="Arial" w:hAnsi="Arial"/>
          <w:sz w:val="18"/>
          <w:szCs w:val="18"/>
          <w:color w:val="auto"/>
        </w:rPr>
      </w:pPr>
    </w:p>
    <w:p>
      <w:pPr>
        <w:ind w:left="1020" w:right="480" w:hanging="445"/>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75" w:lineRule="exact"/>
        <w:rPr>
          <w:rFonts w:ascii="Arial" w:cs="Arial" w:eastAsia="Arial" w:hAnsi="Arial"/>
          <w:sz w:val="18"/>
          <w:szCs w:val="18"/>
          <w:color w:val="auto"/>
        </w:rPr>
      </w:pPr>
    </w:p>
    <w:p>
      <w:pPr>
        <w:ind w:left="1020" w:right="280" w:hanging="445"/>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date, if any, on and after which the warrants and the related debt securities, preferred stock or common stock will be separately transferable;</w:t>
      </w:r>
    </w:p>
    <w:p>
      <w:pPr>
        <w:spacing w:after="0" w:line="153" w:lineRule="exact"/>
        <w:rPr>
          <w:rFonts w:ascii="Arial" w:cs="Arial" w:eastAsia="Arial" w:hAnsi="Arial"/>
          <w:sz w:val="16"/>
          <w:szCs w:val="16"/>
          <w:color w:val="auto"/>
        </w:rPr>
      </w:pPr>
    </w:p>
    <w:p>
      <w:pPr>
        <w:ind w:left="1020" w:hanging="445"/>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130" w:lineRule="exact"/>
        <w:rPr>
          <w:rFonts w:ascii="Arial" w:cs="Arial" w:eastAsia="Arial" w:hAnsi="Arial"/>
          <w:sz w:val="18"/>
          <w:szCs w:val="18"/>
          <w:color w:val="auto"/>
        </w:rPr>
      </w:pPr>
    </w:p>
    <w:p>
      <w:pPr>
        <w:ind w:left="1020" w:right="480" w:hanging="445"/>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Holders of equity warrants will not be entitled to:</w:t>
      </w:r>
    </w:p>
    <w:p>
      <w:pPr>
        <w:spacing w:after="0" w:line="131" w:lineRule="exact"/>
        <w:rPr>
          <w:sz w:val="20"/>
          <w:szCs w:val="20"/>
          <w:color w:val="auto"/>
        </w:rPr>
      </w:pPr>
    </w:p>
    <w:p>
      <w:pPr>
        <w:ind w:left="1020" w:hanging="445"/>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exercise any rights as stockholders of Ardelyx.</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purchase contracts for the purchase or sale of:</w:t>
      </w:r>
    </w:p>
    <w:p>
      <w:pPr>
        <w:spacing w:after="0" w:line="131" w:lineRule="exact"/>
        <w:rPr>
          <w:sz w:val="20"/>
          <w:szCs w:val="20"/>
          <w:color w:val="auto"/>
        </w:rPr>
      </w:pPr>
    </w:p>
    <w:p>
      <w:pPr>
        <w:ind w:left="1020" w:right="400" w:hanging="445"/>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debt or equity securities issued by us, a basket of such securities, an index or indices of such securities or any combination of the above as specified in the applicable prospectus supplement;</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currencies; or</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commodities.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6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the applicable indenture.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5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76" w:lineRule="exact"/>
        <w:rPr>
          <w:sz w:val="20"/>
          <w:szCs w:val="20"/>
          <w:color w:val="auto"/>
        </w:rPr>
      </w:pPr>
    </w:p>
    <w:p>
      <w:pPr>
        <w:ind w:left="1020" w:hanging="445"/>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we indicate differently in a prospectus supplement,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020" w:hanging="445"/>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76" w:lineRule="exact"/>
        <w:rPr>
          <w:sz w:val="20"/>
          <w:szCs w:val="20"/>
          <w:color w:val="auto"/>
        </w:rPr>
      </w:pPr>
    </w:p>
    <w:p>
      <w:pPr>
        <w:ind w:left="1020" w:hanging="445"/>
        <w:spacing w:after="0" w:line="25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92" w:lineRule="exact"/>
        <w:rPr>
          <w:rFonts w:ascii="Arial" w:cs="Arial" w:eastAsia="Arial" w:hAnsi="Arial"/>
          <w:sz w:val="18"/>
          <w:szCs w:val="18"/>
          <w:color w:val="auto"/>
        </w:rPr>
      </w:pPr>
    </w:p>
    <w:p>
      <w:pPr>
        <w:ind w:left="1020" w:hanging="445"/>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7" w:lineRule="exact"/>
        <w:rPr>
          <w:sz w:val="20"/>
          <w:szCs w:val="20"/>
          <w:color w:val="auto"/>
        </w:rPr>
      </w:pPr>
    </w:p>
    <w:p>
      <w:pPr>
        <w:ind w:left="1020" w:hanging="445"/>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8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Any common stock or preferred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Latham &amp; Watkins LLP will pass upon certain legal matters relating to the issuance and sale of the securities offered hereby on behalf of Ardelyx, Inc. Additional legal matters may be passed upon for us or any underwriters, dealers or agents by counsel that we will name in the applicable prospectus supplement.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2016,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$80,000,000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Ardelyx, Inc.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624205</wp:posOffset>
            </wp:positionV>
            <wp:extent cx="7975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PROSPECTUS SUPPLEMENT</w:t>
      </w:r>
    </w:p>
    <w:p>
      <w:pPr>
        <w:spacing w:after="0" w:line="158"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203835</wp:posOffset>
            </wp:positionV>
            <wp:extent cx="7975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4060" w:type="dxa"/>
            <w:vAlign w:val="bottom"/>
          </w:tcPr>
          <w:p>
            <w:pPr>
              <w:spacing w:after="0"/>
              <w:rPr>
                <w:sz w:val="20"/>
                <w:szCs w:val="20"/>
                <w:color w:val="auto"/>
              </w:rPr>
            </w:pPr>
            <w:r>
              <w:rPr>
                <w:rFonts w:ascii="Arial" w:cs="Arial" w:eastAsia="Arial" w:hAnsi="Arial"/>
                <w:sz w:val="22"/>
                <w:szCs w:val="22"/>
                <w:i w:val="1"/>
                <w:iCs w:val="1"/>
                <w:color w:val="auto"/>
              </w:rPr>
              <w:t>Joint Book-Running Managers</w:t>
            </w:r>
          </w:p>
        </w:tc>
        <w:tc>
          <w:tcPr>
            <w:tcW w:w="2980" w:type="dxa"/>
            <w:vAlign w:val="bottom"/>
          </w:tcPr>
          <w:p>
            <w:pPr>
              <w:spacing w:after="0"/>
              <w:rPr>
                <w:sz w:val="23"/>
                <w:szCs w:val="23"/>
                <w:color w:val="auto"/>
              </w:rPr>
            </w:pPr>
          </w:p>
        </w:tc>
      </w:tr>
      <w:tr>
        <w:trPr>
          <w:trHeight w:val="660"/>
        </w:trPr>
        <w:tc>
          <w:tcPr>
            <w:tcW w:w="2440" w:type="dxa"/>
            <w:vAlign w:val="bottom"/>
          </w:tcPr>
          <w:p>
            <w:pPr>
              <w:spacing w:after="0"/>
              <w:rPr>
                <w:sz w:val="20"/>
                <w:szCs w:val="20"/>
                <w:color w:val="auto"/>
              </w:rPr>
            </w:pPr>
            <w:r>
              <w:rPr>
                <w:rFonts w:ascii="Arial" w:cs="Arial" w:eastAsia="Arial" w:hAnsi="Arial"/>
                <w:sz w:val="43"/>
                <w:szCs w:val="43"/>
                <w:b w:val="1"/>
                <w:bCs w:val="1"/>
                <w:color w:val="auto"/>
              </w:rPr>
              <w:t>Citigroup</w:t>
            </w:r>
          </w:p>
        </w:tc>
        <w:tc>
          <w:tcPr>
            <w:tcW w:w="1940" w:type="dxa"/>
            <w:vAlign w:val="bottom"/>
          </w:tcPr>
          <w:p>
            <w:pPr>
              <w:ind w:left="660"/>
              <w:spacing w:after="0"/>
              <w:rPr>
                <w:sz w:val="20"/>
                <w:szCs w:val="20"/>
                <w:color w:val="auto"/>
              </w:rPr>
            </w:pPr>
            <w:r>
              <w:rPr>
                <w:rFonts w:ascii="Arial" w:cs="Arial" w:eastAsia="Arial" w:hAnsi="Arial"/>
                <w:sz w:val="43"/>
                <w:szCs w:val="43"/>
                <w:b w:val="1"/>
                <w:bCs w:val="1"/>
                <w:color w:val="auto"/>
                <w:w w:val="89"/>
              </w:rPr>
              <w:t>Cowen</w:t>
            </w:r>
          </w:p>
        </w:tc>
        <w:tc>
          <w:tcPr>
            <w:tcW w:w="4060" w:type="dxa"/>
            <w:vAlign w:val="bottom"/>
          </w:tcPr>
          <w:p>
            <w:pPr>
              <w:ind w:left="1120"/>
              <w:spacing w:after="0"/>
              <w:rPr>
                <w:sz w:val="20"/>
                <w:szCs w:val="20"/>
                <w:color w:val="auto"/>
              </w:rPr>
            </w:pPr>
            <w:r>
              <w:rPr>
                <w:rFonts w:ascii="Arial" w:cs="Arial" w:eastAsia="Arial" w:hAnsi="Arial"/>
                <w:sz w:val="43"/>
                <w:szCs w:val="43"/>
                <w:b w:val="1"/>
                <w:bCs w:val="1"/>
                <w:color w:val="auto"/>
              </w:rPr>
              <w:t>SVB Leerink</w:t>
            </w:r>
          </w:p>
        </w:tc>
        <w:tc>
          <w:tcPr>
            <w:tcW w:w="2980" w:type="dxa"/>
            <w:vAlign w:val="bottom"/>
          </w:tcPr>
          <w:p>
            <w:pPr>
              <w:ind w:left="520"/>
              <w:spacing w:after="0"/>
              <w:rPr>
                <w:sz w:val="20"/>
                <w:szCs w:val="20"/>
                <w:color w:val="auto"/>
              </w:rPr>
            </w:pPr>
            <w:r>
              <w:rPr>
                <w:rFonts w:ascii="Arial" w:cs="Arial" w:eastAsia="Arial" w:hAnsi="Arial"/>
                <w:sz w:val="43"/>
                <w:szCs w:val="43"/>
                <w:b w:val="1"/>
                <w:bCs w:val="1"/>
                <w:color w:val="auto"/>
                <w:w w:val="93"/>
              </w:rPr>
              <w:t>Piper Jaffray</w:t>
            </w:r>
          </w:p>
        </w:tc>
      </w:tr>
      <w:tr>
        <w:trPr>
          <w:trHeight w:val="127"/>
        </w:trPr>
        <w:tc>
          <w:tcPr>
            <w:tcW w:w="24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406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tcPr>
          <w:p>
            <w:pPr>
              <w:spacing w:after="0"/>
              <w:rPr>
                <w:sz w:val="11"/>
                <w:szCs w:val="11"/>
                <w:color w:val="auto"/>
              </w:rPr>
            </w:pPr>
          </w:p>
        </w:tc>
      </w:tr>
      <w:tr>
        <w:trPr>
          <w:trHeight w:val="55"/>
        </w:trPr>
        <w:tc>
          <w:tcPr>
            <w:tcW w:w="24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lowerRoman"/>
      <w:start w:val="1"/>
    </w:lvl>
    <w:lvl w:ilvl="1">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2"/>
    </w:lvl>
  </w:abstractNum>
  <w:abstractNum w:abstractNumId="13">
    <w:nsid w:val="54E49EB4"/>
    <w:multiLevelType w:val="hybridMultilevel"/>
    <w:lvl w:ilvl="0">
      <w:lvlJc w:val="left"/>
      <w:lvlText w:val="%1."/>
      <w:numFmt w:val="upperLetter"/>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57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Letter"/>
      <w:start w:val="3"/>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510"/>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61"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48" Type="http://schemas.openxmlformats.org/officeDocument/2006/relationships/hyperlink" Target="http://www.sec.gov/Archives/edgar/data/1437402/000155837019001583/ardx-20181231x10k.htm" TargetMode="External"/><Relationship Id="rId49" Type="http://schemas.openxmlformats.org/officeDocument/2006/relationships/hyperlink" Target="http://www.sec.gov/Archives/edgar/data/1437402/000155837019003403/def14a.htm" TargetMode="External"/><Relationship Id="rId50" Type="http://schemas.openxmlformats.org/officeDocument/2006/relationships/hyperlink" Target="http://www.sec.gov/Archives/edgar/data/1437402/000155837019004249/ardx-20190331x10q.htm" TargetMode="External"/><Relationship Id="rId51" Type="http://schemas.openxmlformats.org/officeDocument/2006/relationships/hyperlink" Target="http://www.sec.gov/Archives/edgar/data/1437402/000155837019007809/ardx-20190630x10q.htm" TargetMode="External"/><Relationship Id="rId52" Type="http://schemas.openxmlformats.org/officeDocument/2006/relationships/hyperlink" Target="http://www.sec.gov/Archives/edgar/data/1437402/000155837019010174/ardx-20190930x10q.htm" TargetMode="External"/><Relationship Id="rId53" Type="http://schemas.openxmlformats.org/officeDocument/2006/relationships/hyperlink" Target="http://www.sec.gov/Archives/edgar/data/1437402/000155837019002233/f8-k.htm" TargetMode="External"/><Relationship Id="rId54" Type="http://schemas.openxmlformats.org/officeDocument/2006/relationships/hyperlink" Target="http://www.sec.gov/Archives/edgar/data/1437402/000155837019005499/f8-k.htm" TargetMode="External"/><Relationship Id="rId55" Type="http://schemas.openxmlformats.org/officeDocument/2006/relationships/hyperlink" Target="http://www.sec.gov/Archives/edgar/data/1437402/000155837019005724/ardx-20190613x8k.htm" TargetMode="External"/><Relationship Id="rId56" Type="http://schemas.openxmlformats.org/officeDocument/2006/relationships/hyperlink" Target="http://www.sec.gov/Archives/edgar/data/1437402/000119312519235868/d795858d8k.htm" TargetMode="External"/><Relationship Id="rId57" Type="http://schemas.openxmlformats.org/officeDocument/2006/relationships/hyperlink" Target="http://www.sec.gov/Archives/edgar/data/1437402/000155837019008604/f8-k.htm" TargetMode="External"/><Relationship Id="rId58" Type="http://schemas.openxmlformats.org/officeDocument/2006/relationships/hyperlink" Target="http://www.sec.gov/Archives/edgar/data/1437402/000119312519301216/d829482d8k.htm" TargetMode="External"/><Relationship Id="rId59" Type="http://schemas.openxmlformats.org/officeDocument/2006/relationships/hyperlink" Target="http://www.sec.gov/Archives/edgar/data/1437402/000119312519304292/d842827d8k.htm" TargetMode="External"/><Relationship Id="rId60" Type="http://schemas.openxmlformats.org/officeDocument/2006/relationships/hyperlink" Target="http://www.sec.gov/Archives/edgar/data/1437402/000119312519304803/d843175d8k.htm" TargetMode="External"/><Relationship Id="rId62" Type="http://schemas.openxmlformats.org/officeDocument/2006/relationships/hyperlink" Target="http://www.sec.gov/Archives/edgar/data/1437402/000119312514230441/d740908d8a12b.htm" TargetMode="External"/><Relationship Id="rId70" Type="http://schemas.openxmlformats.org/officeDocument/2006/relationships/hyperlink" Target="http://www.sec.gov/Archives/edgar/data/1437402/000119312517047972/d338826d10k.htm" TargetMode="External"/><Relationship Id="rId71" Type="http://schemas.openxmlformats.org/officeDocument/2006/relationships/hyperlink" Target="http://www.sec.gov/Archives/edgar/data/1437402/000119312517044518/d338980d8k.htm" TargetMode="External"/><Relationship Id="rId72" Type="http://schemas.openxmlformats.org/officeDocument/2006/relationships/hyperlink" Target="http://www.sec.gov/Archives/edgar/data/1437402/000119312517077089/d133384d8k.htm" TargetMode="External"/><Relationship Id="rId73" Type="http://schemas.openxmlformats.org/officeDocument/2006/relationships/hyperlink" Target="http://www.sec.gov/Archives/edgar/data/1437402/000119312517090857/d324376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2019-12-05T05:07:27Z</dcterms:created>
  <dcterms:modified xsi:type="dcterms:W3CDTF">2019-12-05T05:07:27Z</dcterms:modified>
</cp:coreProperties>
</file>