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400" w:type="dxa"/>
        <w:tblCellMar>
          <w:top w:w="0" w:type="dxa"/>
          <w:left w:w="0" w:type="dxa"/>
          <w:bottom w:w="0" w:type="dxa"/>
          <w:right w:w="0" w:type="dxa"/>
        </w:tblCellMar>
      </w:tblPr>
      <w:tr>
        <w:trPr>
          <w:trHeight w:val="227"/>
        </w:trPr>
        <w:tc>
          <w:tcPr>
            <w:tcW w:w="3880" w:type="dxa"/>
            <w:vAlign w:val="bottom"/>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001-36485</w:t>
            </w:r>
          </w:p>
        </w:tc>
        <w:tc>
          <w:tcPr>
            <w:tcW w:w="27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3880" w:type="dxa"/>
            <w:vAlign w:val="bottom"/>
          </w:tcPr>
          <w:p>
            <w:pPr>
              <w:jc w:val="center"/>
              <w:ind w:right="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6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2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0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3880" w:type="dxa"/>
            <w:vAlign w:val="bottom"/>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w w:val="99"/>
              </w:rPr>
              <w:t>400 Fifth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210</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Waltham</w:t>
            </w:r>
            <w:r>
              <w:rPr>
                <w:rFonts w:ascii="Arial" w:cs="Arial" w:eastAsia="Arial" w:hAnsi="Arial"/>
                <w:sz w:val="18"/>
                <w:szCs w:val="18"/>
                <w:b w:val="1"/>
                <w:bCs w:val="1"/>
                <w:color w:val="auto"/>
                <w:w w:val="99"/>
              </w:rPr>
              <w:t>,</w:t>
            </w:r>
          </w:p>
        </w:tc>
        <w:tc>
          <w:tcPr>
            <w:tcW w:w="3060" w:type="dxa"/>
            <w:vAlign w:val="bottom"/>
          </w:tcPr>
          <w:p>
            <w:pPr>
              <w:spacing w:after="0"/>
              <w:rPr>
                <w:sz w:val="24"/>
                <w:szCs w:val="24"/>
                <w:color w:val="auto"/>
              </w:rPr>
            </w:pPr>
          </w:p>
        </w:tc>
        <w:tc>
          <w:tcPr>
            <w:tcW w:w="274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238"/>
        </w:trPr>
        <w:tc>
          <w:tcPr>
            <w:tcW w:w="3880" w:type="dxa"/>
            <w:vAlign w:val="bottom"/>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0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48"/>
        </w:trPr>
        <w:tc>
          <w:tcPr>
            <w:tcW w:w="3880" w:type="dxa"/>
            <w:vAlign w:val="bottom"/>
          </w:tcPr>
          <w:p>
            <w:pPr>
              <w:jc w:val="center"/>
              <w:ind w:right="839"/>
              <w:spacing w:after="0"/>
              <w:rPr>
                <w:sz w:val="20"/>
                <w:szCs w:val="20"/>
                <w:color w:val="auto"/>
              </w:rPr>
            </w:pPr>
            <w:r>
              <w:rPr>
                <w:rFonts w:ascii="Arial" w:cs="Arial" w:eastAsia="Arial" w:hAnsi="Arial"/>
                <w:sz w:val="14"/>
                <w:szCs w:val="14"/>
                <w:color w:val="auto"/>
              </w:rPr>
              <w:t>(Address of Principal Executive Offices)</w:t>
            </w:r>
          </w:p>
        </w:tc>
        <w:tc>
          <w:tcPr>
            <w:tcW w:w="3060" w:type="dxa"/>
            <w:vAlign w:val="bottom"/>
          </w:tcPr>
          <w:p>
            <w:pPr>
              <w:spacing w:after="0"/>
              <w:rPr>
                <w:sz w:val="21"/>
                <w:szCs w:val="21"/>
                <w:color w:val="auto"/>
              </w:rPr>
            </w:pPr>
          </w:p>
        </w:tc>
        <w:tc>
          <w:tcPr>
            <w:tcW w:w="2740" w:type="dxa"/>
            <w:vAlign w:val="bottom"/>
          </w:tcPr>
          <w:p>
            <w:pPr>
              <w:jc w:val="center"/>
              <w:ind w:left="1221"/>
              <w:spacing w:after="0"/>
              <w:rPr>
                <w:sz w:val="20"/>
                <w:szCs w:val="20"/>
                <w:color w:val="auto"/>
              </w:rPr>
            </w:pPr>
            <w:r>
              <w:rPr>
                <w:rFonts w:ascii="Arial" w:cs="Arial" w:eastAsia="Arial" w:hAnsi="Arial"/>
                <w:sz w:val="14"/>
                <w:szCs w:val="14"/>
                <w:color w:val="auto"/>
              </w:rPr>
              <w:t>(Zip Code)</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745-1700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54"/>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81"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 2024, Ardelyx, Inc. (the Company) announced that, in an effort to preserve patient access to its phosphate absorption inhibitor XPHOZAH® (tenapanor), the Company has chosen not to apply to include XPHOZAH in the Centers for Medicare &amp; Medicaid Services (CMS) End-Stage Renal Disease (ESRD) Prospective Payment System (PPS) Transitional Drug Add-on Payment Adjustment (TDAPA).</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6"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27" w:right="6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July 2,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2024-07-02T06:10:27Z</dcterms:created>
  <dcterms:modified xsi:type="dcterms:W3CDTF">2024-07-02T06:10:27Z</dcterms:modified>
</cp:coreProperties>
</file>