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Ardelyx,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400 Fifth Avenue, Suite 210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Waltham, MA 02451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980" w:hanging="180"/>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63"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Islands exempted limited partnership, and indirectly held by RSCM, a Delaware limited partnership, and RSC, a Delaware limited liability company. RSCM serves as the investment manager to the Master Fund. RSC is the general partner of RSCM.</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039697107</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of the date of this filing, the Reporting Persons are deemed beneficial owners of 0 Shares.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0</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0.00%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0.00%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0.00%</w:t>
      </w:r>
    </w:p>
    <w:p>
      <w:pPr>
        <w:spacing w:after="0" w:line="20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420" w:hanging="208"/>
        <w:spacing w:after="0" w:line="289" w:lineRule="auto"/>
        <w:tabs>
          <w:tab w:leader="none" w:pos="18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6140" w:hanging="208"/>
        <w:spacing w:after="0" w:line="257" w:lineRule="auto"/>
        <w:tabs>
          <w:tab w:leader="none" w:pos="1867"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Rock Springs Capital Management LP: 0 Rock Springs Capital LLC: 0</w:t>
      </w:r>
    </w:p>
    <w:p>
      <w:pPr>
        <w:spacing w:after="0" w:line="1"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8"/>
          <w:szCs w:val="18"/>
          <w:b w:val="1"/>
          <w:bCs w:val="1"/>
          <w:color w:val="auto"/>
        </w:rPr>
      </w:pPr>
    </w:p>
    <w:p>
      <w:pPr>
        <w:ind w:left="1800" w:right="5380" w:hanging="208"/>
        <w:spacing w:after="0" w:line="293" w:lineRule="auto"/>
        <w:tabs>
          <w:tab w:leader="none" w:pos="19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160" w:hanging="208"/>
        <w:spacing w:after="0" w:line="293" w:lineRule="auto"/>
        <w:tabs>
          <w:tab w:leader="none" w:pos="190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137"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240"/>
          </w:cols>
          <w:pgMar w:left="320" w:top="474"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2022-02-15T05:34:31Z</dcterms:created>
  <dcterms:modified xsi:type="dcterms:W3CDTF">2022-02-15T05:34:31Z</dcterms:modified>
</cp:coreProperties>
</file>