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August 1, 2024, Ardelyx, Inc. (the “Company”) announced its financial results for the quarter ended June 30, 2024. The full text of the press release issued in connection with the announcement is furnished as Exhibit 99.1 to this Current Report on Form 8-K.</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4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Second Quarter 2024 Financial Results and Provides Business Update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IBSRELA generates $35.4 million in net product sales revenue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XPHOZAH generates $37.1 million in net product sales revenue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ends Q2 with approximately $186 million in cash and investments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4:30 PM Eastern Time</w:t>
      </w:r>
    </w:p>
    <w:p>
      <w:pPr>
        <w:spacing w:after="0" w:line="200" w:lineRule="exact"/>
        <w:rPr>
          <w:sz w:val="20"/>
          <w:szCs w:val="20"/>
          <w:color w:val="auto"/>
        </w:rPr>
      </w:pPr>
    </w:p>
    <w:p>
      <w:pPr>
        <w:spacing w:after="0" w:line="29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August 1, 2024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second quarter ended June 30, 2024 and provided a business update.</w:t>
      </w:r>
    </w:p>
    <w:p>
      <w:pPr>
        <w:spacing w:after="0" w:line="18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the second quarter, Ardelyx demonstrated our commitment to our mission and to ensuring that patients remain at the forefront of all of our efforts. We continued to drive expanded awareness and use of our two first-in-class medicines that represent new therapeutic options for patients who continue to have significant unmet medical needs. In addition, importantly, we are standing with the entire kidney community and fighting for patients whose health is at risk,” said Mike Raab, president and chief executive officer of Ardelyx.</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Raab continued, “IBSRELA’s strong performance continued with consistent quarter-over-quarter gains. This performance further strengthens our conviction that IBSRELA is on track to achieve at least ten percent market share and $1 billion in annual sales before patent expiry. IBSRELA is providing meaningful clinical benefits to patients at a time when the need among IBS-C patients to address their symptoms remains significant. We believe IBSRELA is well placed to address this unmet need and we continue to invest, including the ongoing expansion of our sales team to further our growth trajectory. XPHOZAH’s remarkable performance continued, a clear indicator of the need for a novel therapy, like XPHOZAH, to help patients achieve target phosphorus levels. This is why it is so important that we take steps to protect patients against the dire consequences of the access restrictions that will occur if CMS moves oral-only phosphate lowering therapies into the End-Stage Renal Disease Prospective Payment System.”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 (tenapanor) records $35.4 million in net product sales revenue in Q2 2024</w:t>
      </w:r>
    </w:p>
    <w:p>
      <w:pPr>
        <w:spacing w:after="0" w:line="31"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18"/>
          <w:szCs w:val="18"/>
          <w:color w:val="auto"/>
        </w:rPr>
        <w:t>U.S. net product sales revenue for IBSRELA during the second quarter of 2024 was $35.4 million, showing approximately 25% quarter-over-quarter growth compared to the first quarter of 2024, and significant growth compared to the second quarter of 2023. The strong performance reflects the meaningful demand for IBSRELA, demonstrated by continued increases in new and refill prescriptions as well as growth in new and repeat writing healthcare providers.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continues to expect full-year 2024 U.S. net product sales revenue for IBSRELA to be between $140.0 and $150.0 million.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launch progresses, records $37.1 million net product sales revenue during Q2 2024</w:t>
      </w:r>
    </w:p>
    <w:p>
      <w:pPr>
        <w:spacing w:after="0"/>
        <w:rPr>
          <w:sz w:val="20"/>
          <w:szCs w:val="20"/>
          <w:color w:val="auto"/>
        </w:rPr>
      </w:pPr>
      <w:r>
        <w:rPr>
          <w:rFonts w:ascii="Times New Roman" w:cs="Times New Roman" w:eastAsia="Times New Roman" w:hAnsi="Times New Roman"/>
          <w:sz w:val="18"/>
          <w:szCs w:val="18"/>
          <w:color w:val="auto"/>
        </w:rPr>
        <w:t>Ardelyx continued to see a strong response to XPHOZAH from the nephrology community. U.S. net product sales revenue during Q2 2024 was</w:t>
      </w:r>
    </w:p>
    <w:p>
      <w:pPr>
        <w:spacing w:after="0" w:line="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$37.1 million, demonstrating significant quarter-over-quarter growth compared to the $15.2 million in net product sales revenue reported during the first quarter of 2024.</w:t>
      </w:r>
    </w:p>
    <w:p>
      <w:pPr>
        <w:spacing w:after="0" w:line="2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quarter, the company announced that an analysis of the Centers for Medicaid and Medicare Services (CMS) End-Stage Renal Disease Prospective Payment System (ESRD PPS) proposed rule to include oral-only medicines in the ESRD PPS revealed that the policy and the manner in which CMS intends to implement it are likely to cause significant restrictions on the use of XPHOZAH for all patients, irrespective of insurance coverage, because it interferes with the essential and appropriate shared decision-making between healthcare professionals and their patients. As part of an effort to protect patient access to XPHOZAH, the company announced on July 2 that it has chosen not to apply for the ESRD PPS Transitional Drug Add-on Payment Adjustment; and on July 18, the company announced that it has filed a lawsuit against CMS in partnership with the American Association of Kidney Patients and the National Minority Quality Forum claiming that CMS has violated its statutory and regulatory authority in its determination to include oral-only phosphate lowering therapies in the ESRD PPS.</w:t>
      </w:r>
    </w:p>
    <w:p>
      <w:pPr>
        <w:sectPr>
          <w:pgSz w:w="11900" w:h="16838" w:orient="portrait"/>
          <w:cols w:equalWidth="0" w:num="1">
            <w:col w:w="11240"/>
          </w:cols>
          <w:pgMar w:left="320" w:top="10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31" w:lineRule="exact"/>
        <w:rPr>
          <w:sz w:val="20"/>
          <w:szCs w:val="20"/>
          <w:color w:val="auto"/>
        </w:rPr>
      </w:pPr>
    </w:p>
    <w:p>
      <w:pPr>
        <w:ind w:left="340" w:right="50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the company presented data detailing educational needs related to irritable bowel syndrome with constipation (IBS-C) across healthcare disciplines in a poster at the 2024 American Association of Nurse Practitioners National Conference.</w:t>
      </w:r>
    </w:p>
    <w:p>
      <w:pPr>
        <w:ind w:left="340" w:right="12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significant presence at the 2024 Digestive Disease Week Conference, held May 18-21, 2024. The company presented two posters providing additional data supporting IBSRELA. The company also sponsored a Product Theater titled: “Discover IBSRELA: a Different Mechanism of Action to Treat Adults With IBS-C: A Case-Based Discussion,” where Brooks Cash, MD, led an engaging discussion about important clinical considerations for managing IBS-C in adult patients.</w:t>
      </w:r>
    </w:p>
    <w:p>
      <w:pPr>
        <w:spacing w:after="0" w:line="1" w:lineRule="exact"/>
        <w:rPr>
          <w:rFonts w:ascii="Times New Roman" w:cs="Times New Roman" w:eastAsia="Times New Roman" w:hAnsi="Times New Roman"/>
          <w:sz w:val="18"/>
          <w:szCs w:val="18"/>
          <w:color w:val="auto"/>
        </w:rPr>
      </w:pPr>
    </w:p>
    <w:p>
      <w:pPr>
        <w:ind w:left="340" w:hanging="332"/>
        <w:spacing w:after="0" w:line="253"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significant presence at the National Kidney Foundation 2024 Spring Clinical Meetings, held May 14-18, 2024. The company presented three posters providing additional data supporting XPHOZAH. The company also sponsored an Exhibitor Spotlight titled “A New Paradigm: Rethinking Hyperphosphatemia Management,” where David M. Spiegel, MD and Lisa Gutekunst MSEd, RD, CSR, CDN, FNKF, discussed the clinical application of XPHOZAH as add-on therapy for the many dialysis patients on a phosphate binder with serum phosphorus levels above guideline-established targets.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Results</w:t>
      </w:r>
    </w:p>
    <w:p>
      <w:pPr>
        <w:spacing w:after="0" w:line="31" w:lineRule="exact"/>
        <w:rPr>
          <w:sz w:val="20"/>
          <w:szCs w:val="20"/>
          <w:color w:val="auto"/>
        </w:rPr>
      </w:pPr>
    </w:p>
    <w:p>
      <w:pPr>
        <w:ind w:left="340" w:right="260" w:hanging="332"/>
        <w:spacing w:after="0" w:line="26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As of June 30, 2024, the company had total cash, cash equivalents and short-term investments of $186.0 million, as compared to total cash, cash equivalents and short-term investments of $184.3 million as of December 31, 2023.</w:t>
      </w:r>
    </w:p>
    <w:p>
      <w:pPr>
        <w:spacing w:after="0" w:line="208" w:lineRule="exact"/>
        <w:rPr>
          <w:rFonts w:ascii="Times New Roman" w:cs="Times New Roman" w:eastAsia="Times New Roman" w:hAnsi="Times New Roman"/>
          <w:sz w:val="18"/>
          <w:szCs w:val="18"/>
          <w:color w:val="auto"/>
        </w:rPr>
      </w:pPr>
    </w:p>
    <w:p>
      <w:pPr>
        <w:ind w:left="340" w:right="280" w:hanging="332"/>
        <w:spacing w:after="0" w:line="26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Total revenue for the quarter ended June 30, 2024 was $73.2 million, compared to $22.3 million in total revenue during the quarter ended June 30, 2023, primarily reflecting increased net product sales.</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IBSRELA U.S. net product sales revenue was $35.4 million, compared to $18.3 million during the same period of 2023.</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XPHOZAH U.S. net product sales revenue was $37.1 million, with no comparable revenue during the same period of 2023.</w:t>
      </w:r>
    </w:p>
    <w:p>
      <w:pPr>
        <w:spacing w:after="0" w:line="9" w:lineRule="exact"/>
        <w:rPr>
          <w:rFonts w:ascii="Times New Roman" w:cs="Times New Roman" w:eastAsia="Times New Roman" w:hAnsi="Times New Roman"/>
          <w:sz w:val="18"/>
          <w:szCs w:val="18"/>
          <w:color w:val="auto"/>
        </w:rPr>
      </w:pPr>
    </w:p>
    <w:p>
      <w:pPr>
        <w:ind w:left="980" w:right="240" w:hanging="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There was no material product supply revenue during the quarter ended June 30, 2024, compared to $3.3 million during the same period of 2023.</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7"/>
          <w:szCs w:val="17"/>
          <w:color w:val="auto"/>
        </w:rPr>
        <w:t>Licensing revenue was $19 thousand, compared to $764 thousand during the same period of 2023.</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Non-cash royalty revenue related to the sale of future royalties was $0.6 million, with no comparable revenue during the same period of 2023.</w:t>
      </w:r>
    </w:p>
    <w:p>
      <w:pPr>
        <w:spacing w:after="0" w:line="23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Research and development expenses were $12.8 million for the quarter ended June 30, 2024, compared to $8.3 million for the quarter ended June 30, 2023.</w:t>
      </w:r>
    </w:p>
    <w:p>
      <w:pPr>
        <w:spacing w:after="0" w:line="188" w:lineRule="exact"/>
        <w:rPr>
          <w:rFonts w:ascii="Times New Roman" w:cs="Times New Roman" w:eastAsia="Times New Roman" w:hAnsi="Times New Roman"/>
          <w:sz w:val="18"/>
          <w:szCs w:val="18"/>
          <w:color w:val="auto"/>
        </w:rPr>
      </w:pPr>
    </w:p>
    <w:p>
      <w:pPr>
        <w:ind w:left="340" w:right="340" w:hanging="332"/>
        <w:spacing w:after="0" w:line="266"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Selling, general and administrative expenses were $64.7 million for the quarter ended June 30, 2024, an increase of $37.5 million compared to $27.2 million for the quarter ended June 30, 2023. The increase in selling, general and administrative expenses was primarily due to increased costs associated with the ongoing commercialization of IBSRELA and XPHOZAH.</w:t>
      </w:r>
    </w:p>
    <w:p>
      <w:pPr>
        <w:spacing w:after="0" w:line="202"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Net loss for the quarter ended June 30, 2024 was $16.5 million, or $(0.07) per share, compared to net loss of $17.1 million, or $(0.08) per share, for the quarter ended June 30, 2023. The $16.5 million net loss for the second quarter of 2024 included share-based compensation expense of $10.8 million and non-cash interest expense related to the sale of future royalties of $1.6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The company will host a conference call today, August 1, 2024, at 4:30 PM ET to discuss today’s announcement. To participate in the conference call, please dial (844) 481-2838 (domestic) or (412) 317-1858 (international) and ask to be joined into the Ardelyx call. A webcast of the call can also be accessed by visiting the Investor page of the company's website, www.ardelyx.com, and will be available on the website for 30 days following the call.</w:t>
      </w:r>
    </w:p>
    <w:p>
      <w:pPr>
        <w:sectPr>
          <w:pgSz w:w="11900" w:h="16838" w:orient="portrait"/>
          <w:cols w:equalWidth="0" w:num="1">
            <w:col w:w="11220"/>
          </w:cols>
          <w:pgMar w:left="320" w:top="88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1140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4046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w:t>
      </w:r>
    </w:p>
    <w:p>
      <w:pPr>
        <w:spacing w:after="0" w:line="117" w:lineRule="exact"/>
        <w:rPr>
          <w:sz w:val="20"/>
          <w:szCs w:val="20"/>
          <w:color w:val="auto"/>
        </w:rPr>
      </w:pPr>
    </w:p>
    <w:p>
      <w:pPr>
        <w:ind w:left="40" w:right="700"/>
        <w:spacing w:after="0" w:line="391" w:lineRule="auto"/>
        <w:rPr>
          <w:sz w:val="20"/>
          <w:szCs w:val="20"/>
          <w:color w:val="auto"/>
        </w:rPr>
      </w:pPr>
      <w:r>
        <w:rPr>
          <w:rFonts w:ascii="Times New Roman" w:cs="Times New Roman" w:eastAsia="Times New Roman" w:hAnsi="Times New Roman"/>
          <w:sz w:val="18"/>
          <w:szCs w:val="18"/>
          <w:color w:val="auto"/>
        </w:rPr>
        <w:t>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9" w:lineRule="exact"/>
        <w:rPr>
          <w:sz w:val="20"/>
          <w:szCs w:val="20"/>
          <w:color w:val="auto"/>
        </w:rPr>
      </w:pPr>
    </w:p>
    <w:p>
      <w:pPr>
        <w:jc w:val="both"/>
        <w:ind w:left="340" w:right="10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1" w:lineRule="exact"/>
        <w:rPr>
          <w:rFonts w:ascii="Times New Roman" w:cs="Times New Roman" w:eastAsia="Times New Roman" w:hAnsi="Times New Roman"/>
          <w:sz w:val="18"/>
          <w:szCs w:val="18"/>
          <w:color w:val="auto"/>
        </w:rPr>
      </w:pPr>
    </w:p>
    <w:p>
      <w:pPr>
        <w:ind w:left="340" w:hanging="332"/>
        <w:spacing w:after="0" w:line="25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full Prescribing Information, including Boxed Warning, for additional risk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patients under 6 years of age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may experience severe diarrhea. Treatment with XPHOZAH should be discontinued in patients who develop severe diarrhea.</w:t>
      </w:r>
    </w:p>
    <w:p>
      <w:pPr>
        <w:sectPr>
          <w:pgSz w:w="11900" w:h="16838" w:orient="portrait"/>
          <w:cols w:equalWidth="0" w:num="1">
            <w:col w:w="11200"/>
          </w:cols>
          <w:pgMar w:left="320" w:top="106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safety information, please see full Prescribing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3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submitted in China with Fosun Pharma. Knight Therapeutics commercializes IBSRELA in Canada. For more information, please visit https://ardelyx.com/ and connect with us on X (formerly known as Twitter), LinkedIn and Facebook.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 regarding opportunities for continued IBSRELA and XPHOZAH adoption; the potential market share for IBSRELA and annual U.S. net product sales revenue prior to patent expiry; projected U.S. net product sales revenue for IBSRELA for full year 2024; the impact of the Transitional Drug Add-on Payment Adjustment (TDAPA) period and the ESRD PPS policy on access to XPHOZAH; and Ardelyx’s current belief that not applying for TDAPA may help to protect patient access to XPHOZAH.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1, 2024, and its future current and periodic reports to be filed with the Securities and Exchange Commission.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clowie@ardelyx.com</w:t>
      </w:r>
    </w:p>
    <w:p>
      <w:pPr>
        <w:sectPr>
          <w:pgSz w:w="11900" w:h="16838" w:orient="portrait"/>
          <w:cols w:equalWidth="0" w:num="1">
            <w:col w:w="11240"/>
          </w:cols>
          <w:pgMar w:left="320" w:top="887" w:right="33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current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non-current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4"/>
        </w:trPr>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r>
      <w:tr>
        <w:trPr>
          <w:trHeight w:val="223"/>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audited financial statements included in the Company’s Annual Report on Form 10-K for the year ended December 31, 2023.</w:t>
      </w:r>
    </w:p>
    <w:p>
      <w:pPr>
        <w:sectPr>
          <w:pgSz w:w="11900" w:h="16838" w:orient="portrait"/>
          <w:cols w:equalWidth="0" w:num="1">
            <w:col w:w="11060"/>
          </w:cols>
          <w:pgMar w:left="320" w:top="1427" w:right="519" w:bottom="1440" w:gutter="0" w:footer="0" w:header="0"/>
        </w:sectPr>
      </w:pPr>
    </w:p>
    <w:bookmarkStart w:id="8" w:name="page9"/>
    <w:bookmarkEnd w:id="8"/>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Product supply revenue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176"/>
        </w:trPr>
        <w:tc>
          <w:tcPr>
            <w:tcW w:w="43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royalty revenue related to the sale of future</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53,989</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71,364</w:t>
            </w:r>
          </w:p>
        </w:tc>
        <w:tc>
          <w:tcPr>
            <w:tcW w:w="0" w:type="dxa"/>
            <w:vAlign w:val="bottom"/>
          </w:tcPr>
          <w:p>
            <w:pPr>
              <w:spacing w:after="0"/>
              <w:rPr>
                <w:sz w:val="1"/>
                <w:szCs w:val="1"/>
                <w:color w:val="auto"/>
              </w:rPr>
            </w:pPr>
          </w:p>
        </w:tc>
      </w:tr>
      <w:tr>
        <w:trPr>
          <w:trHeight w:val="22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175"/>
        </w:trPr>
        <w:tc>
          <w:tcPr>
            <w:tcW w:w="43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interest expense related to the sale of future</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 - basic and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share - basic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234,571,192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214,951,127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233,818,576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211,009,029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60"/>
      </w:cols>
      <w:pgMar w:left="58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2024-08-01T15:11:56Z</dcterms:created>
  <dcterms:modified xsi:type="dcterms:W3CDTF">2024-08-01T15:11:56Z</dcterms:modified>
</cp:coreProperties>
</file>