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3"/>
          </w:tcPr>
          <w:p>
            <w:pPr>
              <w:jc w:val="center"/>
              <w:ind w:left="727"/>
              <w:spacing w:after="0"/>
              <w:rPr>
                <w:sz w:val="20"/>
                <w:szCs w:val="20"/>
                <w:color w:val="auto"/>
              </w:rPr>
            </w:pPr>
            <w:r>
              <w:rPr>
                <w:rFonts w:ascii="Arial" w:cs="Arial" w:eastAsia="Arial" w:hAnsi="Arial"/>
                <w:sz w:val="17"/>
                <w:szCs w:val="17"/>
                <w:color w:val="0000FF"/>
                <w:w w:val="91"/>
              </w:rPr>
              <w:t>05/11/2020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G</w:t>
            </w:r>
          </w:p>
        </w:tc>
        <w:tc>
          <w:tcPr>
            <w:tcW w:w="700" w:type="dxa"/>
            <w:vAlign w:val="bottom"/>
          </w:tcPr>
          <w:p>
            <w:pPr>
              <w:jc w:val="right"/>
              <w:ind w:right="11"/>
              <w:spacing w:after="0"/>
              <w:rPr>
                <w:sz w:val="20"/>
                <w:szCs w:val="20"/>
                <w:color w:val="auto"/>
              </w:rPr>
            </w:pPr>
            <w:r>
              <w:rPr>
                <w:rFonts w:ascii="Arial" w:cs="Arial" w:eastAsia="Arial" w:hAnsi="Arial"/>
                <w:sz w:val="17"/>
                <w:szCs w:val="17"/>
                <w:color w:val="0000FF"/>
              </w:rPr>
              <w:t>1,000</w:t>
            </w:r>
          </w:p>
        </w:tc>
        <w:tc>
          <w:tcPr>
            <w:tcW w:w="440" w:type="dxa"/>
            <w:vAlign w:val="bottom"/>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1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100,608</w:t>
            </w:r>
          </w:p>
        </w:tc>
        <w:tc>
          <w:tcPr>
            <w:tcW w:w="940" w:type="dxa"/>
            <w:vAlign w:val="bottom"/>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27"/>
              <w:spacing w:after="0"/>
              <w:rPr>
                <w:sz w:val="20"/>
                <w:szCs w:val="20"/>
                <w:color w:val="auto"/>
              </w:rPr>
            </w:pPr>
            <w:r>
              <w:rPr>
                <w:rFonts w:ascii="Arial" w:cs="Arial" w:eastAsia="Arial" w:hAnsi="Arial"/>
                <w:sz w:val="17"/>
                <w:szCs w:val="17"/>
                <w:color w:val="0000FF"/>
                <w:w w:val="91"/>
              </w:rPr>
              <w:t>05/11/2020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70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500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100,108</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gridSpan w:val="3"/>
          </w:tcPr>
          <w:p>
            <w:pPr>
              <w:jc w:val="center"/>
              <w:ind w:left="727"/>
              <w:spacing w:after="0"/>
              <w:rPr>
                <w:sz w:val="20"/>
                <w:szCs w:val="20"/>
                <w:color w:val="auto"/>
              </w:rPr>
            </w:pPr>
            <w:r>
              <w:rPr>
                <w:rFonts w:ascii="Arial" w:cs="Arial" w:eastAsia="Arial" w:hAnsi="Arial"/>
                <w:sz w:val="17"/>
                <w:szCs w:val="17"/>
                <w:color w:val="0000FF"/>
                <w:w w:val="91"/>
              </w:rPr>
              <w:t>05/11/2020</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G</w:t>
            </w:r>
          </w:p>
        </w:tc>
        <w:tc>
          <w:tcPr>
            <w:tcW w:w="700" w:type="dxa"/>
            <w:vAlign w:val="bottom"/>
          </w:tcPr>
          <w:p>
            <w:pPr>
              <w:jc w:val="right"/>
              <w:ind w:right="11"/>
              <w:spacing w:after="0"/>
              <w:rPr>
                <w:sz w:val="20"/>
                <w:szCs w:val="20"/>
                <w:color w:val="auto"/>
              </w:rPr>
            </w:pPr>
            <w:r>
              <w:rPr>
                <w:rFonts w:ascii="Arial" w:cs="Arial" w:eastAsia="Arial" w:hAnsi="Arial"/>
                <w:sz w:val="17"/>
                <w:szCs w:val="17"/>
                <w:color w:val="0000FF"/>
              </w:rPr>
              <w:t>500</w:t>
            </w:r>
            <w:r>
              <w:rPr>
                <w:rFonts w:ascii="Arial" w:cs="Arial" w:eastAsia="Arial" w:hAnsi="Arial"/>
                <w:sz w:val="22"/>
                <w:szCs w:val="22"/>
                <w:color w:val="008000"/>
                <w:vertAlign w:val="superscript"/>
              </w:rPr>
              <w:t>(1)</w:t>
            </w:r>
          </w:p>
        </w:tc>
        <w:tc>
          <w:tcPr>
            <w:tcW w:w="440" w:type="dxa"/>
            <w:vAlign w:val="bottom"/>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4"/>
                <w:szCs w:val="24"/>
                <w:color w:val="auto"/>
              </w:rPr>
            </w:pPr>
          </w:p>
        </w:tc>
        <w:tc>
          <w:tcPr>
            <w:tcW w:w="380" w:type="dxa"/>
            <w:vAlign w:val="bottom"/>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2,566</w:t>
            </w:r>
          </w:p>
        </w:tc>
        <w:tc>
          <w:tcPr>
            <w:tcW w:w="94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1"/>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involved a gift of securities by the Reporting Person to her son, who shares Reporting Person's household. The Reporting Person disclaims beneficial ownership of the shares held by her son, and this report should not be deemed an admission that the Reporting Person is the beneficial owner of her son's shares for purposes of Section 16 or for any other purpose.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05/13/2020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2020-05-13T18:27:03Z</dcterms:created>
  <dcterms:modified xsi:type="dcterms:W3CDTF">2020-05-13T18:27:03Z</dcterms:modified>
</cp:coreProperties>
</file>