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New Enterprise Associates 12, Limited</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ARDELYX,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Borders>
              <w:top w:val="single" w:sz="8" w:color="0000EE"/>
            </w:tcBorders>
            <w:gridSpan w:val="2"/>
            <w:vMerge w:val="restart"/>
          </w:tcPr>
          <w:p>
            <w:pPr>
              <w:spacing w:after="0" w:line="207" w:lineRule="exact"/>
              <w:rPr>
                <w:rFonts w:ascii="Arial" w:cs="Arial" w:eastAsia="Arial" w:hAnsi="Arial"/>
                <w:sz w:val="21"/>
                <w:szCs w:val="21"/>
                <w:color w:val="0000EE"/>
                <w:w w:val="89"/>
              </w:rPr>
            </w:pPr>
            <w:hyperlink r:id="rId13">
              <w:r>
                <w:rPr>
                  <w:rFonts w:ascii="Arial" w:cs="Arial" w:eastAsia="Arial" w:hAnsi="Arial"/>
                  <w:sz w:val="21"/>
                  <w:szCs w:val="21"/>
                  <w:color w:val="0000EE"/>
                  <w:w w:val="89"/>
                </w:rPr>
                <w:t>Partnership</w:t>
              </w:r>
            </w:hyperlink>
          </w:p>
        </w:tc>
        <w:tc>
          <w:tcPr>
            <w:tcW w:w="20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6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bottom w:val="single" w:sz="8" w:color="0000EE"/>
            </w:tcBorders>
            <w:gridSpan w:val="2"/>
            <w:vMerge w:val="continue"/>
          </w:tcPr>
          <w:p>
            <w:pPr>
              <w:spacing w:after="0"/>
              <w:rPr>
                <w:sz w:val="10"/>
                <w:szCs w:val="10"/>
                <w:color w:val="auto"/>
              </w:rPr>
            </w:pPr>
          </w:p>
        </w:tc>
        <w:tc>
          <w:tcPr>
            <w:tcW w:w="2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00" w:lineRule="exact"/>
              <w:rPr>
                <w:sz w:val="20"/>
                <w:szCs w:val="20"/>
                <w:color w:val="auto"/>
              </w:rPr>
            </w:pPr>
            <w:r>
              <w:rPr>
                <w:rFonts w:ascii="Arial" w:cs="Arial" w:eastAsia="Arial" w:hAnsi="Arial"/>
                <w:sz w:val="11"/>
                <w:szCs w:val="11"/>
                <w:color w:val="auto"/>
              </w:rPr>
              <w:t>below)</w:t>
            </w:r>
          </w:p>
        </w:tc>
        <w:tc>
          <w:tcPr>
            <w:tcW w:w="920" w:type="dxa"/>
            <w:vAlign w:val="bottom"/>
          </w:tcPr>
          <w:p>
            <w:pPr>
              <w:ind w:left="480"/>
              <w:spacing w:after="0" w:line="100" w:lineRule="exact"/>
              <w:rPr>
                <w:sz w:val="20"/>
                <w:szCs w:val="20"/>
                <w:color w:val="auto"/>
              </w:rPr>
            </w:pPr>
            <w:r>
              <w:rPr>
                <w:rFonts w:ascii="Arial" w:cs="Arial" w:eastAsia="Arial" w:hAnsi="Arial"/>
                <w:sz w:val="11"/>
                <w:szCs w:val="11"/>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100" w:type="dxa"/>
            <w:vAlign w:val="bottom"/>
            <w:gridSpan w:val="5"/>
            <w:vMerge w:val="continue"/>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1600" w:type="dxa"/>
            <w:vAlign w:val="bottom"/>
            <w:gridSpan w:val="5"/>
          </w:tcPr>
          <w:p>
            <w:pPr>
              <w:ind w:left="160"/>
              <w:spacing w:after="0"/>
              <w:rPr>
                <w:sz w:val="20"/>
                <w:szCs w:val="20"/>
                <w:color w:val="auto"/>
              </w:rPr>
            </w:pPr>
            <w:r>
              <w:rPr>
                <w:rFonts w:ascii="Arial" w:cs="Arial" w:eastAsia="Arial" w:hAnsi="Arial"/>
                <w:sz w:val="17"/>
                <w:szCs w:val="17"/>
                <w:color w:val="0000FF"/>
              </w:rPr>
              <w:t>06/10/2020</w:t>
            </w: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1954 GREENSPRING DRIVE</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spacing w:after="0" w:line="193" w:lineRule="exact"/>
              <w:rPr>
                <w:sz w:val="20"/>
                <w:szCs w:val="20"/>
                <w:color w:val="auto"/>
              </w:rPr>
            </w:pPr>
            <w:r>
              <w:rPr>
                <w:rFonts w:ascii="Arial" w:cs="Arial" w:eastAsia="Arial" w:hAnsi="Arial"/>
                <w:sz w:val="17"/>
                <w:szCs w:val="17"/>
                <w:color w:val="0000FF"/>
              </w:rPr>
              <w:t>SUITE 600</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330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MD</w:t>
            </w:r>
          </w:p>
        </w:tc>
        <w:tc>
          <w:tcPr>
            <w:tcW w:w="1060" w:type="dxa"/>
            <w:vAlign w:val="bottom"/>
            <w:vMerge w:val="restart"/>
          </w:tcPr>
          <w:p>
            <w:pPr>
              <w:ind w:left="140"/>
              <w:spacing w:after="0"/>
              <w:rPr>
                <w:sz w:val="20"/>
                <w:szCs w:val="20"/>
                <w:color w:val="auto"/>
              </w:rPr>
            </w:pPr>
            <w:r>
              <w:rPr>
                <w:rFonts w:ascii="Arial" w:cs="Arial" w:eastAsia="Arial" w:hAnsi="Arial"/>
                <w:sz w:val="17"/>
                <w:szCs w:val="17"/>
                <w:color w:val="0000FF"/>
              </w:rPr>
              <w:t>21093</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5"/>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06/10/2020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9"/>
              </w:rPr>
              <w:t>1,482,809</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8,086,401</w:t>
            </w:r>
          </w:p>
        </w:tc>
        <w:tc>
          <w:tcPr>
            <w:tcW w:w="92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New Enterprise Associates 12, Limited Partnership ("NEA 12") made a pro rata distribution for no consideration of an aggregate of 1,482,809 shares of Common Stock of the Issuer to its general partner and its limited partners on June 10, 2020.</w:t>
      </w:r>
    </w:p>
    <w:p>
      <w:pPr>
        <w:spacing w:after="0" w:line="15" w:lineRule="exact"/>
        <w:rPr>
          <w:rFonts w:ascii="Arial" w:cs="Arial" w:eastAsia="Arial" w:hAnsi="Arial"/>
          <w:sz w:val="13"/>
          <w:szCs w:val="13"/>
          <w:color w:val="008000"/>
        </w:rPr>
      </w:pPr>
    </w:p>
    <w:p>
      <w:pPr>
        <w:ind w:left="40" w:right="200" w:firstLine="7"/>
        <w:spacing w:after="0" w:line="26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directly held by NEA 12 and indirectly held by NEA Partners 12, Limited Partnership ("NEA Partners 12"), the sole general partner of NEA 12, NEA 12 GP, LLC ("NEA 12 GP"), the sole general partner of NEA Partners 12, and the individual managers of NEA 12 GP (NEA Partners 12, NEA 12 GP and the individual managers of NEA 12 GP together, the "Indirect Reporting Persons"). The individual managers of NEA 12 GP are Forest Baskett, Patrick J. Kerins, and Scott D. Sandell. The Indirect Reporting Persons disclaim beneficial ownership within the meaning of Section</w:t>
      </w:r>
    </w:p>
    <w:p>
      <w:pPr>
        <w:spacing w:after="0" w:line="1" w:lineRule="exact"/>
        <w:rPr>
          <w:rFonts w:ascii="Arial" w:cs="Arial" w:eastAsia="Arial" w:hAnsi="Arial"/>
          <w:sz w:val="12"/>
          <w:szCs w:val="12"/>
          <w:color w:val="008000"/>
        </w:rPr>
      </w:pPr>
    </w:p>
    <w:p>
      <w:pPr>
        <w:ind w:left="220" w:hanging="173"/>
        <w:spacing w:after="0"/>
        <w:tabs>
          <w:tab w:leader="none" w:pos="2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of the Securities Exchange Act of 1934, as amended, or otherwise of such portion of the NEA 12 shares in which the Indirect Reporting Persons have no pecuniary interest.</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attorney-in- </w:t>
      </w:r>
      <w:r>
        <w:rPr>
          <w:rFonts w:ascii="Arial" w:cs="Arial" w:eastAsia="Arial" w:hAnsi="Arial"/>
          <w:sz w:val="34"/>
          <w:szCs w:val="34"/>
          <w:color w:val="0000FF"/>
          <w:vertAlign w:val="subscript"/>
        </w:rPr>
        <w:t>06/12/2020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8339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2020-06-12T16:38:31Z</dcterms:created>
  <dcterms:modified xsi:type="dcterms:W3CDTF">2020-06-12T16:38:31Z</dcterms:modified>
</cp:coreProperties>
</file>