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7"/>
                <w:szCs w:val="17"/>
                <w:color w:val="0000FF"/>
              </w:rPr>
              <w:t>11/22/2021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0.9763</w:t>
            </w:r>
            <w:r>
              <w:rPr>
                <w:rFonts w:ascii="Arial" w:cs="Arial" w:eastAsia="Arial" w:hAnsi="Arial"/>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120,237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Arial" w:cs="Arial" w:eastAsia="Arial" w:hAnsi="Arial"/>
                <w:sz w:val="17"/>
                <w:szCs w:val="17"/>
                <w:color w:val="0000FF"/>
              </w:rPr>
              <w:t>11/22/2021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right"/>
              <w:ind w:right="212"/>
              <w:spacing w:after="0"/>
              <w:rPr>
                <w:sz w:val="20"/>
                <w:szCs w:val="20"/>
                <w:color w:val="auto"/>
              </w:rPr>
            </w:pPr>
            <w:r>
              <w:rPr>
                <w:rFonts w:ascii="Arial" w:cs="Arial" w:eastAsia="Arial" w:hAnsi="Arial"/>
                <w:sz w:val="17"/>
                <w:szCs w:val="17"/>
                <w:color w:val="0000FF"/>
              </w:rPr>
              <w:t>754</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119,483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made pursuant to a 10b5-1 trading plan adopted by the Reporting Person on September 29,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$0.96 to $0.992,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Arial" w:cs="Arial" w:eastAsia="Arial" w:hAnsi="Arial"/>
          <w:sz w:val="13"/>
          <w:szCs w:val="13"/>
          <w:color w:val="008000"/>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1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2021-11-24T15:15:06Z</dcterms:created>
  <dcterms:modified xsi:type="dcterms:W3CDTF">2021-11-24T15:15:06Z</dcterms:modified>
</cp:coreProperties>
</file>