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200" w:lineRule="exact"/>
        <w:rPr>
          <w:sz w:val="24"/>
          <w:szCs w:val="24"/>
          <w:color w:val="auto"/>
        </w:rPr>
      </w:pPr>
      <w:r>
        <w:rPr>
          <w:sz w:val="24"/>
          <w:szCs w:val="24"/>
          <w:color w:val="auto"/>
        </w:rPr>
        <w:drawing>
          <wp:anchor simplePos="0" relativeHeight="251657728" behindDoc="1" locked="0" layoutInCell="0" allowOverlap="1">
            <wp:simplePos x="0" y="0"/>
            <wp:positionH relativeFrom="page">
              <wp:posOffset>208280</wp:posOffset>
            </wp:positionH>
            <wp:positionV relativeFrom="page">
              <wp:posOffset>860425</wp:posOffset>
            </wp:positionV>
            <wp:extent cx="713232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886460</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1075055</wp:posOffset>
            </wp:positionV>
            <wp:extent cx="713232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32" w:lineRule="exact"/>
        <w:rPr>
          <w:sz w:val="24"/>
          <w:szCs w:val="24"/>
          <w:color w:val="auto"/>
        </w:rPr>
      </w:pPr>
    </w:p>
    <w:p>
      <w:pPr>
        <w:jc w:val="center"/>
        <w:spacing w:after="0"/>
        <w:rPr>
          <w:sz w:val="20"/>
          <w:szCs w:val="20"/>
          <w:color w:val="auto"/>
        </w:rPr>
      </w:pPr>
      <w:r>
        <w:rPr>
          <w:rFonts w:ascii="Arial" w:cs="Arial" w:eastAsia="Arial" w:hAnsi="Arial"/>
          <w:sz w:val="25"/>
          <w:szCs w:val="25"/>
          <w:b w:val="1"/>
          <w:bCs w:val="1"/>
          <w:color w:val="auto"/>
        </w:rPr>
        <w:t>UNITED STATES</w:t>
      </w:r>
    </w:p>
    <w:p>
      <w:pPr>
        <w:spacing w:after="0" w:line="41" w:lineRule="exact"/>
        <w:rPr>
          <w:sz w:val="24"/>
          <w:szCs w:val="24"/>
          <w:color w:val="auto"/>
        </w:rPr>
      </w:pPr>
    </w:p>
    <w:p>
      <w:pPr>
        <w:jc w:val="center"/>
        <w:spacing w:after="0"/>
        <w:rPr>
          <w:sz w:val="20"/>
          <w:szCs w:val="20"/>
          <w:color w:val="auto"/>
        </w:rPr>
      </w:pPr>
      <w:r>
        <w:rPr>
          <w:rFonts w:ascii="Arial" w:cs="Arial" w:eastAsia="Arial" w:hAnsi="Arial"/>
          <w:sz w:val="25"/>
          <w:szCs w:val="25"/>
          <w:b w:val="1"/>
          <w:bCs w:val="1"/>
          <w:color w:val="auto"/>
        </w:rPr>
        <w:t>SECURITIES AND EXCHANGE COMMISSION</w:t>
      </w:r>
    </w:p>
    <w:p>
      <w:pPr>
        <w:spacing w:after="0" w:line="16"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124460</wp:posOffset>
            </wp:positionV>
            <wp:extent cx="713232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396" w:lineRule="exact"/>
        <w:rPr>
          <w:sz w:val="24"/>
          <w:szCs w:val="24"/>
          <w:color w:val="auto"/>
        </w:rPr>
      </w:pPr>
    </w:p>
    <w:p>
      <w:pPr>
        <w:jc w:val="center"/>
        <w:spacing w:after="0"/>
        <w:rPr>
          <w:sz w:val="20"/>
          <w:szCs w:val="20"/>
          <w:color w:val="auto"/>
        </w:rPr>
      </w:pPr>
      <w:r>
        <w:rPr>
          <w:rFonts w:ascii="Arial" w:cs="Arial" w:eastAsia="Arial" w:hAnsi="Arial"/>
          <w:sz w:val="25"/>
          <w:szCs w:val="25"/>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149225</wp:posOffset>
            </wp:positionV>
            <wp:extent cx="713232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4"/>
          <w:szCs w:val="24"/>
          <w:color w:val="auto"/>
        </w:rPr>
      </w:pPr>
    </w:p>
    <w:p>
      <w:pPr>
        <w:spacing w:after="0" w:line="240"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CURRENT REPORT</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Pursuant to Section 13 or 15(d)</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of the Securities Exchange Act of 1934</w:t>
      </w:r>
    </w:p>
    <w:p>
      <w:pPr>
        <w:spacing w:after="0" w:line="153"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Date of Report (Date of earliest event reported): November 3, 2022</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137160</wp:posOffset>
            </wp:positionV>
            <wp:extent cx="713232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3253740</wp:posOffset>
            </wp:positionH>
            <wp:positionV relativeFrom="paragraph">
              <wp:posOffset>274320</wp:posOffset>
            </wp:positionV>
            <wp:extent cx="643255" cy="643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643255" cy="64325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74" w:lineRule="exact"/>
        <w:rPr>
          <w:sz w:val="24"/>
          <w:szCs w:val="24"/>
          <w:color w:val="auto"/>
        </w:rPr>
      </w:pPr>
    </w:p>
    <w:p>
      <w:pPr>
        <w:jc w:val="center"/>
        <w:spacing w:after="0"/>
        <w:rPr>
          <w:sz w:val="20"/>
          <w:szCs w:val="20"/>
          <w:color w:val="auto"/>
        </w:rPr>
      </w:pPr>
      <w:r>
        <w:rPr>
          <w:rFonts w:ascii="Arial" w:cs="Arial" w:eastAsia="Arial" w:hAnsi="Arial"/>
          <w:sz w:val="29"/>
          <w:szCs w:val="29"/>
          <w:b w:val="1"/>
          <w:bCs w:val="1"/>
          <w:color w:val="auto"/>
        </w:rPr>
        <w:t>ARDELYX, INC.</w:t>
      </w:r>
    </w:p>
    <w:p>
      <w:pPr>
        <w:spacing w:after="0" w:line="41" w:lineRule="exact"/>
        <w:rPr>
          <w:sz w:val="24"/>
          <w:szCs w:val="24"/>
          <w:color w:val="auto"/>
        </w:rPr>
      </w:pPr>
    </w:p>
    <w:p>
      <w:pPr>
        <w:jc w:val="center"/>
        <w:spacing w:after="0"/>
        <w:rPr>
          <w:sz w:val="20"/>
          <w:szCs w:val="20"/>
          <w:color w:val="auto"/>
        </w:rPr>
      </w:pPr>
      <w:r>
        <w:rPr>
          <w:rFonts w:ascii="Arial" w:cs="Arial" w:eastAsia="Arial" w:hAnsi="Arial"/>
          <w:sz w:val="16"/>
          <w:szCs w:val="16"/>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128905</wp:posOffset>
            </wp:positionV>
            <wp:extent cx="71323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200" w:lineRule="exact"/>
        <w:rPr>
          <w:sz w:val="24"/>
          <w:szCs w:val="24"/>
          <w:color w:val="auto"/>
        </w:rPr>
      </w:pPr>
    </w:p>
    <w:p>
      <w:pPr>
        <w:spacing w:after="0" w:line="234" w:lineRule="exact"/>
        <w:rPr>
          <w:sz w:val="24"/>
          <w:szCs w:val="24"/>
          <w:color w:val="auto"/>
        </w:rPr>
      </w:pPr>
    </w:p>
    <w:tbl>
      <w:tblPr>
        <w:tblLayout w:type="fixed"/>
        <w:tblInd w:w="0" w:type="dxa"/>
        <w:tblCellMar>
          <w:top w:w="0" w:type="dxa"/>
          <w:left w:w="0" w:type="dxa"/>
          <w:bottom w:w="0" w:type="dxa"/>
          <w:right w:w="0" w:type="dxa"/>
        </w:tblCellMar>
      </w:tblPr>
      <w:tr>
        <w:trPr>
          <w:trHeight w:val="225"/>
        </w:trPr>
        <w:tc>
          <w:tcPr>
            <w:tcW w:w="2800" w:type="dxa"/>
            <w:vAlign w:val="bottom"/>
          </w:tcPr>
          <w:p>
            <w:pPr>
              <w:jc w:val="center"/>
              <w:ind w:left="862"/>
              <w:spacing w:after="0"/>
              <w:rPr>
                <w:sz w:val="20"/>
                <w:szCs w:val="20"/>
                <w:color w:val="auto"/>
              </w:rPr>
            </w:pPr>
            <w:r>
              <w:rPr>
                <w:rFonts w:ascii="Arial" w:cs="Arial" w:eastAsia="Arial" w:hAnsi="Arial"/>
                <w:sz w:val="18"/>
                <w:szCs w:val="18"/>
                <w:b w:val="1"/>
                <w:bCs w:val="1"/>
                <w:color w:val="auto"/>
                <w:w w:val="93"/>
              </w:rPr>
              <w:t>Delaware</w:t>
            </w:r>
          </w:p>
        </w:tc>
        <w:tc>
          <w:tcPr>
            <w:tcW w:w="5700" w:type="dxa"/>
            <w:vAlign w:val="bottom"/>
          </w:tcPr>
          <w:p>
            <w:pPr>
              <w:jc w:val="center"/>
              <w:spacing w:after="0"/>
              <w:rPr>
                <w:sz w:val="20"/>
                <w:szCs w:val="20"/>
                <w:color w:val="auto"/>
              </w:rPr>
            </w:pPr>
            <w:r>
              <w:rPr>
                <w:rFonts w:ascii="Arial" w:cs="Arial" w:eastAsia="Arial" w:hAnsi="Arial"/>
                <w:sz w:val="18"/>
                <w:szCs w:val="18"/>
                <w:b w:val="1"/>
                <w:bCs w:val="1"/>
                <w:color w:val="auto"/>
                <w:w w:val="90"/>
              </w:rPr>
              <w:t>001-36485</w:t>
            </w:r>
          </w:p>
        </w:tc>
        <w:tc>
          <w:tcPr>
            <w:tcW w:w="2740" w:type="dxa"/>
            <w:vAlign w:val="bottom"/>
          </w:tcPr>
          <w:p>
            <w:pPr>
              <w:jc w:val="center"/>
              <w:ind w:right="942"/>
              <w:spacing w:after="0"/>
              <w:rPr>
                <w:sz w:val="20"/>
                <w:szCs w:val="20"/>
                <w:color w:val="auto"/>
              </w:rPr>
            </w:pPr>
            <w:r>
              <w:rPr>
                <w:rFonts w:ascii="Arial" w:cs="Arial" w:eastAsia="Arial" w:hAnsi="Arial"/>
                <w:sz w:val="18"/>
                <w:szCs w:val="18"/>
                <w:b w:val="1"/>
                <w:bCs w:val="1"/>
                <w:color w:val="auto"/>
                <w:w w:val="91"/>
              </w:rPr>
              <w:t>26-1303944</w:t>
            </w:r>
          </w:p>
        </w:tc>
      </w:tr>
      <w:tr>
        <w:trPr>
          <w:trHeight w:val="148"/>
        </w:trPr>
        <w:tc>
          <w:tcPr>
            <w:tcW w:w="2800" w:type="dxa"/>
            <w:vAlign w:val="bottom"/>
          </w:tcPr>
          <w:p>
            <w:pPr>
              <w:jc w:val="center"/>
              <w:ind w:left="882"/>
              <w:spacing w:after="0" w:line="149" w:lineRule="exact"/>
              <w:rPr>
                <w:sz w:val="20"/>
                <w:szCs w:val="20"/>
                <w:color w:val="auto"/>
              </w:rPr>
            </w:pPr>
            <w:r>
              <w:rPr>
                <w:rFonts w:ascii="Arial" w:cs="Arial" w:eastAsia="Arial" w:hAnsi="Arial"/>
                <w:sz w:val="14"/>
                <w:szCs w:val="14"/>
                <w:b w:val="1"/>
                <w:bCs w:val="1"/>
                <w:color w:val="auto"/>
                <w:w w:val="93"/>
              </w:rPr>
              <w:t>(State or other jurisdiction</w:t>
            </w:r>
          </w:p>
        </w:tc>
        <w:tc>
          <w:tcPr>
            <w:tcW w:w="57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2"/>
              </w:rPr>
              <w:t>(Commission</w:t>
            </w:r>
          </w:p>
        </w:tc>
        <w:tc>
          <w:tcPr>
            <w:tcW w:w="2740" w:type="dxa"/>
            <w:vAlign w:val="bottom"/>
          </w:tcPr>
          <w:p>
            <w:pPr>
              <w:jc w:val="center"/>
              <w:ind w:right="942"/>
              <w:spacing w:after="0" w:line="149" w:lineRule="exact"/>
              <w:rPr>
                <w:sz w:val="20"/>
                <w:szCs w:val="20"/>
                <w:color w:val="auto"/>
              </w:rPr>
            </w:pPr>
            <w:r>
              <w:rPr>
                <w:rFonts w:ascii="Arial" w:cs="Arial" w:eastAsia="Arial" w:hAnsi="Arial"/>
                <w:sz w:val="14"/>
                <w:szCs w:val="14"/>
                <w:b w:val="1"/>
                <w:bCs w:val="1"/>
                <w:color w:val="auto"/>
                <w:w w:val="96"/>
              </w:rPr>
              <w:t>(IRS Employer</w:t>
            </w:r>
          </w:p>
        </w:tc>
      </w:tr>
      <w:tr>
        <w:trPr>
          <w:trHeight w:val="186"/>
        </w:trPr>
        <w:tc>
          <w:tcPr>
            <w:tcW w:w="2800" w:type="dxa"/>
            <w:vAlign w:val="bottom"/>
          </w:tcPr>
          <w:p>
            <w:pPr>
              <w:jc w:val="center"/>
              <w:ind w:left="862"/>
              <w:spacing w:after="0"/>
              <w:rPr>
                <w:sz w:val="20"/>
                <w:szCs w:val="20"/>
                <w:color w:val="auto"/>
              </w:rPr>
            </w:pPr>
            <w:r>
              <w:rPr>
                <w:rFonts w:ascii="Arial" w:cs="Arial" w:eastAsia="Arial" w:hAnsi="Arial"/>
                <w:sz w:val="14"/>
                <w:szCs w:val="14"/>
                <w:b w:val="1"/>
                <w:bCs w:val="1"/>
                <w:color w:val="auto"/>
                <w:w w:val="94"/>
              </w:rPr>
              <w:t>of incorporation)</w:t>
            </w:r>
          </w:p>
        </w:tc>
        <w:tc>
          <w:tcPr>
            <w:tcW w:w="5700" w:type="dxa"/>
            <w:vAlign w:val="bottom"/>
          </w:tcPr>
          <w:p>
            <w:pPr>
              <w:jc w:val="center"/>
              <w:spacing w:after="0"/>
              <w:rPr>
                <w:sz w:val="20"/>
                <w:szCs w:val="20"/>
                <w:color w:val="auto"/>
              </w:rPr>
            </w:pPr>
            <w:r>
              <w:rPr>
                <w:rFonts w:ascii="Arial" w:cs="Arial" w:eastAsia="Arial" w:hAnsi="Arial"/>
                <w:sz w:val="14"/>
                <w:szCs w:val="14"/>
                <w:b w:val="1"/>
                <w:bCs w:val="1"/>
                <w:color w:val="auto"/>
                <w:w w:val="95"/>
              </w:rPr>
              <w:t>File Number)</w:t>
            </w:r>
          </w:p>
        </w:tc>
        <w:tc>
          <w:tcPr>
            <w:tcW w:w="2740" w:type="dxa"/>
            <w:vAlign w:val="bottom"/>
          </w:tcPr>
          <w:p>
            <w:pPr>
              <w:jc w:val="center"/>
              <w:ind w:right="922"/>
              <w:spacing w:after="0"/>
              <w:rPr>
                <w:sz w:val="20"/>
                <w:szCs w:val="20"/>
                <w:color w:val="auto"/>
              </w:rPr>
            </w:pPr>
            <w:r>
              <w:rPr>
                <w:rFonts w:ascii="Arial" w:cs="Arial" w:eastAsia="Arial" w:hAnsi="Arial"/>
                <w:sz w:val="14"/>
                <w:szCs w:val="14"/>
                <w:b w:val="1"/>
                <w:bCs w:val="1"/>
                <w:color w:val="auto"/>
                <w:w w:val="95"/>
              </w:rPr>
              <w:t>Identification Number)</w:t>
            </w:r>
          </w:p>
        </w:tc>
      </w:tr>
      <w:tr>
        <w:trPr>
          <w:trHeight w:val="408"/>
        </w:trPr>
        <w:tc>
          <w:tcPr>
            <w:tcW w:w="2800" w:type="dxa"/>
            <w:vAlign w:val="bottom"/>
          </w:tcPr>
          <w:p>
            <w:pPr>
              <w:spacing w:after="0"/>
              <w:rPr>
                <w:sz w:val="24"/>
                <w:szCs w:val="24"/>
                <w:color w:val="auto"/>
              </w:rPr>
            </w:pPr>
          </w:p>
        </w:tc>
        <w:tc>
          <w:tcPr>
            <w:tcW w:w="5700" w:type="dxa"/>
            <w:vAlign w:val="bottom"/>
          </w:tcPr>
          <w:p>
            <w:pPr>
              <w:jc w:val="center"/>
              <w:spacing w:after="0"/>
              <w:rPr>
                <w:sz w:val="20"/>
                <w:szCs w:val="20"/>
                <w:color w:val="auto"/>
              </w:rPr>
            </w:pPr>
            <w:r>
              <w:rPr>
                <w:rFonts w:ascii="Arial" w:cs="Arial" w:eastAsia="Arial" w:hAnsi="Arial"/>
                <w:sz w:val="18"/>
                <w:szCs w:val="18"/>
                <w:b w:val="1"/>
                <w:bCs w:val="1"/>
                <w:color w:val="auto"/>
                <w:w w:val="97"/>
              </w:rPr>
              <w:t>400 FIFTH AVE., SUITE 210, WALTHAM, MASSACHUSETTS 02451</w:t>
            </w:r>
          </w:p>
        </w:tc>
        <w:tc>
          <w:tcPr>
            <w:tcW w:w="2740" w:type="dxa"/>
            <w:vAlign w:val="bottom"/>
          </w:tcPr>
          <w:p>
            <w:pPr>
              <w:spacing w:after="0"/>
              <w:rPr>
                <w:sz w:val="24"/>
                <w:szCs w:val="24"/>
                <w:color w:val="auto"/>
              </w:rPr>
            </w:pPr>
          </w:p>
        </w:tc>
      </w:tr>
      <w:tr>
        <w:trPr>
          <w:trHeight w:val="186"/>
        </w:trPr>
        <w:tc>
          <w:tcPr>
            <w:tcW w:w="2800" w:type="dxa"/>
            <w:vAlign w:val="bottom"/>
          </w:tcPr>
          <w:p>
            <w:pPr>
              <w:spacing w:after="0"/>
              <w:rPr>
                <w:sz w:val="16"/>
                <w:szCs w:val="16"/>
                <w:color w:val="auto"/>
              </w:rPr>
            </w:pPr>
          </w:p>
        </w:tc>
        <w:tc>
          <w:tcPr>
            <w:tcW w:w="5700" w:type="dxa"/>
            <w:vAlign w:val="bottom"/>
          </w:tcPr>
          <w:p>
            <w:pPr>
              <w:jc w:val="center"/>
              <w:spacing w:after="0"/>
              <w:rPr>
                <w:sz w:val="20"/>
                <w:szCs w:val="20"/>
                <w:color w:val="auto"/>
              </w:rPr>
            </w:pPr>
            <w:r>
              <w:rPr>
                <w:rFonts w:ascii="Arial" w:cs="Arial" w:eastAsia="Arial" w:hAnsi="Arial"/>
                <w:sz w:val="14"/>
                <w:szCs w:val="14"/>
                <w:b w:val="1"/>
                <w:bCs w:val="1"/>
                <w:color w:val="auto"/>
                <w:w w:val="92"/>
              </w:rPr>
              <w:t>(Address of principal executive offices, including Zip Code)</w:t>
            </w:r>
          </w:p>
        </w:tc>
        <w:tc>
          <w:tcPr>
            <w:tcW w:w="2740" w:type="dxa"/>
            <w:vAlign w:val="bottom"/>
          </w:tcPr>
          <w:p>
            <w:pPr>
              <w:spacing w:after="0"/>
              <w:rPr>
                <w:sz w:val="16"/>
                <w:szCs w:val="16"/>
                <w:color w:val="auto"/>
              </w:rPr>
            </w:pPr>
          </w:p>
        </w:tc>
      </w:tr>
      <w:tr>
        <w:trPr>
          <w:trHeight w:val="376"/>
        </w:trPr>
        <w:tc>
          <w:tcPr>
            <w:tcW w:w="2800" w:type="dxa"/>
            <w:vAlign w:val="bottom"/>
          </w:tcPr>
          <w:p>
            <w:pPr>
              <w:spacing w:after="0"/>
              <w:rPr>
                <w:sz w:val="24"/>
                <w:szCs w:val="24"/>
                <w:color w:val="auto"/>
              </w:rPr>
            </w:pPr>
          </w:p>
        </w:tc>
        <w:tc>
          <w:tcPr>
            <w:tcW w:w="5700" w:type="dxa"/>
            <w:vAlign w:val="bottom"/>
          </w:tcPr>
          <w:p>
            <w:pPr>
              <w:jc w:val="center"/>
              <w:spacing w:after="0"/>
              <w:rPr>
                <w:sz w:val="20"/>
                <w:szCs w:val="20"/>
                <w:color w:val="auto"/>
              </w:rPr>
            </w:pPr>
            <w:r>
              <w:rPr>
                <w:rFonts w:ascii="Arial" w:cs="Arial" w:eastAsia="Arial" w:hAnsi="Arial"/>
                <w:sz w:val="18"/>
                <w:szCs w:val="18"/>
                <w:b w:val="1"/>
                <w:bCs w:val="1"/>
                <w:color w:val="auto"/>
                <w:w w:val="89"/>
              </w:rPr>
              <w:t>Registrant’s telephone number, including area code: (510) 745-1700</w:t>
            </w:r>
          </w:p>
        </w:tc>
        <w:tc>
          <w:tcPr>
            <w:tcW w:w="2740" w:type="dxa"/>
            <w:vAlign w:val="bottom"/>
          </w:tcPr>
          <w:p>
            <w:pPr>
              <w:spacing w:after="0"/>
              <w:rPr>
                <w:sz w:val="24"/>
                <w:szCs w:val="24"/>
                <w:color w:val="auto"/>
              </w:rPr>
            </w:pPr>
          </w:p>
        </w:tc>
      </w:tr>
      <w:tr>
        <w:trPr>
          <w:trHeight w:val="189"/>
        </w:trPr>
        <w:tc>
          <w:tcPr>
            <w:tcW w:w="2800" w:type="dxa"/>
            <w:vAlign w:val="bottom"/>
            <w:tcBorders>
              <w:bottom w:val="single" w:sz="8" w:color="auto"/>
            </w:tcBorders>
          </w:tcPr>
          <w:p>
            <w:pPr>
              <w:spacing w:after="0"/>
              <w:rPr>
                <w:sz w:val="16"/>
                <w:szCs w:val="16"/>
                <w:color w:val="auto"/>
              </w:rPr>
            </w:pPr>
          </w:p>
        </w:tc>
        <w:tc>
          <w:tcPr>
            <w:tcW w:w="5700" w:type="dxa"/>
            <w:vAlign w:val="bottom"/>
            <w:tcBorders>
              <w:bottom w:val="single" w:sz="8" w:color="auto"/>
            </w:tcBorders>
          </w:tcPr>
          <w:p>
            <w:pPr>
              <w:spacing w:after="0"/>
              <w:rPr>
                <w:sz w:val="16"/>
                <w:szCs w:val="16"/>
                <w:color w:val="auto"/>
              </w:rPr>
            </w:pPr>
          </w:p>
        </w:tc>
        <w:tc>
          <w:tcPr>
            <w:tcW w:w="2740" w:type="dxa"/>
            <w:vAlign w:val="bottom"/>
            <w:tcBorders>
              <w:bottom w:val="single" w:sz="8" w:color="auto"/>
            </w:tcBorders>
          </w:tcPr>
          <w:p>
            <w:pPr>
              <w:spacing w:after="0"/>
              <w:rPr>
                <w:sz w:val="16"/>
                <w:szCs w:val="16"/>
                <w:color w:val="auto"/>
              </w:rPr>
            </w:pPr>
          </w:p>
        </w:tc>
      </w:tr>
    </w:tbl>
    <w:p>
      <w:pPr>
        <w:spacing w:after="0" w:line="220" w:lineRule="exact"/>
        <w:rPr>
          <w:sz w:val="24"/>
          <w:szCs w:val="24"/>
          <w:color w:val="auto"/>
        </w:rPr>
      </w:pPr>
    </w:p>
    <w:p>
      <w:pPr>
        <w:spacing w:after="0"/>
        <w:rPr>
          <w:sz w:val="20"/>
          <w:szCs w:val="20"/>
          <w:color w:val="auto"/>
        </w:rPr>
      </w:pPr>
      <w:r>
        <w:rPr>
          <w:rFonts w:ascii="Arial" w:cs="Arial" w:eastAsia="Arial" w:hAnsi="Arial"/>
          <w:sz w:val="15"/>
          <w:szCs w:val="15"/>
          <w:color w:val="auto"/>
        </w:rPr>
        <w:t>Check the appropriate box below if the Form 8-K filing is intended to simultaneously satisfy the filing obligation of the registrant under any of the following provisions:</w:t>
      </w:r>
    </w:p>
    <w:p>
      <w:pPr>
        <w:spacing w:after="0" w:line="206" w:lineRule="exact"/>
        <w:rPr>
          <w:sz w:val="24"/>
          <w:szCs w:val="24"/>
          <w:color w:val="auto"/>
        </w:rPr>
      </w:pPr>
    </w:p>
    <w:p>
      <w:pPr>
        <w:ind w:left="420" w:hanging="394"/>
        <w:spacing w:after="0"/>
        <w:tabs>
          <w:tab w:leader="none" w:pos="420" w:val="left"/>
        </w:tabs>
        <w:numPr>
          <w:ilvl w:val="0"/>
          <w:numId w:val="1"/>
        </w:numPr>
        <w:rPr>
          <w:rFonts w:ascii="MS PGothic" w:cs="MS PGothic" w:eastAsia="MS PGothic" w:hAnsi="MS PGothic"/>
          <w:sz w:val="16"/>
          <w:szCs w:val="16"/>
          <w:color w:val="auto"/>
          <w:highlight w:val="black"/>
        </w:rPr>
      </w:pPr>
      <w:r>
        <w:rPr>
          <w:rFonts w:ascii="Arial" w:cs="Arial" w:eastAsia="Arial" w:hAnsi="Arial"/>
          <w:sz w:val="16"/>
          <w:szCs w:val="16"/>
          <w:color w:val="auto"/>
        </w:rPr>
        <w:t>Written communications pursuant to Rule 425 under the Securities Act (17 CFR 230.425)</w:t>
      </w:r>
    </w:p>
    <w:p>
      <w:pPr>
        <w:spacing w:after="0" w:line="40" w:lineRule="exact"/>
        <w:rPr>
          <w:rFonts w:ascii="MS PGothic" w:cs="MS PGothic" w:eastAsia="MS PGothic" w:hAnsi="MS PGothic"/>
          <w:sz w:val="16"/>
          <w:szCs w:val="16"/>
          <w:color w:val="auto"/>
          <w:highlight w:val="black"/>
        </w:rPr>
      </w:pPr>
    </w:p>
    <w:p>
      <w:pPr>
        <w:ind w:left="420" w:hanging="394"/>
        <w:spacing w:after="0"/>
        <w:tabs>
          <w:tab w:leader="none" w:pos="420" w:val="left"/>
        </w:tabs>
        <w:numPr>
          <w:ilvl w:val="0"/>
          <w:numId w:val="1"/>
        </w:numPr>
        <w:rPr>
          <w:rFonts w:ascii="MS PGothic" w:cs="MS PGothic" w:eastAsia="MS PGothic" w:hAnsi="MS PGothic"/>
          <w:sz w:val="16"/>
          <w:szCs w:val="16"/>
          <w:color w:val="auto"/>
          <w:highlight w:val="black"/>
        </w:rPr>
      </w:pPr>
      <w:r>
        <w:rPr>
          <w:rFonts w:ascii="Arial" w:cs="Arial" w:eastAsia="Arial" w:hAnsi="Arial"/>
          <w:sz w:val="16"/>
          <w:szCs w:val="16"/>
          <w:color w:val="auto"/>
        </w:rPr>
        <w:t>Soliciting material pursuant to Rule 14a-12 under the Exchange Act (17 CFR 240.14a-12)</w:t>
      </w:r>
    </w:p>
    <w:p>
      <w:pPr>
        <w:spacing w:after="0" w:line="32" w:lineRule="exact"/>
        <w:rPr>
          <w:rFonts w:ascii="MS PGothic" w:cs="MS PGothic" w:eastAsia="MS PGothic" w:hAnsi="MS PGothic"/>
          <w:sz w:val="16"/>
          <w:szCs w:val="16"/>
          <w:color w:val="auto"/>
          <w:highlight w:val="black"/>
        </w:rPr>
      </w:pPr>
    </w:p>
    <w:p>
      <w:pPr>
        <w:ind w:left="420" w:hanging="394"/>
        <w:spacing w:after="0"/>
        <w:tabs>
          <w:tab w:leader="none" w:pos="420" w:val="left"/>
        </w:tabs>
        <w:numPr>
          <w:ilvl w:val="0"/>
          <w:numId w:val="1"/>
        </w:numPr>
        <w:rPr>
          <w:rFonts w:ascii="MS PGothic" w:cs="MS PGothic" w:eastAsia="MS PGothic" w:hAnsi="MS PGothic"/>
          <w:sz w:val="16"/>
          <w:szCs w:val="16"/>
          <w:color w:val="auto"/>
          <w:highlight w:val="black"/>
        </w:rPr>
      </w:pPr>
      <w:r>
        <w:rPr>
          <w:rFonts w:ascii="Arial" w:cs="Arial" w:eastAsia="Arial" w:hAnsi="Arial"/>
          <w:sz w:val="16"/>
          <w:szCs w:val="16"/>
          <w:color w:val="auto"/>
        </w:rPr>
        <w:t>Pre-commencement communications pursuant to Rule 14d-2(b) under the Exchange Act (17 CFR 240.14d-2(b))</w:t>
      </w:r>
    </w:p>
    <w:p>
      <w:pPr>
        <w:spacing w:after="0" w:line="32" w:lineRule="exact"/>
        <w:rPr>
          <w:rFonts w:ascii="MS PGothic" w:cs="MS PGothic" w:eastAsia="MS PGothic" w:hAnsi="MS PGothic"/>
          <w:sz w:val="16"/>
          <w:szCs w:val="16"/>
          <w:color w:val="auto"/>
          <w:highlight w:val="black"/>
        </w:rPr>
      </w:pPr>
    </w:p>
    <w:p>
      <w:pPr>
        <w:ind w:left="420" w:hanging="394"/>
        <w:spacing w:after="0"/>
        <w:tabs>
          <w:tab w:leader="none" w:pos="420" w:val="left"/>
        </w:tabs>
        <w:numPr>
          <w:ilvl w:val="0"/>
          <w:numId w:val="1"/>
        </w:numPr>
        <w:rPr>
          <w:rFonts w:ascii="MS PGothic" w:cs="MS PGothic" w:eastAsia="MS PGothic" w:hAnsi="MS PGothic"/>
          <w:sz w:val="16"/>
          <w:szCs w:val="16"/>
          <w:color w:val="auto"/>
          <w:highlight w:val="black"/>
        </w:rPr>
      </w:pPr>
      <w:r>
        <w:rPr>
          <w:rFonts w:ascii="Arial" w:cs="Arial" w:eastAsia="Arial" w:hAnsi="Arial"/>
          <w:sz w:val="16"/>
          <w:szCs w:val="16"/>
          <w:color w:val="auto"/>
        </w:rPr>
        <w:t>Pre-commencement communications pursuant to Rule 13e-4(c) under the Exchange Act (17 CFR 240.13e-4(c))</w:t>
      </w:r>
    </w:p>
    <w:p>
      <w:pPr>
        <w:spacing w:after="0" w:line="172" w:lineRule="exact"/>
        <w:rPr>
          <w:sz w:val="24"/>
          <w:szCs w:val="24"/>
          <w:color w:val="auto"/>
        </w:rPr>
      </w:pPr>
    </w:p>
    <w:tbl>
      <w:tblPr>
        <w:tblLayout w:type="fixed"/>
        <w:tblInd w:w="0" w:type="dxa"/>
        <w:tblCellMar>
          <w:top w:w="0" w:type="dxa"/>
          <w:left w:w="0" w:type="dxa"/>
          <w:bottom w:w="0" w:type="dxa"/>
          <w:right w:w="0" w:type="dxa"/>
        </w:tblCellMar>
      </w:tblPr>
      <w:tr>
        <w:trPr>
          <w:trHeight w:val="206"/>
        </w:trPr>
        <w:tc>
          <w:tcPr>
            <w:tcW w:w="4040" w:type="dxa"/>
            <w:vAlign w:val="bottom"/>
            <w:gridSpan w:val="2"/>
          </w:tcPr>
          <w:p>
            <w:pPr>
              <w:spacing w:after="0"/>
              <w:rPr>
                <w:sz w:val="20"/>
                <w:szCs w:val="20"/>
                <w:color w:val="auto"/>
              </w:rPr>
            </w:pPr>
            <w:r>
              <w:rPr>
                <w:rFonts w:ascii="Arial" w:cs="Arial" w:eastAsia="Arial" w:hAnsi="Arial"/>
                <w:sz w:val="16"/>
                <w:szCs w:val="16"/>
                <w:color w:val="auto"/>
                <w:w w:val="98"/>
              </w:rPr>
              <w:t>Securities registered pursuant to Section 12(b) of the Act:</w:t>
            </w:r>
          </w:p>
        </w:tc>
        <w:tc>
          <w:tcPr>
            <w:tcW w:w="3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3920" w:type="dxa"/>
            <w:vAlign w:val="bottom"/>
          </w:tcPr>
          <w:p>
            <w:pPr>
              <w:spacing w:after="0"/>
              <w:rPr>
                <w:sz w:val="17"/>
                <w:szCs w:val="17"/>
                <w:color w:val="auto"/>
              </w:rPr>
            </w:pPr>
          </w:p>
        </w:tc>
      </w:tr>
      <w:tr>
        <w:trPr>
          <w:trHeight w:val="340"/>
        </w:trPr>
        <w:tc>
          <w:tcPr>
            <w:tcW w:w="390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w w:val="88"/>
              </w:rPr>
              <w:t>Title of each class</w:t>
            </w:r>
          </w:p>
        </w:tc>
        <w:tc>
          <w:tcPr>
            <w:tcW w:w="140" w:type="dxa"/>
            <w:vAlign w:val="bottom"/>
          </w:tcPr>
          <w:p>
            <w:pPr>
              <w:spacing w:after="0"/>
              <w:rPr>
                <w:sz w:val="24"/>
                <w:szCs w:val="24"/>
                <w:color w:val="auto"/>
              </w:rPr>
            </w:pPr>
          </w:p>
        </w:tc>
        <w:tc>
          <w:tcPr>
            <w:tcW w:w="314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w w:val="92"/>
              </w:rPr>
              <w:t>Trading Symbol(s)</w:t>
            </w:r>
          </w:p>
        </w:tc>
        <w:tc>
          <w:tcPr>
            <w:tcW w:w="140" w:type="dxa"/>
            <w:vAlign w:val="bottom"/>
          </w:tcPr>
          <w:p>
            <w:pPr>
              <w:spacing w:after="0"/>
              <w:rPr>
                <w:sz w:val="24"/>
                <w:szCs w:val="24"/>
                <w:color w:val="auto"/>
              </w:rPr>
            </w:pPr>
          </w:p>
        </w:tc>
        <w:tc>
          <w:tcPr>
            <w:tcW w:w="392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w w:val="88"/>
              </w:rPr>
              <w:t>Name of each exchange on which registered</w:t>
            </w:r>
          </w:p>
        </w:tc>
      </w:tr>
      <w:tr>
        <w:trPr>
          <w:trHeight w:val="207"/>
        </w:trPr>
        <w:tc>
          <w:tcPr>
            <w:tcW w:w="4040" w:type="dxa"/>
            <w:vAlign w:val="bottom"/>
            <w:gridSpan w:val="2"/>
          </w:tcPr>
          <w:p>
            <w:pPr>
              <w:jc w:val="center"/>
              <w:ind w:right="140"/>
              <w:spacing w:after="0"/>
              <w:rPr>
                <w:sz w:val="20"/>
                <w:szCs w:val="20"/>
                <w:color w:val="auto"/>
              </w:rPr>
            </w:pPr>
            <w:r>
              <w:rPr>
                <w:rFonts w:ascii="Arial" w:cs="Arial" w:eastAsia="Arial" w:hAnsi="Arial"/>
                <w:sz w:val="16"/>
                <w:szCs w:val="16"/>
                <w:color w:val="auto"/>
                <w:w w:val="91"/>
              </w:rPr>
              <w:t>Common Stock, par value $0.0001</w:t>
            </w:r>
          </w:p>
        </w:tc>
        <w:tc>
          <w:tcPr>
            <w:tcW w:w="3280" w:type="dxa"/>
            <w:vAlign w:val="bottom"/>
            <w:gridSpan w:val="2"/>
          </w:tcPr>
          <w:p>
            <w:pPr>
              <w:jc w:val="center"/>
              <w:ind w:right="140"/>
              <w:spacing w:after="0"/>
              <w:rPr>
                <w:sz w:val="20"/>
                <w:szCs w:val="20"/>
                <w:color w:val="auto"/>
              </w:rPr>
            </w:pPr>
            <w:r>
              <w:rPr>
                <w:rFonts w:ascii="Arial" w:cs="Arial" w:eastAsia="Arial" w:hAnsi="Arial"/>
                <w:sz w:val="16"/>
                <w:szCs w:val="16"/>
                <w:color w:val="auto"/>
              </w:rPr>
              <w:t>ARDX</w:t>
            </w:r>
          </w:p>
        </w:tc>
        <w:tc>
          <w:tcPr>
            <w:tcW w:w="3920" w:type="dxa"/>
            <w:vAlign w:val="bottom"/>
          </w:tcPr>
          <w:p>
            <w:pPr>
              <w:jc w:val="center"/>
              <w:spacing w:after="0"/>
              <w:rPr>
                <w:sz w:val="20"/>
                <w:szCs w:val="20"/>
                <w:color w:val="auto"/>
              </w:rPr>
            </w:pPr>
            <w:r>
              <w:rPr>
                <w:rFonts w:ascii="Arial" w:cs="Arial" w:eastAsia="Arial" w:hAnsi="Arial"/>
                <w:sz w:val="16"/>
                <w:szCs w:val="16"/>
                <w:color w:val="auto"/>
                <w:w w:val="92"/>
              </w:rPr>
              <w:t>The Nasdaq Global Market</w:t>
            </w:r>
          </w:p>
        </w:tc>
      </w:tr>
    </w:tbl>
    <w:p>
      <w:pPr>
        <w:spacing w:after="0" w:line="199" w:lineRule="exact"/>
        <w:rPr>
          <w:sz w:val="24"/>
          <w:szCs w:val="24"/>
          <w:color w:val="auto"/>
        </w:rPr>
      </w:pPr>
    </w:p>
    <w:p>
      <w:pPr>
        <w:ind w:right="60"/>
        <w:spacing w:after="0" w:line="275" w:lineRule="auto"/>
        <w:rPr>
          <w:sz w:val="20"/>
          <w:szCs w:val="20"/>
          <w:color w:val="auto"/>
        </w:rPr>
      </w:pPr>
      <w:r>
        <w:rPr>
          <w:rFonts w:ascii="Arial" w:cs="Arial" w:eastAsia="Arial" w:hAnsi="Arial"/>
          <w:sz w:val="16"/>
          <w:szCs w:val="16"/>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75" w:lineRule="exact"/>
        <w:rPr>
          <w:sz w:val="24"/>
          <w:szCs w:val="24"/>
          <w:color w:val="auto"/>
        </w:rPr>
      </w:pPr>
    </w:p>
    <w:p>
      <w:pPr>
        <w:spacing w:after="0" w:line="184" w:lineRule="exact"/>
        <w:rPr>
          <w:sz w:val="20"/>
          <w:szCs w:val="20"/>
          <w:color w:val="auto"/>
        </w:rPr>
      </w:pPr>
      <w:r>
        <w:rPr>
          <w:rFonts w:ascii="Arial" w:cs="Arial" w:eastAsia="Arial" w:hAnsi="Arial"/>
          <w:sz w:val="16"/>
          <w:szCs w:val="16"/>
          <w:color w:val="auto"/>
        </w:rPr>
        <w:t xml:space="preserve">Emerging growth company </w:t>
      </w:r>
      <w:r>
        <w:rPr>
          <w:rFonts w:ascii="MS PGothic" w:cs="MS PGothic" w:eastAsia="MS PGothic" w:hAnsi="MS PGothic"/>
          <w:sz w:val="16"/>
          <w:szCs w:val="16"/>
          <w:color w:val="auto"/>
          <w:highlight w:val="black"/>
        </w:rPr>
        <w:t>☐</w:t>
      </w:r>
    </w:p>
    <w:p>
      <w:pPr>
        <w:spacing w:after="0" w:line="184" w:lineRule="exact"/>
        <w:rPr>
          <w:sz w:val="24"/>
          <w:szCs w:val="24"/>
          <w:color w:val="auto"/>
        </w:rPr>
      </w:pPr>
    </w:p>
    <w:p>
      <w:pPr>
        <w:ind w:right="580"/>
        <w:spacing w:after="0" w:line="293" w:lineRule="auto"/>
        <w:rPr>
          <w:sz w:val="20"/>
          <w:szCs w:val="20"/>
          <w:color w:val="auto"/>
        </w:rPr>
      </w:pPr>
      <w:r>
        <w:rPr>
          <w:rFonts w:ascii="Arial" w:cs="Arial" w:eastAsia="Arial" w:hAnsi="Arial"/>
          <w:sz w:val="16"/>
          <w:szCs w:val="16"/>
          <w:color w:val="auto"/>
        </w:rPr>
        <w:t>If an emerging growth company, indicate by check mark if the registrant has elected not to use the extended transition period for complying with any new or revised financial accounting standards provided pursuant to Section 13(a) of the Exchange Act. o</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874395</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218440</wp:posOffset>
            </wp:positionV>
            <wp:extent cx="713232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243840</wp:posOffset>
            </wp:positionV>
            <wp:extent cx="7132320" cy="82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 w:name="page2"/>
    <w:bookmarkEnd w:id="1"/>
    <w:p>
      <w:pPr>
        <w:spacing w:after="0"/>
        <w:tabs>
          <w:tab w:leader="none" w:pos="880" w:val="left"/>
        </w:tabs>
        <w:rPr>
          <w:sz w:val="20"/>
          <w:szCs w:val="20"/>
          <w:color w:val="auto"/>
        </w:rPr>
      </w:pPr>
      <w:r>
        <w:rPr>
          <w:rFonts w:ascii="Arial" w:cs="Arial" w:eastAsia="Arial" w:hAnsi="Arial"/>
          <w:sz w:val="18"/>
          <w:szCs w:val="18"/>
          <w:b w:val="1"/>
          <w:bCs w:val="1"/>
          <w:color w:val="auto"/>
        </w:rPr>
        <w:t>Item 2.02</w:t>
      </w:r>
      <w:r>
        <w:rPr>
          <w:sz w:val="20"/>
          <w:szCs w:val="20"/>
          <w:color w:val="auto"/>
        </w:rPr>
        <w:tab/>
      </w:r>
      <w:r>
        <w:rPr>
          <w:rFonts w:ascii="Arial" w:cs="Arial" w:eastAsia="Arial" w:hAnsi="Arial"/>
          <w:sz w:val="16"/>
          <w:szCs w:val="16"/>
          <w:b w:val="1"/>
          <w:bCs w:val="1"/>
          <w:color w:val="auto"/>
        </w:rPr>
        <w:t>Results of Operations and Financial Condition.</w:t>
      </w:r>
    </w:p>
    <w:p>
      <w:pPr>
        <w:spacing w:after="0" w:line="121" w:lineRule="exact"/>
        <w:rPr>
          <w:sz w:val="20"/>
          <w:szCs w:val="20"/>
          <w:color w:val="auto"/>
        </w:rPr>
      </w:pPr>
    </w:p>
    <w:p>
      <w:pPr>
        <w:ind w:right="140"/>
        <w:spacing w:after="0" w:line="277" w:lineRule="auto"/>
        <w:rPr>
          <w:sz w:val="20"/>
          <w:szCs w:val="20"/>
          <w:color w:val="auto"/>
        </w:rPr>
      </w:pPr>
      <w:r>
        <w:rPr>
          <w:rFonts w:ascii="Arial" w:cs="Arial" w:eastAsia="Arial" w:hAnsi="Arial"/>
          <w:sz w:val="18"/>
          <w:szCs w:val="18"/>
          <w:color w:val="auto"/>
        </w:rPr>
        <w:t>On November 3, 2022, Ardelyx, Inc. (the “Company”) announced its financial results for the fiscal quarter ended September 30, 2022. The full text of the press release issued in connection with the announcement is furnished as Exhibit 99.1 to this Current Report on Form 8-K.</w:t>
      </w:r>
    </w:p>
    <w:p>
      <w:pPr>
        <w:spacing w:after="0" w:line="62" w:lineRule="exact"/>
        <w:rPr>
          <w:sz w:val="20"/>
          <w:szCs w:val="20"/>
          <w:color w:val="auto"/>
        </w:rPr>
      </w:pPr>
    </w:p>
    <w:p>
      <w:pPr>
        <w:ind w:right="180"/>
        <w:spacing w:after="0" w:line="311" w:lineRule="auto"/>
        <w:rPr>
          <w:sz w:val="20"/>
          <w:szCs w:val="20"/>
          <w:color w:val="auto"/>
        </w:rPr>
      </w:pPr>
      <w:r>
        <w:rPr>
          <w:rFonts w:ascii="Arial" w:cs="Arial" w:eastAsia="Arial" w:hAnsi="Arial"/>
          <w:sz w:val="16"/>
          <w:szCs w:val="16"/>
          <w:color w:val="auto"/>
        </w:rPr>
        <w:t>The information furnished under this Item 2.02 shall not be considered “filed” under the Securities Exchange Act of 1934, as amended, nor shall it be incorporated by reference into any future filing under the Securities Act of 1933, as amended, or under the Securities Exchange Act of 1934, as amended, unless the Company expressly sets forth in such future filing that such information is to be considered “filed” or incorporated by reference therein.</w:t>
      </w:r>
    </w:p>
    <w:p>
      <w:pPr>
        <w:spacing w:after="0" w:line="145" w:lineRule="exact"/>
        <w:rPr>
          <w:sz w:val="20"/>
          <w:szCs w:val="20"/>
          <w:color w:val="auto"/>
        </w:rPr>
      </w:pPr>
    </w:p>
    <w:p>
      <w:pPr>
        <w:spacing w:after="0"/>
        <w:tabs>
          <w:tab w:leader="none" w:pos="880" w:val="left"/>
        </w:tabs>
        <w:rPr>
          <w:sz w:val="20"/>
          <w:szCs w:val="20"/>
          <w:color w:val="auto"/>
        </w:rPr>
      </w:pPr>
      <w:r>
        <w:rPr>
          <w:rFonts w:ascii="Arial" w:cs="Arial" w:eastAsia="Arial" w:hAnsi="Arial"/>
          <w:sz w:val="18"/>
          <w:szCs w:val="18"/>
          <w:b w:val="1"/>
          <w:bCs w:val="1"/>
          <w:color w:val="auto"/>
        </w:rPr>
        <w:t>Item 9.01</w:t>
      </w:r>
      <w:r>
        <w:rPr>
          <w:sz w:val="20"/>
          <w:szCs w:val="20"/>
          <w:color w:val="auto"/>
        </w:rPr>
        <w:tab/>
      </w:r>
      <w:r>
        <w:rPr>
          <w:rFonts w:ascii="Arial" w:cs="Arial" w:eastAsia="Arial" w:hAnsi="Arial"/>
          <w:sz w:val="16"/>
          <w:szCs w:val="16"/>
          <w:b w:val="1"/>
          <w:bCs w:val="1"/>
          <w:color w:val="auto"/>
        </w:rPr>
        <w:t>Financial Statements and Exhibits.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 Exhibits.</w:t>
      </w:r>
    </w:p>
    <w:p>
      <w:pPr>
        <w:spacing w:after="0" w:line="14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220" w:type="dxa"/>
            <w:vAlign w:val="bottom"/>
            <w:gridSpan w:val="2"/>
          </w:tcPr>
          <w:p>
            <w:pPr>
              <w:jc w:val="center"/>
              <w:ind w:right="240"/>
              <w:spacing w:after="0"/>
              <w:rPr>
                <w:sz w:val="20"/>
                <w:szCs w:val="20"/>
                <w:color w:val="auto"/>
              </w:rPr>
            </w:pPr>
            <w:r>
              <w:rPr>
                <w:rFonts w:ascii="Arial" w:cs="Arial" w:eastAsia="Arial" w:hAnsi="Arial"/>
                <w:sz w:val="14"/>
                <w:szCs w:val="14"/>
                <w:color w:val="auto"/>
                <w:w w:val="99"/>
              </w:rPr>
              <w:t>Exhibit</w:t>
            </w:r>
          </w:p>
        </w:tc>
        <w:tc>
          <w:tcPr>
            <w:tcW w:w="20" w:type="dxa"/>
            <w:vAlign w:val="bottom"/>
          </w:tcPr>
          <w:p>
            <w:pPr>
              <w:spacing w:after="0"/>
              <w:rPr>
                <w:sz w:val="14"/>
                <w:szCs w:val="14"/>
                <w:color w:val="auto"/>
              </w:rPr>
            </w:pPr>
          </w:p>
        </w:tc>
        <w:tc>
          <w:tcPr>
            <w:tcW w:w="9940" w:type="dxa"/>
            <w:vAlign w:val="bottom"/>
            <w:gridSpan w:val="2"/>
            <w:vMerge w:val="restart"/>
          </w:tcPr>
          <w:p>
            <w:pPr>
              <w:spacing w:after="0"/>
              <w:rPr>
                <w:sz w:val="20"/>
                <w:szCs w:val="20"/>
                <w:color w:val="auto"/>
              </w:rPr>
            </w:pPr>
            <w:r>
              <w:rPr>
                <w:rFonts w:ascii="Arial" w:cs="Arial" w:eastAsia="Arial" w:hAnsi="Arial"/>
                <w:sz w:val="14"/>
                <w:szCs w:val="14"/>
                <w:color w:val="auto"/>
              </w:rPr>
              <w:t>Description</w:t>
            </w:r>
          </w:p>
        </w:tc>
        <w:tc>
          <w:tcPr>
            <w:tcW w:w="60" w:type="dxa"/>
            <w:vAlign w:val="bottom"/>
            <w:vMerge w:val="restart"/>
          </w:tcPr>
          <w:p>
            <w:pPr>
              <w:spacing w:after="0"/>
              <w:rPr>
                <w:sz w:val="14"/>
                <w:szCs w:val="14"/>
                <w:color w:val="auto"/>
              </w:rPr>
            </w:pPr>
          </w:p>
        </w:tc>
        <w:tc>
          <w:tcPr>
            <w:tcW w:w="0" w:type="dxa"/>
            <w:vAlign w:val="bottom"/>
          </w:tcPr>
          <w:p>
            <w:pPr>
              <w:spacing w:after="0"/>
              <w:rPr>
                <w:sz w:val="1"/>
                <w:szCs w:val="1"/>
                <w:color w:val="auto"/>
              </w:rPr>
            </w:pPr>
          </w:p>
        </w:tc>
      </w:tr>
      <w:tr>
        <w:trPr>
          <w:trHeight w:val="188"/>
        </w:trPr>
        <w:tc>
          <w:tcPr>
            <w:tcW w:w="98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rPr>
              <w:t>No.</w:t>
            </w:r>
          </w:p>
        </w:tc>
        <w:tc>
          <w:tcPr>
            <w:tcW w:w="240" w:type="dxa"/>
            <w:vAlign w:val="bottom"/>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9940" w:type="dxa"/>
            <w:vAlign w:val="bottom"/>
            <w:tcBorders>
              <w:bottom w:val="single" w:sz="8" w:color="auto"/>
            </w:tcBorders>
            <w:gridSpan w:val="2"/>
            <w:vMerge w:val="continue"/>
          </w:tcPr>
          <w:p>
            <w:pPr>
              <w:spacing w:after="0"/>
              <w:rPr>
                <w:sz w:val="16"/>
                <w:szCs w:val="16"/>
                <w:color w:val="auto"/>
              </w:rPr>
            </w:pPr>
          </w:p>
        </w:tc>
        <w:tc>
          <w:tcPr>
            <w:tcW w:w="6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02"/>
        </w:trPr>
        <w:tc>
          <w:tcPr>
            <w:tcW w:w="980" w:type="dxa"/>
            <w:vAlign w:val="bottom"/>
          </w:tcPr>
          <w:p>
            <w:pPr>
              <w:ind w:left="20"/>
              <w:spacing w:after="0" w:line="202" w:lineRule="exact"/>
              <w:rPr>
                <w:sz w:val="20"/>
                <w:szCs w:val="20"/>
                <w:color w:val="auto"/>
              </w:rPr>
            </w:pPr>
            <w:r>
              <w:rPr>
                <w:rFonts w:ascii="Arial" w:cs="Arial" w:eastAsia="Arial" w:hAnsi="Arial"/>
                <w:sz w:val="18"/>
                <w:szCs w:val="18"/>
                <w:color w:val="auto"/>
              </w:rPr>
              <w:t>99.1</w:t>
            </w:r>
          </w:p>
        </w:tc>
        <w:tc>
          <w:tcPr>
            <w:tcW w:w="2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120" w:type="dxa"/>
            <w:vAlign w:val="bottom"/>
            <w:tcBorders>
              <w:bottom w:val="single" w:sz="8" w:color="0000FF"/>
            </w:tcBorders>
          </w:tcPr>
          <w:p>
            <w:pPr>
              <w:spacing w:after="0" w:line="202" w:lineRule="exact"/>
              <w:rPr>
                <w:sz w:val="20"/>
                <w:szCs w:val="20"/>
                <w:color w:val="auto"/>
              </w:rPr>
            </w:pPr>
            <w:r>
              <w:rPr>
                <w:rFonts w:ascii="Arial" w:cs="Arial" w:eastAsia="Arial" w:hAnsi="Arial"/>
                <w:sz w:val="18"/>
                <w:szCs w:val="18"/>
                <w:color w:val="0000FF"/>
                <w:w w:val="89"/>
              </w:rPr>
              <w:t>Press release of Ardelyx, Inc.</w:t>
            </w:r>
          </w:p>
        </w:tc>
        <w:tc>
          <w:tcPr>
            <w:tcW w:w="7880" w:type="dxa"/>
            <w:vAlign w:val="bottom"/>
            <w:gridSpan w:val="2"/>
          </w:tcPr>
          <w:p>
            <w:pPr>
              <w:spacing w:after="0"/>
              <w:rPr>
                <w:sz w:val="17"/>
                <w:szCs w:val="17"/>
                <w:color w:val="auto"/>
              </w:rPr>
            </w:pPr>
          </w:p>
        </w:tc>
        <w:tc>
          <w:tcPr>
            <w:tcW w:w="0" w:type="dxa"/>
            <w:vAlign w:val="bottom"/>
          </w:tcPr>
          <w:p>
            <w:pPr>
              <w:spacing w:after="0"/>
              <w:rPr>
                <w:sz w:val="1"/>
                <w:szCs w:val="1"/>
                <w:color w:val="auto"/>
              </w:rPr>
            </w:pPr>
          </w:p>
        </w:tc>
      </w:tr>
      <w:tr>
        <w:trPr>
          <w:trHeight w:val="277"/>
        </w:trPr>
        <w:tc>
          <w:tcPr>
            <w:tcW w:w="980" w:type="dxa"/>
            <w:vAlign w:val="bottom"/>
          </w:tcPr>
          <w:p>
            <w:pPr>
              <w:ind w:left="20"/>
              <w:spacing w:after="0"/>
              <w:rPr>
                <w:sz w:val="20"/>
                <w:szCs w:val="20"/>
                <w:color w:val="auto"/>
              </w:rPr>
            </w:pPr>
            <w:r>
              <w:rPr>
                <w:rFonts w:ascii="Arial" w:cs="Arial" w:eastAsia="Arial" w:hAnsi="Arial"/>
                <w:sz w:val="18"/>
                <w:szCs w:val="18"/>
                <w:color w:val="auto"/>
              </w:rPr>
              <w:t>104</w:t>
            </w:r>
          </w:p>
        </w:tc>
        <w:tc>
          <w:tcPr>
            <w:tcW w:w="2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00" w:type="dxa"/>
            <w:vAlign w:val="bottom"/>
            <w:gridSpan w:val="3"/>
          </w:tcPr>
          <w:p>
            <w:pPr>
              <w:spacing w:after="0"/>
              <w:rPr>
                <w:sz w:val="20"/>
                <w:szCs w:val="20"/>
                <w:color w:val="auto"/>
              </w:rPr>
            </w:pPr>
            <w:r>
              <w:rPr>
                <w:rFonts w:ascii="Arial" w:cs="Arial" w:eastAsia="Arial" w:hAnsi="Arial"/>
                <w:sz w:val="18"/>
                <w:szCs w:val="18"/>
                <w:color w:val="auto"/>
              </w:rPr>
              <w:t>Cover Page Interactive Data File (embedded within the Inline XBRL document).</w:t>
            </w:r>
          </w:p>
        </w:tc>
        <w:tc>
          <w:tcPr>
            <w:tcW w:w="0" w:type="dxa"/>
            <w:vAlign w:val="bottom"/>
          </w:tcPr>
          <w:p>
            <w:pPr>
              <w:spacing w:after="0"/>
              <w:rPr>
                <w:sz w:val="1"/>
                <w:szCs w:val="1"/>
                <w:color w:val="auto"/>
              </w:rPr>
            </w:pPr>
          </w:p>
        </w:tc>
      </w:tr>
      <w:tr>
        <w:trPr>
          <w:trHeight w:val="1019"/>
        </w:trPr>
        <w:tc>
          <w:tcPr>
            <w:tcW w:w="980" w:type="dxa"/>
            <w:vAlign w:val="bottom"/>
            <w:tcBorders>
              <w:bottom w:val="single" w:sz="8" w:color="9A9A9A"/>
            </w:tcBorders>
          </w:tcPr>
          <w:p>
            <w:pPr>
              <w:spacing w:after="0"/>
              <w:rPr>
                <w:sz w:val="24"/>
                <w:szCs w:val="24"/>
                <w:color w:val="auto"/>
              </w:rPr>
            </w:pPr>
          </w:p>
        </w:tc>
        <w:tc>
          <w:tcPr>
            <w:tcW w:w="24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120" w:type="dxa"/>
            <w:vAlign w:val="bottom"/>
            <w:tcBorders>
              <w:bottom w:val="single" w:sz="8" w:color="9A9A9A"/>
            </w:tcBorders>
          </w:tcPr>
          <w:p>
            <w:pPr>
              <w:spacing w:after="0"/>
              <w:rPr>
                <w:sz w:val="24"/>
                <w:szCs w:val="24"/>
                <w:color w:val="auto"/>
              </w:rPr>
            </w:pPr>
          </w:p>
        </w:tc>
        <w:tc>
          <w:tcPr>
            <w:tcW w:w="7820" w:type="dxa"/>
            <w:vAlign w:val="bottom"/>
            <w:tcBorders>
              <w:bottom w:val="single" w:sz="8" w:color="9A9A9A"/>
            </w:tcBorders>
          </w:tcPr>
          <w:p>
            <w:pPr>
              <w:spacing w:after="0"/>
              <w:rPr>
                <w:sz w:val="24"/>
                <w:szCs w:val="24"/>
                <w:color w:val="auto"/>
              </w:rPr>
            </w:pPr>
          </w:p>
        </w:tc>
        <w:tc>
          <w:tcPr>
            <w:tcW w:w="6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147" w:right="339" w:bottom="1440" w:gutter="0" w:footer="0" w:header="0"/>
        </w:sectPr>
      </w:pPr>
    </w:p>
    <w:bookmarkStart w:id="2" w:name="page3"/>
    <w:bookmarkEnd w:id="2"/>
    <w:p>
      <w:pPr>
        <w:jc w:val="center"/>
        <w:ind w:right="-39"/>
        <w:spacing w:after="0"/>
        <w:rPr>
          <w:sz w:val="20"/>
          <w:szCs w:val="20"/>
          <w:color w:val="auto"/>
        </w:rPr>
      </w:pPr>
      <w:r>
        <w:rPr>
          <w:rFonts w:ascii="Arial" w:cs="Arial" w:eastAsia="Arial" w:hAnsi="Arial"/>
          <w:sz w:val="18"/>
          <w:szCs w:val="18"/>
          <w:b w:val="1"/>
          <w:bCs w:val="1"/>
          <w:color w:val="auto"/>
        </w:rPr>
        <w:t>SIGNATURES</w:t>
      </w:r>
    </w:p>
    <w:p>
      <w:pPr>
        <w:spacing w:after="0" w:line="121"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Pursuant to the requirements of the Securities Exchange Act of 1934, as amended, the registrant has duly caused this report to be signed on its behalf by the undersigned hereunto duly authorized.</w:t>
      </w:r>
    </w:p>
    <w:p>
      <w:pPr>
        <w:spacing w:after="0" w:line="103" w:lineRule="exact"/>
        <w:rPr>
          <w:sz w:val="20"/>
          <w:szCs w:val="20"/>
          <w:color w:val="auto"/>
        </w:rPr>
      </w:pPr>
    </w:p>
    <w:p>
      <w:pPr>
        <w:ind w:left="20"/>
        <w:spacing w:after="0"/>
        <w:tabs>
          <w:tab w:leader="none" w:pos="4820" w:val="left"/>
        </w:tabs>
        <w:rPr>
          <w:sz w:val="20"/>
          <w:szCs w:val="20"/>
          <w:color w:val="auto"/>
        </w:rPr>
      </w:pPr>
      <w:r>
        <w:rPr>
          <w:rFonts w:ascii="Arial" w:cs="Arial" w:eastAsia="Arial" w:hAnsi="Arial"/>
          <w:sz w:val="18"/>
          <w:szCs w:val="18"/>
          <w:color w:val="auto"/>
        </w:rPr>
        <w:t>Date: November 3, 2022</w:t>
      </w:r>
      <w:r>
        <w:rPr>
          <w:sz w:val="20"/>
          <w:szCs w:val="20"/>
          <w:color w:val="auto"/>
        </w:rPr>
        <w:tab/>
      </w:r>
      <w:r>
        <w:rPr>
          <w:rFonts w:ascii="Arial" w:cs="Arial" w:eastAsia="Arial" w:hAnsi="Arial"/>
          <w:sz w:val="17"/>
          <w:szCs w:val="17"/>
          <w:color w:val="auto"/>
        </w:rPr>
        <w:t>ARDELYX, INC.</w:t>
      </w:r>
    </w:p>
    <w:p>
      <w:pPr>
        <w:spacing w:after="0" w:line="239" w:lineRule="exact"/>
        <w:rPr>
          <w:sz w:val="20"/>
          <w:szCs w:val="20"/>
          <w:color w:val="auto"/>
        </w:rPr>
      </w:pPr>
    </w:p>
    <w:p>
      <w:pPr>
        <w:ind w:left="4840"/>
        <w:spacing w:after="0"/>
        <w:tabs>
          <w:tab w:leader="none" w:pos="5300" w:val="left"/>
        </w:tabs>
        <w:rPr>
          <w:sz w:val="20"/>
          <w:szCs w:val="20"/>
          <w:color w:val="auto"/>
        </w:rPr>
      </w:pPr>
      <w:r>
        <w:rPr>
          <w:rFonts w:ascii="Arial" w:cs="Arial" w:eastAsia="Arial" w:hAnsi="Arial"/>
          <w:sz w:val="18"/>
          <w:szCs w:val="18"/>
          <w:color w:val="auto"/>
        </w:rPr>
        <w:t>By:</w:t>
        <w:tab/>
        <w:t>/s/ Robert Felsch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3365500</wp:posOffset>
            </wp:positionH>
            <wp:positionV relativeFrom="paragraph">
              <wp:posOffset>14605</wp:posOffset>
            </wp:positionV>
            <wp:extent cx="3737610" cy="825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3737610" cy="8255"/>
                    </a:xfrm>
                    <a:prstGeom prst="rect">
                      <a:avLst/>
                    </a:prstGeom>
                    <a:noFill/>
                  </pic:spPr>
                </pic:pic>
              </a:graphicData>
            </a:graphic>
          </wp:anchor>
        </w:drawing>
      </w:r>
    </w:p>
    <w:p>
      <w:pPr>
        <w:spacing w:after="0" w:line="16" w:lineRule="exact"/>
        <w:rPr>
          <w:sz w:val="20"/>
          <w:szCs w:val="20"/>
          <w:color w:val="auto"/>
        </w:rPr>
      </w:pPr>
    </w:p>
    <w:p>
      <w:pPr>
        <w:ind w:left="5320"/>
        <w:spacing w:after="0"/>
        <w:rPr>
          <w:sz w:val="20"/>
          <w:szCs w:val="20"/>
          <w:color w:val="auto"/>
        </w:rPr>
      </w:pPr>
      <w:r>
        <w:rPr>
          <w:rFonts w:ascii="Arial" w:cs="Arial" w:eastAsia="Arial" w:hAnsi="Arial"/>
          <w:sz w:val="18"/>
          <w:szCs w:val="18"/>
          <w:color w:val="auto"/>
        </w:rPr>
        <w:t>Robert Felsch</w:t>
      </w:r>
    </w:p>
    <w:p>
      <w:pPr>
        <w:spacing w:after="0" w:line="23" w:lineRule="exact"/>
        <w:rPr>
          <w:sz w:val="20"/>
          <w:szCs w:val="20"/>
          <w:color w:val="auto"/>
        </w:rPr>
      </w:pPr>
    </w:p>
    <w:p>
      <w:pPr>
        <w:ind w:left="5320"/>
        <w:spacing w:after="0"/>
        <w:rPr>
          <w:sz w:val="20"/>
          <w:szCs w:val="20"/>
          <w:color w:val="auto"/>
        </w:rPr>
      </w:pPr>
      <w:r>
        <w:rPr>
          <w:rFonts w:ascii="Arial" w:cs="Arial" w:eastAsia="Arial" w:hAnsi="Arial"/>
          <w:sz w:val="18"/>
          <w:szCs w:val="18"/>
          <w:color w:val="auto"/>
        </w:rPr>
        <w:t>Senior Vice President and Chief Accounting Officer</w:t>
      </w:r>
    </w:p>
    <w:p>
      <w:pPr>
        <w:sectPr>
          <w:pgSz w:w="11900" w:h="16838" w:orient="portrait"/>
          <w:cols w:equalWidth="0" w:num="1">
            <w:col w:w="11220"/>
          </w:cols>
          <w:pgMar w:left="320" w:top="1147" w:right="359" w:bottom="1440" w:gutter="0" w:footer="0" w:header="0"/>
        </w:sectPr>
      </w:pPr>
    </w:p>
    <w:bookmarkStart w:id="3" w:name="page4"/>
    <w:bookmarkEnd w:id="3"/>
    <w:p>
      <w:pPr>
        <w:jc w:val="right"/>
        <w:spacing w:after="0"/>
        <w:rPr>
          <w:sz w:val="20"/>
          <w:szCs w:val="20"/>
          <w:color w:val="auto"/>
        </w:rPr>
      </w:pPr>
      <w:r>
        <w:rPr>
          <w:rFonts w:ascii="Arial" w:cs="Arial" w:eastAsia="Arial" w:hAnsi="Arial"/>
          <w:sz w:val="22"/>
          <w:szCs w:val="22"/>
          <w:b w:val="1"/>
          <w:bCs w:val="1"/>
          <w:color w:val="auto"/>
        </w:rPr>
        <w:drawing>
          <wp:anchor simplePos="0" relativeHeight="251657728" behindDoc="1" locked="0" layoutInCell="0" allowOverlap="1">
            <wp:simplePos x="0" y="0"/>
            <wp:positionH relativeFrom="page">
              <wp:posOffset>2985770</wp:posOffset>
            </wp:positionH>
            <wp:positionV relativeFrom="page">
              <wp:posOffset>88900</wp:posOffset>
            </wp:positionV>
            <wp:extent cx="1577340" cy="42037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clrChange>
                        <a:clrFrom>
                          <a:srgbClr val="FFFFFF"/>
                        </a:clrFrom>
                        <a:clrTo>
                          <a:srgbClr val="FFFFFF">
                            <a:alpha val="0"/>
                          </a:srgbClr>
                        </a:clrTo>
                      </a:clrChange>
                      <a:extLst>
                        <a:ext uri="{28A0092B-C50C-407E-A947-70E740481C1C}"/>
                      </a:extLst>
                    </a:blip>
                    <a:srcRect/>
                    <a:stretch>
                      <a:fillRect/>
                    </a:stretch>
                  </pic:blipFill>
                  <pic:spPr bwMode="auto">
                    <a:xfrm>
                      <a:off x="0" y="0"/>
                      <a:ext cx="1577340" cy="420370"/>
                    </a:xfrm>
                    <a:prstGeom prst="rect">
                      <a:avLst/>
                    </a:prstGeom>
                    <a:noFill/>
                  </pic:spPr>
                </pic:pic>
              </a:graphicData>
            </a:graphic>
          </wp:anchor>
        </w:drawing>
        <w:t>Exhibit 99.1</w:t>
      </w:r>
    </w:p>
    <w:p>
      <w:pPr>
        <w:spacing w:after="0" w:line="19" w:lineRule="exact"/>
        <w:rPr>
          <w:sz w:val="20"/>
          <w:szCs w:val="20"/>
          <w:color w:val="auto"/>
        </w:rPr>
      </w:pPr>
    </w:p>
    <w:p>
      <w:pPr>
        <w:jc w:val="center"/>
        <w:spacing w:after="0"/>
        <w:rPr>
          <w:sz w:val="20"/>
          <w:szCs w:val="20"/>
          <w:color w:val="auto"/>
        </w:rPr>
      </w:pPr>
      <w:r>
        <w:rPr>
          <w:rFonts w:ascii="Arial" w:cs="Arial" w:eastAsia="Arial" w:hAnsi="Arial"/>
          <w:sz w:val="25"/>
          <w:szCs w:val="25"/>
          <w:b w:val="1"/>
          <w:bCs w:val="1"/>
          <w:color w:val="auto"/>
        </w:rPr>
        <w:t>Ardelyx Reports Third Quarter 2022 Financial</w:t>
      </w:r>
    </w:p>
    <w:p>
      <w:pPr>
        <w:jc w:val="center"/>
        <w:spacing w:after="0"/>
        <w:rPr>
          <w:sz w:val="20"/>
          <w:szCs w:val="20"/>
          <w:color w:val="auto"/>
        </w:rPr>
      </w:pPr>
      <w:r>
        <w:rPr>
          <w:rFonts w:ascii="Arial" w:cs="Arial" w:eastAsia="Arial" w:hAnsi="Arial"/>
          <w:sz w:val="25"/>
          <w:szCs w:val="25"/>
          <w:b w:val="1"/>
          <w:bCs w:val="1"/>
          <w:color w:val="auto"/>
        </w:rPr>
        <w:t>Results and Recent Business Highlights</w:t>
      </w:r>
    </w:p>
    <w:p>
      <w:pPr>
        <w:spacing w:after="0" w:line="240" w:lineRule="exact"/>
        <w:rPr>
          <w:sz w:val="20"/>
          <w:szCs w:val="20"/>
          <w:color w:val="auto"/>
        </w:rPr>
      </w:pPr>
    </w:p>
    <w:p>
      <w:pPr>
        <w:jc w:val="center"/>
        <w:spacing w:after="0"/>
        <w:rPr>
          <w:sz w:val="20"/>
          <w:szCs w:val="20"/>
          <w:color w:val="auto"/>
        </w:rPr>
      </w:pPr>
      <w:r>
        <w:rPr>
          <w:rFonts w:ascii="Arial" w:cs="Arial" w:eastAsia="Arial" w:hAnsi="Arial"/>
          <w:sz w:val="22"/>
          <w:szCs w:val="22"/>
          <w:i w:val="1"/>
          <w:iCs w:val="1"/>
          <w:color w:val="auto"/>
        </w:rPr>
        <w:t>Conference call scheduled for 4:30 p.m. Eastern Time today</w:t>
      </w:r>
    </w:p>
    <w:p>
      <w:pPr>
        <w:spacing w:after="0" w:line="200" w:lineRule="exact"/>
        <w:rPr>
          <w:sz w:val="20"/>
          <w:szCs w:val="20"/>
          <w:color w:val="auto"/>
        </w:rPr>
      </w:pPr>
    </w:p>
    <w:p>
      <w:pPr>
        <w:spacing w:after="0" w:line="324" w:lineRule="exact"/>
        <w:rPr>
          <w:sz w:val="20"/>
          <w:szCs w:val="20"/>
          <w:color w:val="auto"/>
        </w:rPr>
      </w:pPr>
    </w:p>
    <w:p>
      <w:pPr>
        <w:spacing w:after="0" w:line="395" w:lineRule="auto"/>
        <w:rPr>
          <w:sz w:val="20"/>
          <w:szCs w:val="20"/>
          <w:color w:val="auto"/>
        </w:rPr>
      </w:pPr>
      <w:r>
        <w:rPr>
          <w:rFonts w:ascii="Arial" w:cs="Arial" w:eastAsia="Arial" w:hAnsi="Arial"/>
          <w:sz w:val="21"/>
          <w:szCs w:val="21"/>
          <w:b w:val="1"/>
          <w:bCs w:val="1"/>
          <w:color w:val="auto"/>
        </w:rPr>
        <w:t xml:space="preserve">WALTHAM, Mass., November 3, 2022 </w:t>
      </w:r>
      <w:r>
        <w:rPr>
          <w:rFonts w:ascii="Arial" w:cs="Arial" w:eastAsia="Arial" w:hAnsi="Arial"/>
          <w:sz w:val="21"/>
          <w:szCs w:val="21"/>
          <w:color w:val="auto"/>
        </w:rPr>
        <w:t>- Ardelyx, Inc. (Nasdaq: ARDX), a biopharmaceutical company founded with a mission</w:t>
      </w:r>
      <w:r>
        <w:rPr>
          <w:rFonts w:ascii="Arial" w:cs="Arial" w:eastAsia="Arial" w:hAnsi="Arial"/>
          <w:sz w:val="21"/>
          <w:szCs w:val="21"/>
          <w:b w:val="1"/>
          <w:bCs w:val="1"/>
          <w:color w:val="auto"/>
        </w:rPr>
        <w:t xml:space="preserve"> </w:t>
      </w:r>
      <w:r>
        <w:rPr>
          <w:rFonts w:ascii="Arial" w:cs="Arial" w:eastAsia="Arial" w:hAnsi="Arial"/>
          <w:sz w:val="21"/>
          <w:szCs w:val="21"/>
          <w:color w:val="auto"/>
        </w:rPr>
        <w:t>to discover, develop and commercialize innovative first-in-class medicines that meet significant unmet medical needs, today reported business updates and financial results for the third quarter ended September 30, 2022.</w:t>
      </w:r>
    </w:p>
    <w:p>
      <w:pPr>
        <w:spacing w:after="0" w:line="177" w:lineRule="exact"/>
        <w:rPr>
          <w:sz w:val="20"/>
          <w:szCs w:val="20"/>
          <w:color w:val="auto"/>
        </w:rPr>
      </w:pPr>
    </w:p>
    <w:p>
      <w:pPr>
        <w:ind w:right="280"/>
        <w:spacing w:after="0" w:line="362" w:lineRule="auto"/>
        <w:rPr>
          <w:sz w:val="20"/>
          <w:szCs w:val="20"/>
          <w:color w:val="auto"/>
        </w:rPr>
      </w:pPr>
      <w:r>
        <w:rPr>
          <w:rFonts w:ascii="Arial" w:cs="Arial" w:eastAsia="Arial" w:hAnsi="Arial"/>
          <w:sz w:val="22"/>
          <w:szCs w:val="22"/>
          <w:color w:val="auto"/>
        </w:rPr>
        <w:t>“We are now a full six months into the launch of IBSRELA</w:t>
      </w:r>
      <w:r>
        <w:rPr>
          <w:rFonts w:ascii="Arial" w:cs="Arial" w:eastAsia="Arial" w:hAnsi="Arial"/>
          <w:sz w:val="11"/>
          <w:szCs w:val="11"/>
          <w:color w:val="auto"/>
        </w:rPr>
        <w:t>®</w:t>
      </w:r>
      <w:r>
        <w:rPr>
          <w:rFonts w:ascii="Arial" w:cs="Arial" w:eastAsia="Arial" w:hAnsi="Arial"/>
          <w:sz w:val="22"/>
          <w:szCs w:val="22"/>
          <w:color w:val="auto"/>
        </w:rPr>
        <w:t xml:space="preserve"> and are extremely encouraged by the commercial progress we are making,” said Mike Raab, president, and chief executive officer of Ardelyx. “Our efforts are reinforcing strong demand and market receptivity for our novel treatment option in the IBS-C market. We are in a unique position in the biopharmaceutical industry, demonstrating our status as an evolving, impressive growth story with many opportunities ahead. We look forward to continued commercial progress with IBSRELA and the upcoming FDA Advisory Committee meeting for XPHOZAH</w:t>
      </w:r>
      <w:r>
        <w:rPr>
          <w:rFonts w:ascii="Arial" w:cs="Arial" w:eastAsia="Arial" w:hAnsi="Arial"/>
          <w:sz w:val="11"/>
          <w:szCs w:val="11"/>
          <w:color w:val="auto"/>
        </w:rPr>
        <w:t>®</w:t>
      </w:r>
      <w:r>
        <w:rPr>
          <w:rFonts w:ascii="Arial" w:cs="Arial" w:eastAsia="Arial" w:hAnsi="Arial"/>
          <w:sz w:val="22"/>
          <w:szCs w:val="22"/>
          <w:color w:val="auto"/>
        </w:rPr>
        <w:t xml:space="preserve"> on November 16, 2022.”</w:t>
      </w:r>
    </w:p>
    <w:p>
      <w:pPr>
        <w:spacing w:after="0" w:line="202"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Recent Business Highlights and Updates</w:t>
      </w:r>
    </w:p>
    <w:p>
      <w:pPr>
        <w:spacing w:after="0" w:line="374" w:lineRule="exact"/>
        <w:rPr>
          <w:sz w:val="20"/>
          <w:szCs w:val="20"/>
          <w:color w:val="auto"/>
        </w:rPr>
      </w:pPr>
    </w:p>
    <w:p>
      <w:pPr>
        <w:ind w:left="340" w:right="20" w:hanging="332"/>
        <w:spacing w:after="0" w:line="378" w:lineRule="auto"/>
        <w:tabs>
          <w:tab w:leader="none" w:pos="335" w:val="left"/>
        </w:tabs>
        <w:numPr>
          <w:ilvl w:val="0"/>
          <w:numId w:val="2"/>
        </w:numPr>
        <w:rPr>
          <w:rFonts w:ascii="Arial" w:cs="Arial" w:eastAsia="Arial" w:hAnsi="Arial"/>
          <w:sz w:val="21"/>
          <w:szCs w:val="21"/>
          <w:color w:val="auto"/>
        </w:rPr>
      </w:pPr>
      <w:r>
        <w:rPr>
          <w:rFonts w:ascii="Arial" w:cs="Arial" w:eastAsia="Arial" w:hAnsi="Arial"/>
          <w:sz w:val="21"/>
          <w:szCs w:val="21"/>
          <w:color w:val="auto"/>
        </w:rPr>
        <w:t xml:space="preserve">The company had a significant presence at the American College of Gastroenterology 2022 Annual Scientific Meeting (ACG 2022) in Charlotte, NC on October 21-26. The company presented two posters which included post-hoc data analyses from its Phase 3 T3MPO trials and sponsored a Product Theater titled: </w:t>
      </w:r>
      <w:r>
        <w:rPr>
          <w:rFonts w:ascii="Arial" w:cs="Arial" w:eastAsia="Arial" w:hAnsi="Arial"/>
          <w:sz w:val="21"/>
          <w:szCs w:val="21"/>
          <w:i w:val="1"/>
          <w:iCs w:val="1"/>
          <w:color w:val="auto"/>
        </w:rPr>
        <w:t>An Innovative Approach to the Treatment of Adults with</w:t>
      </w:r>
      <w:r>
        <w:rPr>
          <w:rFonts w:ascii="Arial" w:cs="Arial" w:eastAsia="Arial" w:hAnsi="Arial"/>
          <w:sz w:val="21"/>
          <w:szCs w:val="21"/>
          <w:color w:val="auto"/>
        </w:rPr>
        <w:t xml:space="preserve"> </w:t>
      </w:r>
      <w:r>
        <w:rPr>
          <w:rFonts w:ascii="Arial" w:cs="Arial" w:eastAsia="Arial" w:hAnsi="Arial"/>
          <w:sz w:val="21"/>
          <w:szCs w:val="21"/>
          <w:i w:val="1"/>
          <w:iCs w:val="1"/>
          <w:color w:val="auto"/>
        </w:rPr>
        <w:t xml:space="preserve">Irritable Bowel Syndrome with Constipation (IBS-C) </w:t>
      </w:r>
      <w:r>
        <w:rPr>
          <w:rFonts w:ascii="Arial" w:cs="Arial" w:eastAsia="Arial" w:hAnsi="Arial"/>
          <w:sz w:val="21"/>
          <w:szCs w:val="21"/>
          <w:color w:val="auto"/>
        </w:rPr>
        <w:t>where Susan Lucak, MD, reviewed the multifactorial pathophysiology</w:t>
      </w:r>
      <w:r>
        <w:rPr>
          <w:rFonts w:ascii="Arial" w:cs="Arial" w:eastAsia="Arial" w:hAnsi="Arial"/>
          <w:sz w:val="21"/>
          <w:szCs w:val="21"/>
          <w:i w:val="1"/>
          <w:iCs w:val="1"/>
          <w:color w:val="auto"/>
        </w:rPr>
        <w:t xml:space="preserve"> </w:t>
      </w:r>
      <w:r>
        <w:rPr>
          <w:rFonts w:ascii="Arial" w:cs="Arial" w:eastAsia="Arial" w:hAnsi="Arial"/>
          <w:sz w:val="21"/>
          <w:szCs w:val="21"/>
          <w:color w:val="auto"/>
        </w:rPr>
        <w:t xml:space="preserve">of IBS-C, the novel mechanism of action of IBSRELA, and safety and efficacy data for IBSRELA from the Phase 3 clinical development program. Finally, the company sponsored a Continuing Medical Education (CME) program titled: </w:t>
      </w:r>
      <w:r>
        <w:rPr>
          <w:rFonts w:ascii="Arial" w:cs="Arial" w:eastAsia="Arial" w:hAnsi="Arial"/>
          <w:sz w:val="21"/>
          <w:szCs w:val="21"/>
          <w:i w:val="1"/>
          <w:iCs w:val="1"/>
          <w:color w:val="auto"/>
        </w:rPr>
        <w:t>Partnering</w:t>
      </w:r>
      <w:r>
        <w:rPr>
          <w:rFonts w:ascii="Arial" w:cs="Arial" w:eastAsia="Arial" w:hAnsi="Arial"/>
          <w:sz w:val="21"/>
          <w:szCs w:val="21"/>
          <w:color w:val="auto"/>
        </w:rPr>
        <w:t xml:space="preserve"> </w:t>
      </w:r>
      <w:r>
        <w:rPr>
          <w:rFonts w:ascii="Arial" w:cs="Arial" w:eastAsia="Arial" w:hAnsi="Arial"/>
          <w:sz w:val="21"/>
          <w:szCs w:val="21"/>
          <w:i w:val="1"/>
          <w:iCs w:val="1"/>
          <w:color w:val="auto"/>
        </w:rPr>
        <w:t>with Patients, Personalizing Care for IBS-C</w:t>
      </w:r>
      <w:r>
        <w:rPr>
          <w:rFonts w:ascii="Arial" w:cs="Arial" w:eastAsia="Arial" w:hAnsi="Arial"/>
          <w:sz w:val="21"/>
          <w:szCs w:val="21"/>
          <w:color w:val="auto"/>
        </w:rPr>
        <w:t>, where experts in the field provided education on disease pathophysiology,</w:t>
      </w:r>
      <w:r>
        <w:rPr>
          <w:rFonts w:ascii="Arial" w:cs="Arial" w:eastAsia="Arial" w:hAnsi="Arial"/>
          <w:sz w:val="21"/>
          <w:szCs w:val="21"/>
          <w:i w:val="1"/>
          <w:iCs w:val="1"/>
          <w:color w:val="auto"/>
        </w:rPr>
        <w:t xml:space="preserve"> </w:t>
      </w:r>
      <w:r>
        <w:rPr>
          <w:rFonts w:ascii="Arial" w:cs="Arial" w:eastAsia="Arial" w:hAnsi="Arial"/>
          <w:sz w:val="21"/>
          <w:szCs w:val="21"/>
          <w:color w:val="auto"/>
        </w:rPr>
        <w:t>diagnosis and treatment of IBS-C.</w:t>
      </w:r>
    </w:p>
    <w:p>
      <w:pPr>
        <w:sectPr>
          <w:pgSz w:w="11900" w:h="16838" w:orient="portrait"/>
          <w:cols w:equalWidth="0" w:num="1">
            <w:col w:w="11240"/>
          </w:cols>
          <w:pgMar w:left="320" w:top="1071" w:right="339" w:bottom="1440" w:gutter="0" w:footer="0" w:header="0"/>
        </w:sectPr>
      </w:pPr>
    </w:p>
    <w:bookmarkStart w:id="4" w:name="page5"/>
    <w:bookmarkEnd w:id="4"/>
    <w:p>
      <w:pPr>
        <w:ind w:left="340" w:right="40" w:hanging="332"/>
        <w:spacing w:after="0" w:line="372" w:lineRule="auto"/>
        <w:tabs>
          <w:tab w:leader="none" w:pos="335" w:val="left"/>
        </w:tabs>
        <w:numPr>
          <w:ilvl w:val="0"/>
          <w:numId w:val="3"/>
        </w:numPr>
        <w:rPr>
          <w:rFonts w:ascii="Arial" w:cs="Arial" w:eastAsia="Arial" w:hAnsi="Arial"/>
          <w:sz w:val="21"/>
          <w:szCs w:val="21"/>
          <w:color w:val="auto"/>
        </w:rPr>
      </w:pPr>
      <w:r>
        <w:rPr>
          <w:rFonts w:ascii="Arial" w:cs="Arial" w:eastAsia="Arial" w:hAnsi="Arial"/>
          <w:sz w:val="21"/>
          <w:szCs w:val="21"/>
          <w:color w:val="auto"/>
        </w:rPr>
        <w:t>On October 31, the company announced that its collaboration partner in Japan, Kyowa Kirin Co., Ltd, submitted a New Drug Application (NDA) to the Japanese Ministry of Health, Labour and Welfare (MHLW) for tenapanor for the improvement of hyperphosphatemia in adult patients with chronic kidney disease (CKD) on dialysis. Based on this achievement, in the fourth quarter of 2022, Ardelyx expects to receive an aggregate of $35 million in milestone payments and payments associated with the 2022 amendment of the license agreement.</w:t>
      </w:r>
    </w:p>
    <w:p>
      <w:pPr>
        <w:spacing w:after="0" w:line="5" w:lineRule="exact"/>
        <w:rPr>
          <w:rFonts w:ascii="Arial" w:cs="Arial" w:eastAsia="Arial" w:hAnsi="Arial"/>
          <w:sz w:val="21"/>
          <w:szCs w:val="21"/>
          <w:color w:val="auto"/>
        </w:rPr>
      </w:pPr>
    </w:p>
    <w:p>
      <w:pPr>
        <w:ind w:left="340" w:right="20" w:hanging="332"/>
        <w:spacing w:after="0" w:line="360" w:lineRule="auto"/>
        <w:tabs>
          <w:tab w:leader="none" w:pos="335" w:val="left"/>
        </w:tabs>
        <w:numPr>
          <w:ilvl w:val="0"/>
          <w:numId w:val="3"/>
        </w:numPr>
        <w:rPr>
          <w:rFonts w:ascii="Arial" w:cs="Arial" w:eastAsia="Arial" w:hAnsi="Arial"/>
          <w:sz w:val="22"/>
          <w:szCs w:val="22"/>
          <w:color w:val="auto"/>
        </w:rPr>
      </w:pPr>
      <w:r>
        <w:rPr>
          <w:rFonts w:ascii="Arial" w:cs="Arial" w:eastAsia="Arial" w:hAnsi="Arial"/>
          <w:sz w:val="22"/>
          <w:szCs w:val="22"/>
          <w:color w:val="auto"/>
        </w:rPr>
        <w:t>Earlier today, the company presented two poster presentations at the American Society of Nephrology (ASN) Meeting, with a third poster presentation scheduled for November 5th. All three poster presentations highlight data from the company’s three Phase 3 trials (BLOCK, AMPLIFY and PHREEDOM) in patients with hyperphosphatemia on maintenance dialysis in the U.S. Additionally, earlier today at ASN, Kyowa Kirin, presented results of two Phase 3 studies of tenapanor in a similar patient population in Japan. Kyowa Kirin made a public announcement with their results which is available here: Kyowa Kirin ASN Press Release</w:t>
      </w:r>
    </w:p>
    <w:p>
      <w:pPr>
        <w:spacing w:after="0" w:line="215"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Third Quarter 2022 Financial Results</w:t>
      </w:r>
    </w:p>
    <w:p>
      <w:pPr>
        <w:spacing w:after="0" w:line="368" w:lineRule="exact"/>
        <w:rPr>
          <w:sz w:val="20"/>
          <w:szCs w:val="20"/>
          <w:color w:val="auto"/>
        </w:rPr>
      </w:pPr>
    </w:p>
    <w:p>
      <w:pPr>
        <w:ind w:left="340" w:right="60" w:hanging="332"/>
        <w:spacing w:after="0" w:line="375" w:lineRule="auto"/>
        <w:tabs>
          <w:tab w:leader="none" w:pos="308" w:val="left"/>
        </w:tabs>
        <w:numPr>
          <w:ilvl w:val="0"/>
          <w:numId w:val="4"/>
        </w:numPr>
        <w:rPr>
          <w:rFonts w:ascii="Arial" w:cs="Arial" w:eastAsia="Arial" w:hAnsi="Arial"/>
          <w:sz w:val="21"/>
          <w:szCs w:val="21"/>
          <w:color w:val="auto"/>
        </w:rPr>
      </w:pPr>
      <w:r>
        <w:rPr>
          <w:rFonts w:ascii="Arial" w:cs="Arial" w:eastAsia="Arial" w:hAnsi="Arial"/>
          <w:sz w:val="21"/>
          <w:szCs w:val="21"/>
          <w:b w:val="1"/>
          <w:bCs w:val="1"/>
          <w:color w:val="auto"/>
        </w:rPr>
        <w:t xml:space="preserve">Cash Position: </w:t>
      </w:r>
      <w:r>
        <w:rPr>
          <w:rFonts w:ascii="Arial" w:cs="Arial" w:eastAsia="Arial" w:hAnsi="Arial"/>
          <w:sz w:val="21"/>
          <w:szCs w:val="21"/>
          <w:color w:val="auto"/>
        </w:rPr>
        <w:t>As of September 30, 2022, the company had total cash, cash equivalents and investments of $90.6 million, as</w:t>
      </w:r>
      <w:r>
        <w:rPr>
          <w:rFonts w:ascii="Arial" w:cs="Arial" w:eastAsia="Arial" w:hAnsi="Arial"/>
          <w:sz w:val="21"/>
          <w:szCs w:val="21"/>
          <w:b w:val="1"/>
          <w:bCs w:val="1"/>
          <w:color w:val="auto"/>
        </w:rPr>
        <w:t xml:space="preserve"> </w:t>
      </w:r>
      <w:r>
        <w:rPr>
          <w:rFonts w:ascii="Arial" w:cs="Arial" w:eastAsia="Arial" w:hAnsi="Arial"/>
          <w:sz w:val="21"/>
          <w:szCs w:val="21"/>
          <w:color w:val="auto"/>
        </w:rPr>
        <w:t>compared to total cash, cash equivalents and investments of $116.7 million as of December 31, 2021.</w:t>
      </w:r>
    </w:p>
    <w:p>
      <w:pPr>
        <w:spacing w:after="0" w:line="1" w:lineRule="exact"/>
        <w:rPr>
          <w:rFonts w:ascii="Arial" w:cs="Arial" w:eastAsia="Arial" w:hAnsi="Arial"/>
          <w:sz w:val="21"/>
          <w:szCs w:val="21"/>
          <w:color w:val="auto"/>
        </w:rPr>
      </w:pPr>
    </w:p>
    <w:p>
      <w:pPr>
        <w:ind w:left="300" w:hanging="292"/>
        <w:spacing w:after="0"/>
        <w:tabs>
          <w:tab w:leader="none" w:pos="300" w:val="left"/>
        </w:tabs>
        <w:numPr>
          <w:ilvl w:val="0"/>
          <w:numId w:val="4"/>
        </w:numPr>
        <w:rPr>
          <w:rFonts w:ascii="Arial" w:cs="Arial" w:eastAsia="Arial" w:hAnsi="Arial"/>
          <w:sz w:val="21"/>
          <w:szCs w:val="21"/>
          <w:color w:val="auto"/>
        </w:rPr>
      </w:pPr>
      <w:r>
        <w:rPr>
          <w:rFonts w:ascii="Arial" w:cs="Arial" w:eastAsia="Arial" w:hAnsi="Arial"/>
          <w:sz w:val="21"/>
          <w:szCs w:val="21"/>
          <w:b w:val="1"/>
          <w:bCs w:val="1"/>
          <w:color w:val="auto"/>
        </w:rPr>
        <w:t xml:space="preserve">Product Sales: </w:t>
      </w:r>
      <w:r>
        <w:rPr>
          <w:rFonts w:ascii="Arial" w:cs="Arial" w:eastAsia="Arial" w:hAnsi="Arial"/>
          <w:sz w:val="21"/>
          <w:szCs w:val="21"/>
          <w:color w:val="auto"/>
        </w:rPr>
        <w:t>Net product sales for IBSRELA were $4.9 million during the quarter ended September 30, 2022.</w:t>
      </w:r>
    </w:p>
    <w:p>
      <w:pPr>
        <w:spacing w:after="0" w:line="123" w:lineRule="exact"/>
        <w:rPr>
          <w:rFonts w:ascii="Arial" w:cs="Arial" w:eastAsia="Arial" w:hAnsi="Arial"/>
          <w:sz w:val="21"/>
          <w:szCs w:val="21"/>
          <w:color w:val="auto"/>
        </w:rPr>
      </w:pPr>
    </w:p>
    <w:p>
      <w:pPr>
        <w:ind w:left="340" w:hanging="332"/>
        <w:spacing w:after="0" w:line="437" w:lineRule="auto"/>
        <w:tabs>
          <w:tab w:leader="none" w:pos="335" w:val="left"/>
        </w:tabs>
        <w:numPr>
          <w:ilvl w:val="0"/>
          <w:numId w:val="4"/>
        </w:numPr>
        <w:rPr>
          <w:rFonts w:ascii="Arial" w:cs="Arial" w:eastAsia="Arial" w:hAnsi="Arial"/>
          <w:sz w:val="19"/>
          <w:szCs w:val="19"/>
          <w:color w:val="auto"/>
        </w:rPr>
      </w:pPr>
      <w:r>
        <w:rPr>
          <w:rFonts w:ascii="Arial" w:cs="Arial" w:eastAsia="Arial" w:hAnsi="Arial"/>
          <w:sz w:val="19"/>
          <w:szCs w:val="19"/>
          <w:b w:val="1"/>
          <w:bCs w:val="1"/>
          <w:color w:val="auto"/>
        </w:rPr>
        <w:t xml:space="preserve">Collaboration Revenue: </w:t>
      </w:r>
      <w:r>
        <w:rPr>
          <w:rFonts w:ascii="Arial" w:cs="Arial" w:eastAsia="Arial" w:hAnsi="Arial"/>
          <w:sz w:val="19"/>
          <w:szCs w:val="19"/>
          <w:color w:val="auto"/>
        </w:rPr>
        <w:t>The company generated $0.1 million in collaboration revenue for the quarter ended September 30,</w:t>
      </w:r>
      <w:r>
        <w:rPr>
          <w:rFonts w:ascii="Arial" w:cs="Arial" w:eastAsia="Arial" w:hAnsi="Arial"/>
          <w:sz w:val="19"/>
          <w:szCs w:val="19"/>
          <w:b w:val="1"/>
          <w:bCs w:val="1"/>
          <w:color w:val="auto"/>
        </w:rPr>
        <w:t xml:space="preserve"> </w:t>
      </w:r>
      <w:r>
        <w:rPr>
          <w:rFonts w:ascii="Arial" w:cs="Arial" w:eastAsia="Arial" w:hAnsi="Arial"/>
          <w:sz w:val="19"/>
          <w:szCs w:val="19"/>
          <w:color w:val="auto"/>
        </w:rPr>
        <w:t>2022, as compared to $1.2 million for the quarter ended September 30, 2021. The decrease in collaboration revenue was primarily the result of the recognition of the previously received upfront payment from the 2019 research and collaboration agreement between the company and Kyowa Kirin that was fully earned and recognized as revenue as of December 31, 2021.</w:t>
      </w:r>
    </w:p>
    <w:p>
      <w:pPr>
        <w:sectPr>
          <w:pgSz w:w="11900" w:h="16838" w:orient="portrait"/>
          <w:cols w:equalWidth="0" w:num="1">
            <w:col w:w="11200"/>
          </w:cols>
          <w:pgMar w:left="320" w:top="955" w:right="379" w:bottom="1440" w:gutter="0" w:footer="0" w:header="0"/>
        </w:sectPr>
      </w:pPr>
    </w:p>
    <w:bookmarkStart w:id="5" w:name="page6"/>
    <w:bookmarkEnd w:id="5"/>
    <w:p>
      <w:pPr>
        <w:ind w:left="340" w:hanging="332"/>
        <w:spacing w:after="0" w:line="413" w:lineRule="auto"/>
        <w:tabs>
          <w:tab w:leader="none" w:pos="308" w:val="left"/>
        </w:tabs>
        <w:numPr>
          <w:ilvl w:val="0"/>
          <w:numId w:val="5"/>
        </w:numPr>
        <w:rPr>
          <w:rFonts w:ascii="Arial" w:cs="Arial" w:eastAsia="Arial" w:hAnsi="Arial"/>
          <w:sz w:val="19"/>
          <w:szCs w:val="19"/>
          <w:color w:val="auto"/>
        </w:rPr>
      </w:pPr>
      <w:r>
        <w:rPr>
          <w:rFonts w:ascii="Arial" w:cs="Arial" w:eastAsia="Arial" w:hAnsi="Arial"/>
          <w:sz w:val="19"/>
          <w:szCs w:val="19"/>
          <w:b w:val="1"/>
          <w:bCs w:val="1"/>
          <w:color w:val="auto"/>
        </w:rPr>
        <w:t>R&amp;D Expenses</w:t>
      </w:r>
      <w:r>
        <w:rPr>
          <w:rFonts w:ascii="Arial" w:cs="Arial" w:eastAsia="Arial" w:hAnsi="Arial"/>
          <w:sz w:val="19"/>
          <w:szCs w:val="19"/>
          <w:color w:val="auto"/>
        </w:rPr>
        <w:t>: Research and development expenses were $7.5 million for the quarter ended September 30, 2022, a decrease</w:t>
      </w:r>
      <w:r>
        <w:rPr>
          <w:rFonts w:ascii="Arial" w:cs="Arial" w:eastAsia="Arial" w:hAnsi="Arial"/>
          <w:sz w:val="19"/>
          <w:szCs w:val="19"/>
          <w:b w:val="1"/>
          <w:bCs w:val="1"/>
          <w:color w:val="auto"/>
        </w:rPr>
        <w:t xml:space="preserve"> </w:t>
      </w:r>
      <w:r>
        <w:rPr>
          <w:rFonts w:ascii="Arial" w:cs="Arial" w:eastAsia="Arial" w:hAnsi="Arial"/>
          <w:sz w:val="19"/>
          <w:szCs w:val="19"/>
          <w:color w:val="auto"/>
        </w:rPr>
        <w:t>of $16.2 million, or 68.5%, compared to $23.7 million for the quarter ended September 30, 2021. Research and development expenses included non-cash stock compensation expense of approximately $0.5 million and $0.7 million in the quarters ended September 30, 2022, and September 30, 2021, respectively. The decrease in R&amp;D expenses is primarily the result of lower clinical study costs as a result of the completion of the OPTIMIZE study, lower tenapanor manufacturing expenses due to the company’s capitalization of costs associated with the production of IBSRELA to inventory, and lower expenses for research following the significant reduction in the research function in the fourth quarter of 2021.</w:t>
      </w:r>
    </w:p>
    <w:p>
      <w:pPr>
        <w:ind w:left="340" w:hanging="332"/>
        <w:spacing w:after="0" w:line="373" w:lineRule="auto"/>
        <w:tabs>
          <w:tab w:leader="none" w:pos="308" w:val="left"/>
        </w:tabs>
        <w:numPr>
          <w:ilvl w:val="0"/>
          <w:numId w:val="5"/>
        </w:numPr>
        <w:rPr>
          <w:rFonts w:ascii="Arial" w:cs="Arial" w:eastAsia="Arial" w:hAnsi="Arial"/>
          <w:sz w:val="21"/>
          <w:szCs w:val="21"/>
          <w:color w:val="auto"/>
        </w:rPr>
      </w:pPr>
      <w:r>
        <w:rPr>
          <w:rFonts w:ascii="Arial" w:cs="Arial" w:eastAsia="Arial" w:hAnsi="Arial"/>
          <w:sz w:val="21"/>
          <w:szCs w:val="21"/>
          <w:b w:val="1"/>
          <w:bCs w:val="1"/>
          <w:color w:val="auto"/>
        </w:rPr>
        <w:t xml:space="preserve">SG&amp;A Expenses: </w:t>
      </w:r>
      <w:r>
        <w:rPr>
          <w:rFonts w:ascii="Arial" w:cs="Arial" w:eastAsia="Arial" w:hAnsi="Arial"/>
          <w:sz w:val="21"/>
          <w:szCs w:val="21"/>
          <w:color w:val="auto"/>
        </w:rPr>
        <w:t>Selling, general and administrative expenses were $18.7 million for the quarter ended September 30, 2022,</w:t>
      </w:r>
      <w:r>
        <w:rPr>
          <w:rFonts w:ascii="Arial" w:cs="Arial" w:eastAsia="Arial" w:hAnsi="Arial"/>
          <w:sz w:val="21"/>
          <w:szCs w:val="21"/>
          <w:b w:val="1"/>
          <w:bCs w:val="1"/>
          <w:color w:val="auto"/>
        </w:rPr>
        <w:t xml:space="preserve"> </w:t>
      </w:r>
      <w:r>
        <w:rPr>
          <w:rFonts w:ascii="Arial" w:cs="Arial" w:eastAsia="Arial" w:hAnsi="Arial"/>
          <w:sz w:val="21"/>
          <w:szCs w:val="21"/>
          <w:color w:val="auto"/>
        </w:rPr>
        <w:t>a decrease of $1.0 million, or 5.3%, compared to $19.7 million for the quarter ended September 30, 2021. Selling, general and administrative expenses included non-cash stock compensation expense of approximately $1.4 million and $1.5 million in the quarters ended September 30, 2022, and September 30, 2021, respectively. The decrease in selling, general and administrative expenses was primarily due to a reduction in ongoing and one-time costs as a result of the restructuring action carried out during the third quarter of 2021, offset by increased costs associated with the continuing commercial launch of IBSRELA during the third quarter of 2022.</w:t>
      </w:r>
    </w:p>
    <w:p>
      <w:pPr>
        <w:spacing w:after="0" w:line="5" w:lineRule="exact"/>
        <w:rPr>
          <w:rFonts w:ascii="Arial" w:cs="Arial" w:eastAsia="Arial" w:hAnsi="Arial"/>
          <w:sz w:val="21"/>
          <w:szCs w:val="21"/>
          <w:color w:val="auto"/>
        </w:rPr>
      </w:pPr>
    </w:p>
    <w:p>
      <w:pPr>
        <w:ind w:left="300" w:hanging="292"/>
        <w:spacing w:after="0"/>
        <w:tabs>
          <w:tab w:leader="none" w:pos="300" w:val="left"/>
        </w:tabs>
        <w:numPr>
          <w:ilvl w:val="0"/>
          <w:numId w:val="5"/>
        </w:numPr>
        <w:rPr>
          <w:rFonts w:ascii="Arial" w:cs="Arial" w:eastAsia="Arial" w:hAnsi="Arial"/>
          <w:sz w:val="21"/>
          <w:szCs w:val="21"/>
          <w:color w:val="auto"/>
        </w:rPr>
      </w:pPr>
      <w:r>
        <w:rPr>
          <w:rFonts w:ascii="Arial" w:cs="Arial" w:eastAsia="Arial" w:hAnsi="Arial"/>
          <w:sz w:val="21"/>
          <w:szCs w:val="21"/>
          <w:b w:val="1"/>
          <w:bCs w:val="1"/>
          <w:color w:val="auto"/>
        </w:rPr>
        <w:t xml:space="preserve">Net Loss: </w:t>
      </w:r>
      <w:r>
        <w:rPr>
          <w:rFonts w:ascii="Arial" w:cs="Arial" w:eastAsia="Arial" w:hAnsi="Arial"/>
          <w:sz w:val="21"/>
          <w:szCs w:val="21"/>
          <w:color w:val="auto"/>
        </w:rPr>
        <w:t>Net loss for the quarter ended September 30, 2022 was $22.9 million, or $(0.14) per share, compared to</w:t>
      </w:r>
    </w:p>
    <w:p>
      <w:pPr>
        <w:spacing w:after="0" w:line="143" w:lineRule="exact"/>
        <w:rPr>
          <w:sz w:val="20"/>
          <w:szCs w:val="20"/>
          <w:color w:val="auto"/>
        </w:rPr>
      </w:pPr>
    </w:p>
    <w:p>
      <w:pPr>
        <w:ind w:left="340"/>
        <w:spacing w:after="0"/>
        <w:rPr>
          <w:sz w:val="20"/>
          <w:szCs w:val="20"/>
          <w:color w:val="auto"/>
        </w:rPr>
      </w:pPr>
      <w:r>
        <w:rPr>
          <w:rFonts w:ascii="Arial" w:cs="Arial" w:eastAsia="Arial" w:hAnsi="Arial"/>
          <w:sz w:val="22"/>
          <w:szCs w:val="22"/>
          <w:color w:val="auto"/>
        </w:rPr>
        <w:t>$43.6 million, or $(0.42) per share, for the quarter ended September 30, 2021.</w:t>
      </w:r>
    </w:p>
    <w:p>
      <w:pPr>
        <w:spacing w:after="0" w:line="335"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Conference Call Details</w:t>
      </w:r>
    </w:p>
    <w:p>
      <w:pPr>
        <w:spacing w:after="0" w:line="347" w:lineRule="exact"/>
        <w:rPr>
          <w:sz w:val="20"/>
          <w:szCs w:val="20"/>
          <w:color w:val="auto"/>
        </w:rPr>
      </w:pPr>
    </w:p>
    <w:p>
      <w:pPr>
        <w:ind w:right="120"/>
        <w:spacing w:after="0" w:line="360" w:lineRule="auto"/>
        <w:rPr>
          <w:sz w:val="20"/>
          <w:szCs w:val="20"/>
          <w:color w:val="auto"/>
        </w:rPr>
      </w:pPr>
      <w:r>
        <w:rPr>
          <w:rFonts w:ascii="Arial" w:cs="Arial" w:eastAsia="Arial" w:hAnsi="Arial"/>
          <w:sz w:val="22"/>
          <w:szCs w:val="22"/>
          <w:color w:val="auto"/>
        </w:rPr>
        <w:t>The company will host a conference call today, November 3, 2022, at 4:30 p.m. ET to review its financial results and provide a business overview. To participate in the conference call, please dial (866) 374-5140 (domestic) or (404) 400-0571 (international) and enter the pin 79680409#. Live audio of the conference call will be simultaneously webcast and will be available under the Investors section of the company's website at www.ardelyx.com. The webcast will be archived and available for replay for 30 days following the call.</w:t>
      </w:r>
    </w:p>
    <w:p>
      <w:pPr>
        <w:sectPr>
          <w:pgSz w:w="11900" w:h="16838" w:orient="portrait"/>
          <w:cols w:equalWidth="0" w:num="1">
            <w:col w:w="11240"/>
          </w:cols>
          <w:pgMar w:left="320" w:top="1125" w:right="339" w:bottom="1440" w:gutter="0" w:footer="0" w:header="0"/>
        </w:sectPr>
      </w:pPr>
    </w:p>
    <w:bookmarkStart w:id="6" w:name="page7"/>
    <w:bookmarkEnd w:id="6"/>
    <w:p>
      <w:pPr>
        <w:spacing w:after="0"/>
        <w:rPr>
          <w:sz w:val="20"/>
          <w:szCs w:val="20"/>
          <w:color w:val="auto"/>
        </w:rPr>
      </w:pPr>
      <w:r>
        <w:rPr>
          <w:rFonts w:ascii="Arial" w:cs="Arial" w:eastAsia="Arial" w:hAnsi="Arial"/>
          <w:sz w:val="22"/>
          <w:szCs w:val="22"/>
          <w:b w:val="1"/>
          <w:bCs w:val="1"/>
          <w:color w:val="auto"/>
        </w:rPr>
        <w:t>IMPORTANT SAFETY INFORMATION</w:t>
      </w:r>
    </w:p>
    <w:p>
      <w:pPr>
        <w:spacing w:after="0" w:line="287" w:lineRule="exact"/>
        <w:rPr>
          <w:sz w:val="20"/>
          <w:szCs w:val="20"/>
          <w:color w:val="auto"/>
        </w:rPr>
      </w:pPr>
    </w:p>
    <w:p>
      <w:pPr>
        <w:ind w:left="40"/>
        <w:spacing w:after="0"/>
        <w:rPr>
          <w:sz w:val="20"/>
          <w:szCs w:val="20"/>
          <w:color w:val="auto"/>
        </w:rPr>
      </w:pPr>
      <w:r>
        <w:rPr>
          <w:rFonts w:ascii="Arial" w:cs="Arial" w:eastAsia="Arial" w:hAnsi="Arial"/>
          <w:sz w:val="22"/>
          <w:szCs w:val="22"/>
          <w:b w:val="1"/>
          <w:bCs w:val="1"/>
          <w:color w:val="auto"/>
        </w:rPr>
        <w:t>WARNING: RISK OF SERIOUS DEHYDRATION IN PEDIATRIC PATIENTS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-160020</wp:posOffset>
            </wp:positionV>
            <wp:extent cx="7140575" cy="151765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40575" cy="1517650"/>
                    </a:xfrm>
                    <a:prstGeom prst="rect">
                      <a:avLst/>
                    </a:prstGeom>
                    <a:noFill/>
                  </pic:spPr>
                </pic:pic>
              </a:graphicData>
            </a:graphic>
          </wp:anchor>
        </w:drawing>
      </w:r>
    </w:p>
    <w:p>
      <w:pPr>
        <w:spacing w:after="0" w:line="354" w:lineRule="exact"/>
        <w:rPr>
          <w:sz w:val="20"/>
          <w:szCs w:val="20"/>
          <w:color w:val="auto"/>
        </w:rPr>
      </w:pPr>
    </w:p>
    <w:p>
      <w:pPr>
        <w:ind w:left="40" w:right="720"/>
        <w:spacing w:after="0" w:line="365" w:lineRule="auto"/>
        <w:rPr>
          <w:sz w:val="20"/>
          <w:szCs w:val="20"/>
          <w:color w:val="auto"/>
        </w:rPr>
      </w:pPr>
      <w:r>
        <w:rPr>
          <w:rFonts w:ascii="Arial" w:cs="Arial" w:eastAsia="Arial" w:hAnsi="Arial"/>
          <w:sz w:val="22"/>
          <w:szCs w:val="22"/>
          <w:color w:val="auto"/>
        </w:rPr>
        <w:t>IBSRELA is contraindicated in patients less than 6 years of age; in nonclinical studies in young juvenile rats administration of tenapanor caused deaths presumed to be due to dehydration. Avoid use of IBSRELA in patients 6 years to less than 12 years of age. The safety and effectiveness of IBSRELA have not been established in patients less than 18 years of age.</w:t>
      </w: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CONTRAINDICATIONS</w:t>
      </w:r>
    </w:p>
    <w:p>
      <w:pPr>
        <w:spacing w:after="0" w:line="131" w:lineRule="exact"/>
        <w:rPr>
          <w:sz w:val="20"/>
          <w:szCs w:val="20"/>
          <w:color w:val="auto"/>
        </w:rPr>
      </w:pPr>
    </w:p>
    <w:p>
      <w:pPr>
        <w:ind w:left="320" w:hanging="312"/>
        <w:spacing w:after="0"/>
        <w:tabs>
          <w:tab w:leader="none" w:pos="320" w:val="left"/>
        </w:tabs>
        <w:numPr>
          <w:ilvl w:val="0"/>
          <w:numId w:val="6"/>
        </w:numPr>
        <w:rPr>
          <w:rFonts w:ascii="Arial" w:cs="Arial" w:eastAsia="Arial" w:hAnsi="Arial"/>
          <w:sz w:val="22"/>
          <w:szCs w:val="22"/>
          <w:color w:val="auto"/>
        </w:rPr>
      </w:pPr>
      <w:r>
        <w:rPr>
          <w:rFonts w:ascii="Arial" w:cs="Arial" w:eastAsia="Arial" w:hAnsi="Arial"/>
          <w:sz w:val="22"/>
          <w:szCs w:val="22"/>
          <w:color w:val="auto"/>
        </w:rPr>
        <w:t>IBSRELA is contraindicated in patients less than 6 years of age due to the risk of serious dehydration.</w:t>
      </w:r>
    </w:p>
    <w:p>
      <w:pPr>
        <w:spacing w:after="0" w:line="125" w:lineRule="exact"/>
        <w:rPr>
          <w:rFonts w:ascii="Arial" w:cs="Arial" w:eastAsia="Arial" w:hAnsi="Arial"/>
          <w:sz w:val="22"/>
          <w:szCs w:val="22"/>
          <w:color w:val="auto"/>
        </w:rPr>
      </w:pPr>
    </w:p>
    <w:p>
      <w:pPr>
        <w:ind w:left="320" w:hanging="312"/>
        <w:spacing w:after="0"/>
        <w:tabs>
          <w:tab w:leader="none" w:pos="320" w:val="left"/>
        </w:tabs>
        <w:numPr>
          <w:ilvl w:val="0"/>
          <w:numId w:val="6"/>
        </w:numPr>
        <w:rPr>
          <w:rFonts w:ascii="Arial" w:cs="Arial" w:eastAsia="Arial" w:hAnsi="Arial"/>
          <w:sz w:val="22"/>
          <w:szCs w:val="22"/>
          <w:color w:val="auto"/>
        </w:rPr>
      </w:pPr>
      <w:r>
        <w:rPr>
          <w:rFonts w:ascii="Arial" w:cs="Arial" w:eastAsia="Arial" w:hAnsi="Arial"/>
          <w:sz w:val="22"/>
          <w:szCs w:val="22"/>
          <w:color w:val="auto"/>
        </w:rPr>
        <w:t>IBSRELA is contraindicated in patients with known or suspected mechanical gastrointestinal obstruction.</w:t>
      </w:r>
    </w:p>
    <w:p>
      <w:pPr>
        <w:spacing w:after="0" w:line="119" w:lineRule="exact"/>
        <w:rPr>
          <w:rFonts w:ascii="Arial" w:cs="Arial" w:eastAsia="Arial" w:hAnsi="Arial"/>
          <w:sz w:val="22"/>
          <w:szCs w:val="22"/>
          <w:color w:val="auto"/>
        </w:rPr>
      </w:pPr>
    </w:p>
    <w:p>
      <w:pPr>
        <w:spacing w:after="0"/>
        <w:rPr>
          <w:rFonts w:ascii="Arial" w:cs="Arial" w:eastAsia="Arial" w:hAnsi="Arial"/>
          <w:sz w:val="22"/>
          <w:szCs w:val="22"/>
          <w:color w:val="auto"/>
        </w:rPr>
      </w:pPr>
      <w:r>
        <w:rPr>
          <w:rFonts w:ascii="Arial" w:cs="Arial" w:eastAsia="Arial" w:hAnsi="Arial"/>
          <w:sz w:val="22"/>
          <w:szCs w:val="22"/>
          <w:b w:val="1"/>
          <w:bCs w:val="1"/>
          <w:color w:val="auto"/>
        </w:rPr>
        <w:t>WARNINGS AND PRECAUTIONS</w:t>
      </w:r>
    </w:p>
    <w:p>
      <w:pPr>
        <w:spacing w:after="0" w:line="111" w:lineRule="exact"/>
        <w:rPr>
          <w:rFonts w:ascii="Arial" w:cs="Arial" w:eastAsia="Arial" w:hAnsi="Arial"/>
          <w:sz w:val="22"/>
          <w:szCs w:val="22"/>
          <w:color w:val="auto"/>
        </w:rPr>
      </w:pPr>
    </w:p>
    <w:p>
      <w:pPr>
        <w:spacing w:after="0"/>
        <w:rPr>
          <w:rFonts w:ascii="Arial" w:cs="Arial" w:eastAsia="Arial" w:hAnsi="Arial"/>
          <w:sz w:val="22"/>
          <w:szCs w:val="22"/>
          <w:color w:val="auto"/>
        </w:rPr>
      </w:pPr>
      <w:r>
        <w:rPr>
          <w:rFonts w:ascii="Arial" w:cs="Arial" w:eastAsia="Arial" w:hAnsi="Arial"/>
          <w:sz w:val="22"/>
          <w:szCs w:val="22"/>
          <w:b w:val="1"/>
          <w:bCs w:val="1"/>
          <w:color w:val="auto"/>
        </w:rPr>
        <w:t>Risk of Serious Dehydration in Pediatric Patients</w:t>
      </w:r>
    </w:p>
    <w:p>
      <w:pPr>
        <w:spacing w:after="0" w:line="131" w:lineRule="exact"/>
        <w:rPr>
          <w:rFonts w:ascii="Arial" w:cs="Arial" w:eastAsia="Arial" w:hAnsi="Arial"/>
          <w:sz w:val="22"/>
          <w:szCs w:val="22"/>
          <w:color w:val="auto"/>
        </w:rPr>
      </w:pPr>
    </w:p>
    <w:p>
      <w:pPr>
        <w:ind w:left="340" w:right="60" w:hanging="332"/>
        <w:spacing w:after="0" w:line="356" w:lineRule="auto"/>
        <w:tabs>
          <w:tab w:leader="none" w:pos="335" w:val="left"/>
        </w:tabs>
        <w:numPr>
          <w:ilvl w:val="0"/>
          <w:numId w:val="6"/>
        </w:numPr>
        <w:rPr>
          <w:rFonts w:ascii="Arial" w:cs="Arial" w:eastAsia="Arial" w:hAnsi="Arial"/>
          <w:sz w:val="22"/>
          <w:szCs w:val="22"/>
          <w:color w:val="auto"/>
        </w:rPr>
      </w:pPr>
      <w:r>
        <w:rPr>
          <w:rFonts w:ascii="Arial" w:cs="Arial" w:eastAsia="Arial" w:hAnsi="Arial"/>
          <w:sz w:val="22"/>
          <w:szCs w:val="22"/>
          <w:color w:val="auto"/>
        </w:rPr>
        <w:t>IBSRELA is contraindicated in patients below 6 years of age. The safety and effectiveness of IBSRELA in patients less than 18 years of age have not been established. In young juvenile rats (less than 1 week old; approximate human age equivalent of less than 2 years of age), decreased body weight and deaths occurred, presumed to be due to dehydration, following oral administration of tenapanor. There are no data available in older juvenile rats (human age equivalent 2 years to less than 12 years).</w:t>
      </w:r>
    </w:p>
    <w:p>
      <w:pPr>
        <w:ind w:left="340" w:right="200" w:hanging="332"/>
        <w:spacing w:after="0" w:line="356" w:lineRule="auto"/>
        <w:tabs>
          <w:tab w:leader="none" w:pos="335" w:val="left"/>
        </w:tabs>
        <w:numPr>
          <w:ilvl w:val="0"/>
          <w:numId w:val="6"/>
        </w:numPr>
        <w:rPr>
          <w:rFonts w:ascii="Arial" w:cs="Arial" w:eastAsia="Arial" w:hAnsi="Arial"/>
          <w:sz w:val="22"/>
          <w:szCs w:val="22"/>
          <w:color w:val="auto"/>
        </w:rPr>
      </w:pPr>
      <w:r>
        <w:rPr>
          <w:rFonts w:ascii="Arial" w:cs="Arial" w:eastAsia="Arial" w:hAnsi="Arial"/>
          <w:sz w:val="22"/>
          <w:szCs w:val="22"/>
          <w:color w:val="auto"/>
        </w:rPr>
        <w:t>Avoid the use of IBSRELA in patients 6 years to less than 12 years of age. Although there are no data in older juvenile rats, given the deaths in younger rats and the lack of clinical safety and efficacy data in pediatric patients, avoid the use of IBSRELA in patients 6 years to less than 12 years of age.</w:t>
      </w:r>
    </w:p>
    <w:p>
      <w:pPr>
        <w:spacing w:after="0" w:line="2"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Diarrhea</w:t>
      </w:r>
    </w:p>
    <w:p>
      <w:pPr>
        <w:spacing w:after="0" w:line="131" w:lineRule="exact"/>
        <w:rPr>
          <w:sz w:val="20"/>
          <w:szCs w:val="20"/>
          <w:color w:val="auto"/>
        </w:rPr>
      </w:pPr>
    </w:p>
    <w:p>
      <w:pPr>
        <w:jc w:val="both"/>
        <w:ind w:right="360"/>
        <w:spacing w:after="0" w:line="404" w:lineRule="auto"/>
        <w:rPr>
          <w:sz w:val="20"/>
          <w:szCs w:val="20"/>
          <w:color w:val="auto"/>
        </w:rPr>
      </w:pPr>
      <w:r>
        <w:rPr>
          <w:rFonts w:ascii="Arial" w:cs="Arial" w:eastAsia="Arial" w:hAnsi="Arial"/>
          <w:sz w:val="19"/>
          <w:szCs w:val="19"/>
          <w:color w:val="auto"/>
        </w:rPr>
        <w:t>Diarrhea was the most common adverse reaction in two randomized, double-blind, placebo-controlled trials of IBS-C. Severe diarrhea was reported in 2.5% of IBSRELA-treated patients. If severe diarrhea occurs, suspend dosing and rehydrate patient.</w:t>
      </w:r>
    </w:p>
    <w:p>
      <w:pPr>
        <w:spacing w:after="0" w:line="1"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MOST COMMON ADVERSE REACTIONS</w:t>
      </w:r>
    </w:p>
    <w:p>
      <w:pPr>
        <w:spacing w:after="0" w:line="131" w:lineRule="exact"/>
        <w:rPr>
          <w:sz w:val="20"/>
          <w:szCs w:val="20"/>
          <w:color w:val="auto"/>
        </w:rPr>
      </w:pPr>
    </w:p>
    <w:p>
      <w:pPr>
        <w:spacing w:after="0" w:line="372" w:lineRule="auto"/>
        <w:rPr>
          <w:sz w:val="20"/>
          <w:szCs w:val="20"/>
          <w:color w:val="auto"/>
        </w:rPr>
      </w:pPr>
      <w:r>
        <w:rPr>
          <w:rFonts w:ascii="Arial" w:cs="Arial" w:eastAsia="Arial" w:hAnsi="Arial"/>
          <w:sz w:val="21"/>
          <w:szCs w:val="21"/>
          <w:color w:val="auto"/>
        </w:rPr>
        <w:t>The most common adverse reactions in IBSRELA-treated patients (incidence ≥2% and greater than placebo) were: diarrhea (16% vs 4% placebo), abdominal distension (3% vs &lt;1%), flatulence (3% vs 1%) and dizziness (2% vs &lt;1%).</w:t>
      </w:r>
    </w:p>
    <w:p>
      <w:pPr>
        <w:spacing w:after="0" w:line="1"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INDICATION</w:t>
      </w:r>
    </w:p>
    <w:p>
      <w:pPr>
        <w:spacing w:after="0" w:line="131" w:lineRule="exact"/>
        <w:rPr>
          <w:sz w:val="20"/>
          <w:szCs w:val="20"/>
          <w:color w:val="auto"/>
        </w:rPr>
      </w:pPr>
    </w:p>
    <w:p>
      <w:pPr>
        <w:spacing w:after="0"/>
        <w:rPr>
          <w:sz w:val="20"/>
          <w:szCs w:val="20"/>
          <w:color w:val="auto"/>
        </w:rPr>
      </w:pPr>
      <w:r>
        <w:rPr>
          <w:rFonts w:ascii="Arial" w:cs="Arial" w:eastAsia="Arial" w:hAnsi="Arial"/>
          <w:sz w:val="22"/>
          <w:szCs w:val="22"/>
          <w:color w:val="auto"/>
        </w:rPr>
        <w:t>IBSRELA (tenapanor) is indicated for the treatment of Irritable Bowel Syndrome with Constipation (IBS-C) in adults.</w:t>
      </w:r>
    </w:p>
    <w:p>
      <w:pPr>
        <w:sectPr>
          <w:pgSz w:w="11900" w:h="16838" w:orient="portrait"/>
          <w:cols w:equalWidth="0" w:num="1">
            <w:col w:w="11220"/>
          </w:cols>
          <w:pgMar w:left="320" w:top="882" w:right="359" w:bottom="1440" w:gutter="0" w:footer="0" w:header="0"/>
        </w:sectPr>
      </w:pPr>
    </w:p>
    <w:bookmarkStart w:id="7" w:name="page8"/>
    <w:bookmarkEnd w:id="7"/>
    <w:p>
      <w:pPr>
        <w:spacing w:after="0"/>
        <w:rPr>
          <w:sz w:val="20"/>
          <w:szCs w:val="20"/>
          <w:color w:val="auto"/>
        </w:rPr>
      </w:pPr>
      <w:r>
        <w:rPr>
          <w:rFonts w:ascii="Arial" w:cs="Arial" w:eastAsia="Arial" w:hAnsi="Arial"/>
          <w:sz w:val="22"/>
          <w:szCs w:val="22"/>
          <w:b w:val="1"/>
          <w:bCs w:val="1"/>
          <w:color w:val="auto"/>
        </w:rPr>
        <w:t>Please see full Prescribing Information, including Boxed Warning, for additional risk information.</w:t>
      </w:r>
    </w:p>
    <w:p>
      <w:pPr>
        <w:spacing w:after="0" w:line="341"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About Ardelyx, Inc.</w:t>
      </w:r>
    </w:p>
    <w:p>
      <w:pPr>
        <w:spacing w:after="0" w:line="347" w:lineRule="exact"/>
        <w:rPr>
          <w:sz w:val="20"/>
          <w:szCs w:val="20"/>
          <w:color w:val="auto"/>
        </w:rPr>
      </w:pPr>
    </w:p>
    <w:p>
      <w:pPr>
        <w:spacing w:after="0" w:line="399" w:lineRule="auto"/>
        <w:rPr>
          <w:sz w:val="20"/>
          <w:szCs w:val="20"/>
          <w:color w:val="auto"/>
        </w:rPr>
      </w:pPr>
      <w:r>
        <w:rPr>
          <w:rFonts w:ascii="Arial" w:cs="Arial" w:eastAsia="Arial" w:hAnsi="Arial"/>
          <w:sz w:val="20"/>
          <w:szCs w:val="20"/>
          <w:color w:val="auto"/>
        </w:rPr>
        <w:t>Ardelyx was founded with a mission to discover, develop and commercialize innovative first-in-class medicines that meet significant unmet medical needs. Ardelyx’s first approved product, IBSRELA</w:t>
      </w:r>
      <w:r>
        <w:rPr>
          <w:rFonts w:ascii="Arial" w:cs="Arial" w:eastAsia="Arial" w:hAnsi="Arial"/>
          <w:sz w:val="11"/>
          <w:szCs w:val="11"/>
          <w:color w:val="auto"/>
        </w:rPr>
        <w:t>®</w:t>
      </w:r>
      <w:r>
        <w:rPr>
          <w:rFonts w:ascii="Arial" w:cs="Arial" w:eastAsia="Arial" w:hAnsi="Arial"/>
          <w:sz w:val="20"/>
          <w:szCs w:val="20"/>
          <w:color w:val="auto"/>
        </w:rPr>
        <w:t xml:space="preserve"> (tenapanor) is available in the United States and Canada. Ardelyx is developing XPHOZAH</w:t>
      </w:r>
      <w:r>
        <w:rPr>
          <w:rFonts w:ascii="Arial" w:cs="Arial" w:eastAsia="Arial" w:hAnsi="Arial"/>
          <w:sz w:val="11"/>
          <w:szCs w:val="11"/>
          <w:color w:val="auto"/>
        </w:rPr>
        <w:t>®</w:t>
      </w:r>
      <w:r>
        <w:rPr>
          <w:rFonts w:ascii="Arial" w:cs="Arial" w:eastAsia="Arial" w:hAnsi="Arial"/>
          <w:sz w:val="20"/>
          <w:szCs w:val="20"/>
          <w:color w:val="auto"/>
        </w:rPr>
        <w:t xml:space="preserve"> (tenapanor), a novel product candidate to control serum phosphorus in adult patients with CKD on dialysis, which has completed three successful Phase 3 trials. Ardelyx has a Phase 2 potassium lowering compound, RDX013, for the potential treatment of elevated serum potassium, or hyperkalemia, a problem among certain patients with kidney and/or heart disease and an early-stage program in metabolic acidosis, a serious electrolyte disorder in patients with CKD. Ardelyx has established agreements with Kyowa Kirin in Japan, Fosun Pharma in China and Knight Therapeutics in Canada for the development and commercialization of tenapanor in their respective territories.</w:t>
      </w:r>
    </w:p>
    <w:p>
      <w:pPr>
        <w:spacing w:after="0" w:line="162"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Forward Looking Statements</w:t>
      </w:r>
    </w:p>
    <w:p>
      <w:pPr>
        <w:spacing w:after="0" w:line="347" w:lineRule="exact"/>
        <w:rPr>
          <w:sz w:val="20"/>
          <w:szCs w:val="20"/>
          <w:color w:val="auto"/>
        </w:rPr>
      </w:pPr>
    </w:p>
    <w:p>
      <w:pPr>
        <w:spacing w:after="0" w:line="417" w:lineRule="auto"/>
        <w:rPr>
          <w:sz w:val="20"/>
          <w:szCs w:val="20"/>
          <w:color w:val="auto"/>
        </w:rPr>
      </w:pPr>
      <w:r>
        <w:rPr>
          <w:rFonts w:ascii="Arial" w:cs="Arial" w:eastAsia="Arial" w:hAnsi="Arial"/>
          <w:sz w:val="19"/>
          <w:szCs w:val="19"/>
          <w:color w:val="auto"/>
        </w:rPr>
        <w:t>To the extent that statements contained in this press release are not descriptions of historical facts regarding Ardelyx, they are forward-looking statements reflecting the current beliefs and expectations of management made pursuant to the safe harbor of the Private Securities Reform Act of 1995, including the potential commercial and other opportunities for the company, and Ardelyx’s current expectation of the date of the Advisory Committee meeting to be convened to provide input regarding the clinical meaningfulness of the phosphate lowering effect observed in the Phase 3 clinical program for XPHOZAH. Such forward-looking statements involve substantial risks and uncertainties that could cause Ardelyx's future results, performance or achievements to differ significantly from those expressed or implied by the forward-looking statements. Such risks and uncertainties include, among others, uncertainties associated with the commercialization of drugs, and uncertainties regarding the FDA regulatory process. Ardelyx undertakes no obligation to update or revise any forward-looking statements. For a further description of the risks and uncertainties that could cause actual results to differ from those expressed in these forward-looking statements, as well as risks relating to Ardelyx's business in general, please refer to Ardelyx's Quarterly Report on Form 10-Q filed with the Securities and Exchange Commission on November 3, 2022, and its future current and periodic reports to be filed with the Securities and Exchange Commission.</w:t>
      </w:r>
    </w:p>
    <w:p>
      <w:pPr>
        <w:sectPr>
          <w:pgSz w:w="11900" w:h="16838" w:orient="portrait"/>
          <w:cols w:equalWidth="0" w:num="1">
            <w:col w:w="11200"/>
          </w:cols>
          <w:pgMar w:left="320" w:top="1368" w:right="379" w:bottom="1440" w:gutter="0" w:footer="0" w:header="0"/>
        </w:sectPr>
      </w:pPr>
    </w:p>
    <w:bookmarkStart w:id="8" w:name="page9"/>
    <w:bookmarkEnd w:id="8"/>
    <w:p>
      <w:pPr>
        <w:spacing w:after="0"/>
        <w:rPr>
          <w:sz w:val="20"/>
          <w:szCs w:val="20"/>
          <w:color w:val="auto"/>
        </w:rPr>
      </w:pPr>
      <w:r>
        <w:rPr>
          <w:rFonts w:ascii="Arial" w:cs="Arial" w:eastAsia="Arial" w:hAnsi="Arial"/>
          <w:sz w:val="21"/>
          <w:szCs w:val="21"/>
          <w:b w:val="1"/>
          <w:bCs w:val="1"/>
          <w:color w:val="auto"/>
        </w:rPr>
        <w:t>Investor and Media Contacts:</w:t>
      </w:r>
    </w:p>
    <w:p>
      <w:pPr>
        <w:spacing w:after="0" w:line="39" w:lineRule="exact"/>
        <w:rPr>
          <w:sz w:val="20"/>
          <w:szCs w:val="20"/>
          <w:color w:val="auto"/>
        </w:rPr>
      </w:pPr>
    </w:p>
    <w:p>
      <w:pPr>
        <w:spacing w:after="0"/>
        <w:rPr>
          <w:sz w:val="20"/>
          <w:szCs w:val="20"/>
          <w:color w:val="auto"/>
        </w:rPr>
      </w:pPr>
      <w:r>
        <w:rPr>
          <w:rFonts w:ascii="Arial" w:cs="Arial" w:eastAsia="Arial" w:hAnsi="Arial"/>
          <w:sz w:val="22"/>
          <w:szCs w:val="22"/>
          <w:color w:val="auto"/>
        </w:rPr>
        <w:t>Kimia Keshtbod</w:t>
      </w:r>
    </w:p>
    <w:p>
      <w:pPr>
        <w:spacing w:after="0" w:line="4" w:lineRule="exact"/>
        <w:rPr>
          <w:sz w:val="20"/>
          <w:szCs w:val="20"/>
          <w:color w:val="auto"/>
        </w:rPr>
      </w:pPr>
    </w:p>
    <w:p>
      <w:pPr>
        <w:spacing w:after="0"/>
        <w:rPr>
          <w:sz w:val="20"/>
          <w:szCs w:val="20"/>
          <w:color w:val="auto"/>
        </w:rPr>
      </w:pPr>
      <w:r>
        <w:rPr>
          <w:rFonts w:ascii="Arial" w:cs="Arial" w:eastAsia="Arial" w:hAnsi="Arial"/>
          <w:sz w:val="22"/>
          <w:szCs w:val="22"/>
          <w:color w:val="auto"/>
        </w:rPr>
        <w:t>kkeshtbod@ardelyx.com</w:t>
      </w:r>
    </w:p>
    <w:p>
      <w:pPr>
        <w:spacing w:after="0" w:line="242" w:lineRule="exact"/>
        <w:rPr>
          <w:sz w:val="20"/>
          <w:szCs w:val="20"/>
          <w:color w:val="auto"/>
        </w:rPr>
      </w:pPr>
    </w:p>
    <w:p>
      <w:pPr>
        <w:spacing w:after="0"/>
        <w:rPr>
          <w:sz w:val="20"/>
          <w:szCs w:val="20"/>
          <w:color w:val="auto"/>
        </w:rPr>
      </w:pPr>
      <w:r>
        <w:rPr>
          <w:rFonts w:ascii="Arial" w:cs="Arial" w:eastAsia="Arial" w:hAnsi="Arial"/>
          <w:sz w:val="22"/>
          <w:szCs w:val="22"/>
          <w:color w:val="auto"/>
        </w:rPr>
        <w:t>Sylvia Wheeler</w:t>
      </w:r>
    </w:p>
    <w:p>
      <w:pPr>
        <w:spacing w:after="0" w:line="21" w:lineRule="exact"/>
        <w:rPr>
          <w:sz w:val="20"/>
          <w:szCs w:val="20"/>
          <w:color w:val="auto"/>
        </w:rPr>
      </w:pPr>
    </w:p>
    <w:p>
      <w:pPr>
        <w:spacing w:after="0"/>
        <w:rPr>
          <w:sz w:val="20"/>
          <w:szCs w:val="20"/>
          <w:color w:val="auto"/>
        </w:rPr>
      </w:pPr>
      <w:r>
        <w:rPr>
          <w:rFonts w:ascii="Arial" w:cs="Arial" w:eastAsia="Arial" w:hAnsi="Arial"/>
          <w:sz w:val="19"/>
          <w:szCs w:val="19"/>
          <w:color w:val="auto"/>
        </w:rPr>
        <w:t>Wheelhouse Life Science Advisors</w:t>
      </w:r>
    </w:p>
    <w:p>
      <w:pPr>
        <w:spacing w:after="0" w:line="38" w:lineRule="exact"/>
        <w:rPr>
          <w:sz w:val="20"/>
          <w:szCs w:val="20"/>
          <w:color w:val="auto"/>
        </w:rPr>
      </w:pPr>
    </w:p>
    <w:p>
      <w:pPr>
        <w:spacing w:after="0"/>
        <w:rPr>
          <w:sz w:val="20"/>
          <w:szCs w:val="20"/>
          <w:color w:val="auto"/>
        </w:rPr>
      </w:pPr>
      <w:r>
        <w:rPr>
          <w:rFonts w:ascii="Arial" w:cs="Arial" w:eastAsia="Arial" w:hAnsi="Arial"/>
          <w:sz w:val="22"/>
          <w:szCs w:val="22"/>
          <w:color w:val="auto"/>
        </w:rPr>
        <w:t>swheeler@wheelhouselsa.com</w:t>
      </w:r>
    </w:p>
    <w:p>
      <w:pPr>
        <w:spacing w:after="0" w:line="229" w:lineRule="exact"/>
        <w:rPr>
          <w:sz w:val="20"/>
          <w:szCs w:val="20"/>
          <w:color w:val="auto"/>
        </w:rPr>
      </w:pPr>
    </w:p>
    <w:p>
      <w:pPr>
        <w:spacing w:after="0"/>
        <w:rPr>
          <w:sz w:val="20"/>
          <w:szCs w:val="20"/>
          <w:color w:val="auto"/>
        </w:rPr>
      </w:pPr>
      <w:r>
        <w:rPr>
          <w:rFonts w:ascii="Arial" w:cs="Arial" w:eastAsia="Arial" w:hAnsi="Arial"/>
          <w:sz w:val="22"/>
          <w:szCs w:val="22"/>
          <w:color w:val="auto"/>
        </w:rPr>
        <w:t>Alex Santos</w:t>
      </w:r>
    </w:p>
    <w:p>
      <w:pPr>
        <w:spacing w:after="0" w:line="21" w:lineRule="exact"/>
        <w:rPr>
          <w:sz w:val="20"/>
          <w:szCs w:val="20"/>
          <w:color w:val="auto"/>
        </w:rPr>
      </w:pPr>
    </w:p>
    <w:p>
      <w:pPr>
        <w:spacing w:after="0"/>
        <w:rPr>
          <w:sz w:val="20"/>
          <w:szCs w:val="20"/>
          <w:color w:val="auto"/>
        </w:rPr>
      </w:pPr>
      <w:r>
        <w:rPr>
          <w:rFonts w:ascii="Arial" w:cs="Arial" w:eastAsia="Arial" w:hAnsi="Arial"/>
          <w:sz w:val="19"/>
          <w:szCs w:val="19"/>
          <w:color w:val="auto"/>
        </w:rPr>
        <w:t>Wheelhouse Life Science Advisors</w:t>
      </w:r>
    </w:p>
    <w:p>
      <w:pPr>
        <w:spacing w:after="0" w:line="38" w:lineRule="exact"/>
        <w:rPr>
          <w:sz w:val="20"/>
          <w:szCs w:val="20"/>
          <w:color w:val="auto"/>
        </w:rPr>
      </w:pPr>
    </w:p>
    <w:p>
      <w:pPr>
        <w:spacing w:after="0"/>
        <w:rPr>
          <w:sz w:val="20"/>
          <w:szCs w:val="20"/>
          <w:color w:val="auto"/>
        </w:rPr>
      </w:pPr>
      <w:r>
        <w:rPr>
          <w:rFonts w:ascii="Arial" w:cs="Arial" w:eastAsia="Arial" w:hAnsi="Arial"/>
          <w:sz w:val="22"/>
          <w:szCs w:val="22"/>
          <w:color w:val="auto"/>
        </w:rPr>
        <w:t>asantos@wheelhouselsa.com</w:t>
      </w:r>
    </w:p>
    <w:p>
      <w:pPr>
        <w:sectPr>
          <w:pgSz w:w="11900" w:h="16838" w:orient="portrait"/>
          <w:cols w:equalWidth="0" w:num="1">
            <w:col w:w="10139"/>
          </w:cols>
          <w:pgMar w:left="320" w:top="895" w:right="1440" w:bottom="1440" w:gutter="0" w:footer="0" w:header="0"/>
        </w:sectPr>
      </w:pPr>
    </w:p>
    <w:bookmarkStart w:id="9" w:name="page10"/>
    <w:bookmarkEnd w:id="9"/>
    <w:p>
      <w:pPr>
        <w:jc w:val="center"/>
        <w:ind w:right="-17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6268720</wp:posOffset>
            </wp:positionH>
            <wp:positionV relativeFrom="page">
              <wp:posOffset>200025</wp:posOffset>
            </wp:positionV>
            <wp:extent cx="1071245" cy="3346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clrChange>
                        <a:clrFrom>
                          <a:srgbClr val="FFFFFF"/>
                        </a:clrFrom>
                        <a:clrTo>
                          <a:srgbClr val="FFFFFF">
                            <a:alpha val="0"/>
                          </a:srgbClr>
                        </a:clrTo>
                      </a:clrChange>
                      <a:extLst>
                        <a:ext uri="{28A0092B-C50C-407E-A947-70E740481C1C}"/>
                      </a:extLst>
                    </a:blip>
                    <a:srcRect/>
                    <a:stretch>
                      <a:fillRect/>
                    </a:stretch>
                  </pic:blipFill>
                  <pic:spPr bwMode="auto">
                    <a:xfrm>
                      <a:off x="0" y="0"/>
                      <a:ext cx="1071245" cy="334645"/>
                    </a:xfrm>
                    <a:prstGeom prst="rect">
                      <a:avLst/>
                    </a:prstGeom>
                    <a:noFill/>
                  </pic:spPr>
                </pic:pic>
              </a:graphicData>
            </a:graphic>
          </wp:anchor>
        </w:drawing>
        <w:t>Ardelyx, Inc.</w:t>
      </w:r>
    </w:p>
    <w:p>
      <w:pPr>
        <w:spacing w:after="0" w:line="27"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Condensed Balance Sheets</w:t>
      </w:r>
    </w:p>
    <w:p>
      <w:pPr>
        <w:spacing w:after="0" w:line="9"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(In thousands)</w:t>
      </w: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73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700" w:type="dxa"/>
            <w:vAlign w:val="bottom"/>
            <w:gridSpan w:val="2"/>
          </w:tcPr>
          <w:p>
            <w:pPr>
              <w:ind w:left="100"/>
              <w:spacing w:after="0"/>
              <w:rPr>
                <w:sz w:val="20"/>
                <w:szCs w:val="20"/>
                <w:color w:val="auto"/>
              </w:rPr>
            </w:pPr>
            <w:r>
              <w:rPr>
                <w:rFonts w:ascii="Arial" w:cs="Arial" w:eastAsia="Arial" w:hAnsi="Arial"/>
                <w:sz w:val="14"/>
                <w:szCs w:val="14"/>
                <w:b w:val="1"/>
                <w:bCs w:val="1"/>
                <w:color w:val="auto"/>
              </w:rPr>
              <w:t>September 30, 2022</w:t>
            </w:r>
          </w:p>
        </w:tc>
        <w:tc>
          <w:tcPr>
            <w:tcW w:w="200" w:type="dxa"/>
            <w:vAlign w:val="bottom"/>
          </w:tcPr>
          <w:p>
            <w:pPr>
              <w:spacing w:after="0"/>
              <w:rPr>
                <w:sz w:val="16"/>
                <w:szCs w:val="16"/>
                <w:color w:val="auto"/>
              </w:rPr>
            </w:pPr>
          </w:p>
        </w:tc>
        <w:tc>
          <w:tcPr>
            <w:tcW w:w="1600" w:type="dxa"/>
            <w:vAlign w:val="bottom"/>
          </w:tcPr>
          <w:p>
            <w:pPr>
              <w:jc w:val="right"/>
              <w:ind w:right="232"/>
              <w:spacing w:after="0"/>
              <w:rPr>
                <w:sz w:val="20"/>
                <w:szCs w:val="20"/>
                <w:color w:val="auto"/>
              </w:rPr>
            </w:pPr>
            <w:r>
              <w:rPr>
                <w:rFonts w:ascii="Arial" w:cs="Arial" w:eastAsia="Arial" w:hAnsi="Arial"/>
                <w:sz w:val="14"/>
                <w:szCs w:val="14"/>
                <w:b w:val="1"/>
                <w:bCs w:val="1"/>
                <w:color w:val="auto"/>
                <w:w w:val="99"/>
              </w:rPr>
              <w:t>December 31, 2021</w:t>
            </w:r>
          </w:p>
        </w:tc>
      </w:tr>
      <w:tr>
        <w:trPr>
          <w:trHeight w:val="26"/>
        </w:trPr>
        <w:tc>
          <w:tcPr>
            <w:tcW w:w="73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700" w:type="dxa"/>
            <w:vAlign w:val="bottom"/>
            <w:gridSpan w:val="2"/>
          </w:tcPr>
          <w:p>
            <w:pPr>
              <w:spacing w:after="0"/>
              <w:rPr>
                <w:sz w:val="2"/>
                <w:szCs w:val="2"/>
                <w:color w:val="auto"/>
              </w:rPr>
            </w:pPr>
          </w:p>
        </w:tc>
        <w:tc>
          <w:tcPr>
            <w:tcW w:w="200" w:type="dxa"/>
            <w:vAlign w:val="bottom"/>
          </w:tcPr>
          <w:p>
            <w:pPr>
              <w:spacing w:after="0"/>
              <w:rPr>
                <w:sz w:val="2"/>
                <w:szCs w:val="2"/>
                <w:color w:val="auto"/>
              </w:rPr>
            </w:pPr>
          </w:p>
        </w:tc>
        <w:tc>
          <w:tcPr>
            <w:tcW w:w="1600" w:type="dxa"/>
            <w:vAlign w:val="bottom"/>
          </w:tcPr>
          <w:p>
            <w:pPr>
              <w:spacing w:after="0"/>
              <w:rPr>
                <w:sz w:val="2"/>
                <w:szCs w:val="2"/>
                <w:color w:val="auto"/>
              </w:rPr>
            </w:pPr>
          </w:p>
        </w:tc>
      </w:tr>
      <w:tr>
        <w:trPr>
          <w:trHeight w:val="188"/>
        </w:trPr>
        <w:tc>
          <w:tcPr>
            <w:tcW w:w="7360" w:type="dxa"/>
            <w:vAlign w:val="bottom"/>
          </w:tcPr>
          <w:p>
            <w:pPr>
              <w:spacing w:after="0"/>
              <w:rPr>
                <w:sz w:val="16"/>
                <w:szCs w:val="16"/>
                <w:color w:val="auto"/>
              </w:rPr>
            </w:pPr>
          </w:p>
        </w:tc>
        <w:tc>
          <w:tcPr>
            <w:tcW w:w="200" w:type="dxa"/>
            <w:vAlign w:val="bottom"/>
            <w:tcBorders>
              <w:top w:val="single" w:sz="8" w:color="auto"/>
            </w:tcBorders>
          </w:tcPr>
          <w:p>
            <w:pPr>
              <w:spacing w:after="0"/>
              <w:rPr>
                <w:sz w:val="16"/>
                <w:szCs w:val="16"/>
                <w:color w:val="auto"/>
              </w:rPr>
            </w:pPr>
          </w:p>
        </w:tc>
        <w:tc>
          <w:tcPr>
            <w:tcW w:w="1600" w:type="dxa"/>
            <w:vAlign w:val="bottom"/>
            <w:tcBorders>
              <w:top w:val="single" w:sz="8" w:color="auto"/>
            </w:tcBorders>
          </w:tcPr>
          <w:p>
            <w:pPr>
              <w:jc w:val="right"/>
              <w:ind w:right="432"/>
              <w:spacing w:after="0"/>
              <w:rPr>
                <w:sz w:val="20"/>
                <w:szCs w:val="20"/>
                <w:color w:val="auto"/>
              </w:rPr>
            </w:pPr>
            <w:r>
              <w:rPr>
                <w:rFonts w:ascii="Arial" w:cs="Arial" w:eastAsia="Arial" w:hAnsi="Arial"/>
                <w:sz w:val="14"/>
                <w:szCs w:val="14"/>
                <w:b w:val="1"/>
                <w:bCs w:val="1"/>
                <w:color w:val="auto"/>
              </w:rPr>
              <w:t>(Unaudited)</w:t>
            </w:r>
          </w:p>
        </w:tc>
        <w:tc>
          <w:tcPr>
            <w:tcW w:w="100" w:type="dxa"/>
            <w:vAlign w:val="bottom"/>
          </w:tcPr>
          <w:p>
            <w:pPr>
              <w:spacing w:after="0"/>
              <w:rPr>
                <w:sz w:val="16"/>
                <w:szCs w:val="16"/>
                <w:color w:val="auto"/>
              </w:rPr>
            </w:pPr>
          </w:p>
        </w:tc>
        <w:tc>
          <w:tcPr>
            <w:tcW w:w="200" w:type="dxa"/>
            <w:vAlign w:val="bottom"/>
            <w:tcBorders>
              <w:top w:val="single" w:sz="8" w:color="auto"/>
            </w:tcBorders>
          </w:tcPr>
          <w:p>
            <w:pPr>
              <w:spacing w:after="0"/>
              <w:rPr>
                <w:sz w:val="16"/>
                <w:szCs w:val="16"/>
                <w:color w:val="auto"/>
              </w:rPr>
            </w:pPr>
          </w:p>
        </w:tc>
        <w:tc>
          <w:tcPr>
            <w:tcW w:w="1600" w:type="dxa"/>
            <w:vAlign w:val="bottom"/>
            <w:tcBorders>
              <w:top w:val="single" w:sz="8" w:color="auto"/>
            </w:tcBorders>
          </w:tcPr>
          <w:p>
            <w:pPr>
              <w:jc w:val="right"/>
              <w:ind w:right="732"/>
              <w:spacing w:after="0"/>
              <w:rPr>
                <w:sz w:val="20"/>
                <w:szCs w:val="20"/>
                <w:color w:val="auto"/>
              </w:rPr>
            </w:pPr>
            <w:r>
              <w:rPr>
                <w:rFonts w:ascii="Arial" w:cs="Arial" w:eastAsia="Arial" w:hAnsi="Arial"/>
                <w:sz w:val="14"/>
                <w:szCs w:val="14"/>
                <w:b w:val="1"/>
                <w:bCs w:val="1"/>
                <w:color w:val="auto"/>
              </w:rPr>
              <w:t>(1)</w:t>
            </w:r>
          </w:p>
        </w:tc>
      </w:tr>
      <w:tr>
        <w:trPr>
          <w:trHeight w:val="238"/>
        </w:trPr>
        <w:tc>
          <w:tcPr>
            <w:tcW w:w="736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Assets</w:t>
            </w:r>
          </w:p>
        </w:tc>
        <w:tc>
          <w:tcPr>
            <w:tcW w:w="200" w:type="dxa"/>
            <w:vAlign w:val="bottom"/>
            <w:shd w:val="clear" w:color="auto" w:fill="CCEEFF"/>
          </w:tcPr>
          <w:p>
            <w:pPr>
              <w:spacing w:after="0"/>
              <w:rPr>
                <w:sz w:val="20"/>
                <w:szCs w:val="20"/>
                <w:color w:val="auto"/>
              </w:rPr>
            </w:pPr>
          </w:p>
        </w:tc>
        <w:tc>
          <w:tcPr>
            <w:tcW w:w="16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600" w:type="dxa"/>
            <w:vAlign w:val="bottom"/>
            <w:shd w:val="clear" w:color="auto" w:fill="CCEEFF"/>
          </w:tcPr>
          <w:p>
            <w:pPr>
              <w:spacing w:after="0"/>
              <w:rPr>
                <w:sz w:val="20"/>
                <w:szCs w:val="20"/>
                <w:color w:val="auto"/>
              </w:rPr>
            </w:pPr>
          </w:p>
        </w:tc>
      </w:tr>
      <w:tr>
        <w:trPr>
          <w:trHeight w:val="230"/>
        </w:trPr>
        <w:tc>
          <w:tcPr>
            <w:tcW w:w="7360" w:type="dxa"/>
            <w:vAlign w:val="bottom"/>
          </w:tcPr>
          <w:p>
            <w:pPr>
              <w:ind w:left="160"/>
              <w:spacing w:after="0"/>
              <w:rPr>
                <w:sz w:val="20"/>
                <w:szCs w:val="20"/>
                <w:color w:val="auto"/>
              </w:rPr>
            </w:pPr>
            <w:r>
              <w:rPr>
                <w:rFonts w:ascii="Arial" w:cs="Arial" w:eastAsia="Arial" w:hAnsi="Arial"/>
                <w:sz w:val="18"/>
                <w:szCs w:val="18"/>
                <w:color w:val="auto"/>
              </w:rPr>
              <w:t>Cash and cash equivalents</w:t>
            </w: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600" w:type="dxa"/>
            <w:vAlign w:val="bottom"/>
          </w:tcPr>
          <w:p>
            <w:pPr>
              <w:jc w:val="right"/>
              <w:spacing w:after="0"/>
              <w:rPr>
                <w:sz w:val="20"/>
                <w:szCs w:val="20"/>
                <w:color w:val="auto"/>
              </w:rPr>
            </w:pPr>
            <w:r>
              <w:rPr>
                <w:rFonts w:ascii="Arial" w:cs="Arial" w:eastAsia="Arial" w:hAnsi="Arial"/>
                <w:sz w:val="18"/>
                <w:szCs w:val="18"/>
                <w:color w:val="auto"/>
              </w:rPr>
              <w:t>61,628</w:t>
            </w:r>
          </w:p>
        </w:tc>
        <w:tc>
          <w:tcPr>
            <w:tcW w:w="100" w:type="dxa"/>
            <w:vAlign w:val="bottom"/>
          </w:tcPr>
          <w:p>
            <w:pPr>
              <w:spacing w:after="0"/>
              <w:rPr>
                <w:sz w:val="19"/>
                <w:szCs w:val="19"/>
                <w:color w:val="auto"/>
              </w:rPr>
            </w:pP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1600" w:type="dxa"/>
            <w:vAlign w:val="bottom"/>
          </w:tcPr>
          <w:p>
            <w:pPr>
              <w:jc w:val="right"/>
              <w:spacing w:after="0"/>
              <w:rPr>
                <w:sz w:val="20"/>
                <w:szCs w:val="20"/>
                <w:color w:val="auto"/>
              </w:rPr>
            </w:pPr>
            <w:r>
              <w:rPr>
                <w:rFonts w:ascii="Arial" w:cs="Arial" w:eastAsia="Arial" w:hAnsi="Arial"/>
                <w:sz w:val="18"/>
                <w:szCs w:val="18"/>
                <w:color w:val="auto"/>
              </w:rPr>
              <w:t>72,428</w:t>
            </w:r>
          </w:p>
        </w:tc>
      </w:tr>
      <w:tr>
        <w:trPr>
          <w:trHeight w:val="229"/>
        </w:trPr>
        <w:tc>
          <w:tcPr>
            <w:tcW w:w="7360" w:type="dxa"/>
            <w:vAlign w:val="bottom"/>
            <w:shd w:val="clear" w:color="auto" w:fill="CCEEFF"/>
          </w:tcPr>
          <w:p>
            <w:pPr>
              <w:ind w:left="160"/>
              <w:spacing w:after="0"/>
              <w:rPr>
                <w:sz w:val="20"/>
                <w:szCs w:val="20"/>
                <w:color w:val="auto"/>
              </w:rPr>
            </w:pPr>
            <w:r>
              <w:rPr>
                <w:rFonts w:ascii="Arial" w:cs="Arial" w:eastAsia="Arial" w:hAnsi="Arial"/>
                <w:sz w:val="18"/>
                <w:szCs w:val="18"/>
                <w:color w:val="auto"/>
              </w:rPr>
              <w:t>Investments</w:t>
            </w:r>
          </w:p>
        </w:tc>
        <w:tc>
          <w:tcPr>
            <w:tcW w:w="200" w:type="dxa"/>
            <w:vAlign w:val="bottom"/>
            <w:shd w:val="clear" w:color="auto" w:fill="CCEEFF"/>
          </w:tcPr>
          <w:p>
            <w:pPr>
              <w:spacing w:after="0"/>
              <w:rPr>
                <w:sz w:val="19"/>
                <w:szCs w:val="19"/>
                <w:color w:val="auto"/>
              </w:rPr>
            </w:pPr>
          </w:p>
        </w:tc>
        <w:tc>
          <w:tcPr>
            <w:tcW w:w="1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28,995</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44,261</w:t>
            </w:r>
          </w:p>
        </w:tc>
      </w:tr>
      <w:tr>
        <w:trPr>
          <w:trHeight w:val="229"/>
        </w:trPr>
        <w:tc>
          <w:tcPr>
            <w:tcW w:w="7360" w:type="dxa"/>
            <w:vAlign w:val="bottom"/>
          </w:tcPr>
          <w:p>
            <w:pPr>
              <w:ind w:left="160"/>
              <w:spacing w:after="0"/>
              <w:rPr>
                <w:sz w:val="20"/>
                <w:szCs w:val="20"/>
                <w:color w:val="auto"/>
              </w:rPr>
            </w:pPr>
            <w:r>
              <w:rPr>
                <w:rFonts w:ascii="Arial" w:cs="Arial" w:eastAsia="Arial" w:hAnsi="Arial"/>
                <w:sz w:val="18"/>
                <w:szCs w:val="18"/>
                <w:color w:val="auto"/>
              </w:rPr>
              <w:t>Accounts receivable</w:t>
            </w:r>
          </w:p>
        </w:tc>
        <w:tc>
          <w:tcPr>
            <w:tcW w:w="200" w:type="dxa"/>
            <w:vAlign w:val="bottom"/>
          </w:tcPr>
          <w:p>
            <w:pPr>
              <w:spacing w:after="0"/>
              <w:rPr>
                <w:sz w:val="19"/>
                <w:szCs w:val="19"/>
                <w:color w:val="auto"/>
              </w:rPr>
            </w:pPr>
          </w:p>
        </w:tc>
        <w:tc>
          <w:tcPr>
            <w:tcW w:w="1600" w:type="dxa"/>
            <w:vAlign w:val="bottom"/>
          </w:tcPr>
          <w:p>
            <w:pPr>
              <w:jc w:val="right"/>
              <w:spacing w:after="0"/>
              <w:rPr>
                <w:sz w:val="20"/>
                <w:szCs w:val="20"/>
                <w:color w:val="auto"/>
              </w:rPr>
            </w:pPr>
            <w:r>
              <w:rPr>
                <w:rFonts w:ascii="Arial" w:cs="Arial" w:eastAsia="Arial" w:hAnsi="Arial"/>
                <w:sz w:val="18"/>
                <w:szCs w:val="18"/>
                <w:color w:val="auto"/>
              </w:rPr>
              <w:t>5,208</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600" w:type="dxa"/>
            <w:vAlign w:val="bottom"/>
          </w:tcPr>
          <w:p>
            <w:pPr>
              <w:jc w:val="right"/>
              <w:spacing w:after="0"/>
              <w:rPr>
                <w:sz w:val="20"/>
                <w:szCs w:val="20"/>
                <w:color w:val="auto"/>
              </w:rPr>
            </w:pPr>
            <w:r>
              <w:rPr>
                <w:rFonts w:ascii="Arial" w:cs="Arial" w:eastAsia="Arial" w:hAnsi="Arial"/>
                <w:sz w:val="18"/>
                <w:szCs w:val="18"/>
                <w:color w:val="auto"/>
              </w:rPr>
              <w:t>502</w:t>
            </w:r>
          </w:p>
        </w:tc>
      </w:tr>
      <w:tr>
        <w:trPr>
          <w:trHeight w:val="230"/>
        </w:trPr>
        <w:tc>
          <w:tcPr>
            <w:tcW w:w="7360" w:type="dxa"/>
            <w:vAlign w:val="bottom"/>
            <w:shd w:val="clear" w:color="auto" w:fill="CCEEFF"/>
          </w:tcPr>
          <w:p>
            <w:pPr>
              <w:ind w:left="160"/>
              <w:spacing w:after="0"/>
              <w:rPr>
                <w:sz w:val="20"/>
                <w:szCs w:val="20"/>
                <w:color w:val="auto"/>
              </w:rPr>
            </w:pPr>
            <w:r>
              <w:rPr>
                <w:rFonts w:ascii="Arial" w:cs="Arial" w:eastAsia="Arial" w:hAnsi="Arial"/>
                <w:sz w:val="18"/>
                <w:szCs w:val="18"/>
                <w:color w:val="auto"/>
              </w:rPr>
              <w:t>Inventory, current portion</w:t>
            </w:r>
          </w:p>
        </w:tc>
        <w:tc>
          <w:tcPr>
            <w:tcW w:w="200" w:type="dxa"/>
            <w:vAlign w:val="bottom"/>
            <w:shd w:val="clear" w:color="auto" w:fill="CCEEFF"/>
          </w:tcPr>
          <w:p>
            <w:pPr>
              <w:spacing w:after="0"/>
              <w:rPr>
                <w:sz w:val="19"/>
                <w:szCs w:val="19"/>
                <w:color w:val="auto"/>
              </w:rPr>
            </w:pPr>
          </w:p>
        </w:tc>
        <w:tc>
          <w:tcPr>
            <w:tcW w:w="1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1,250</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29"/>
        </w:trPr>
        <w:tc>
          <w:tcPr>
            <w:tcW w:w="7360" w:type="dxa"/>
            <w:vAlign w:val="bottom"/>
          </w:tcPr>
          <w:p>
            <w:pPr>
              <w:ind w:left="160"/>
              <w:spacing w:after="0"/>
              <w:rPr>
                <w:sz w:val="20"/>
                <w:szCs w:val="20"/>
                <w:color w:val="auto"/>
              </w:rPr>
            </w:pPr>
            <w:r>
              <w:rPr>
                <w:rFonts w:ascii="Arial" w:cs="Arial" w:eastAsia="Arial" w:hAnsi="Arial"/>
                <w:sz w:val="18"/>
                <w:szCs w:val="18"/>
                <w:color w:val="auto"/>
              </w:rPr>
              <w:t>Property and equipment, net</w:t>
            </w:r>
          </w:p>
        </w:tc>
        <w:tc>
          <w:tcPr>
            <w:tcW w:w="200" w:type="dxa"/>
            <w:vAlign w:val="bottom"/>
          </w:tcPr>
          <w:p>
            <w:pPr>
              <w:spacing w:after="0"/>
              <w:rPr>
                <w:sz w:val="19"/>
                <w:szCs w:val="19"/>
                <w:color w:val="auto"/>
              </w:rPr>
            </w:pPr>
          </w:p>
        </w:tc>
        <w:tc>
          <w:tcPr>
            <w:tcW w:w="1600" w:type="dxa"/>
            <w:vAlign w:val="bottom"/>
          </w:tcPr>
          <w:p>
            <w:pPr>
              <w:jc w:val="right"/>
              <w:spacing w:after="0"/>
              <w:rPr>
                <w:sz w:val="20"/>
                <w:szCs w:val="20"/>
                <w:color w:val="auto"/>
              </w:rPr>
            </w:pPr>
            <w:r>
              <w:rPr>
                <w:rFonts w:ascii="Arial" w:cs="Arial" w:eastAsia="Arial" w:hAnsi="Arial"/>
                <w:sz w:val="18"/>
                <w:szCs w:val="18"/>
                <w:color w:val="auto"/>
              </w:rPr>
              <w:t>1,294</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600" w:type="dxa"/>
            <w:vAlign w:val="bottom"/>
          </w:tcPr>
          <w:p>
            <w:pPr>
              <w:jc w:val="right"/>
              <w:spacing w:after="0"/>
              <w:rPr>
                <w:sz w:val="20"/>
                <w:szCs w:val="20"/>
                <w:color w:val="auto"/>
              </w:rPr>
            </w:pPr>
            <w:r>
              <w:rPr>
                <w:rFonts w:ascii="Arial" w:cs="Arial" w:eastAsia="Arial" w:hAnsi="Arial"/>
                <w:sz w:val="18"/>
                <w:szCs w:val="18"/>
                <w:color w:val="auto"/>
              </w:rPr>
              <w:t>2,362</w:t>
            </w:r>
          </w:p>
        </w:tc>
      </w:tr>
      <w:tr>
        <w:trPr>
          <w:trHeight w:val="229"/>
        </w:trPr>
        <w:tc>
          <w:tcPr>
            <w:tcW w:w="7360" w:type="dxa"/>
            <w:vAlign w:val="bottom"/>
            <w:shd w:val="clear" w:color="auto" w:fill="CCEEFF"/>
          </w:tcPr>
          <w:p>
            <w:pPr>
              <w:ind w:left="160"/>
              <w:spacing w:after="0"/>
              <w:rPr>
                <w:sz w:val="20"/>
                <w:szCs w:val="20"/>
                <w:color w:val="auto"/>
              </w:rPr>
            </w:pPr>
            <w:r>
              <w:rPr>
                <w:rFonts w:ascii="Arial" w:cs="Arial" w:eastAsia="Arial" w:hAnsi="Arial"/>
                <w:sz w:val="18"/>
                <w:szCs w:val="18"/>
                <w:color w:val="auto"/>
              </w:rPr>
              <w:t>Right-of-use assets</w:t>
            </w:r>
          </w:p>
        </w:tc>
        <w:tc>
          <w:tcPr>
            <w:tcW w:w="200" w:type="dxa"/>
            <w:vAlign w:val="bottom"/>
            <w:shd w:val="clear" w:color="auto" w:fill="CCEEFF"/>
          </w:tcPr>
          <w:p>
            <w:pPr>
              <w:spacing w:after="0"/>
              <w:rPr>
                <w:sz w:val="19"/>
                <w:szCs w:val="19"/>
                <w:color w:val="auto"/>
              </w:rPr>
            </w:pPr>
          </w:p>
        </w:tc>
        <w:tc>
          <w:tcPr>
            <w:tcW w:w="1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10,182</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12,752</w:t>
            </w:r>
          </w:p>
        </w:tc>
      </w:tr>
      <w:tr>
        <w:trPr>
          <w:trHeight w:val="230"/>
        </w:trPr>
        <w:tc>
          <w:tcPr>
            <w:tcW w:w="7360" w:type="dxa"/>
            <w:vAlign w:val="bottom"/>
          </w:tcPr>
          <w:p>
            <w:pPr>
              <w:ind w:left="160"/>
              <w:spacing w:after="0"/>
              <w:rPr>
                <w:sz w:val="20"/>
                <w:szCs w:val="20"/>
                <w:color w:val="auto"/>
              </w:rPr>
            </w:pPr>
            <w:r>
              <w:rPr>
                <w:rFonts w:ascii="Arial" w:cs="Arial" w:eastAsia="Arial" w:hAnsi="Arial"/>
                <w:sz w:val="18"/>
                <w:szCs w:val="18"/>
                <w:color w:val="auto"/>
              </w:rPr>
              <w:t>Prepaid commercial manufacturing</w:t>
            </w:r>
          </w:p>
        </w:tc>
        <w:tc>
          <w:tcPr>
            <w:tcW w:w="200" w:type="dxa"/>
            <w:vAlign w:val="bottom"/>
          </w:tcPr>
          <w:p>
            <w:pPr>
              <w:spacing w:after="0"/>
              <w:rPr>
                <w:sz w:val="19"/>
                <w:szCs w:val="19"/>
                <w:color w:val="auto"/>
              </w:rPr>
            </w:pPr>
          </w:p>
        </w:tc>
        <w:tc>
          <w:tcPr>
            <w:tcW w:w="1600" w:type="dxa"/>
            <w:vAlign w:val="bottom"/>
          </w:tcPr>
          <w:p>
            <w:pPr>
              <w:jc w:val="right"/>
              <w:spacing w:after="0"/>
              <w:rPr>
                <w:sz w:val="20"/>
                <w:szCs w:val="20"/>
                <w:color w:val="auto"/>
              </w:rPr>
            </w:pPr>
            <w:r>
              <w:rPr>
                <w:rFonts w:ascii="Arial" w:cs="Arial" w:eastAsia="Arial" w:hAnsi="Arial"/>
                <w:sz w:val="18"/>
                <w:szCs w:val="18"/>
                <w:color w:val="auto"/>
              </w:rPr>
              <w:t>16,145</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600" w:type="dxa"/>
            <w:vAlign w:val="bottom"/>
          </w:tcPr>
          <w:p>
            <w:pPr>
              <w:jc w:val="right"/>
              <w:spacing w:after="0"/>
              <w:rPr>
                <w:sz w:val="20"/>
                <w:szCs w:val="20"/>
                <w:color w:val="auto"/>
              </w:rPr>
            </w:pPr>
            <w:r>
              <w:rPr>
                <w:rFonts w:ascii="Arial" w:cs="Arial" w:eastAsia="Arial" w:hAnsi="Arial"/>
                <w:sz w:val="18"/>
                <w:szCs w:val="18"/>
                <w:color w:val="auto"/>
              </w:rPr>
              <w:t>9,406</w:t>
            </w:r>
          </w:p>
        </w:tc>
      </w:tr>
      <w:tr>
        <w:trPr>
          <w:trHeight w:val="229"/>
        </w:trPr>
        <w:tc>
          <w:tcPr>
            <w:tcW w:w="7360" w:type="dxa"/>
            <w:vAlign w:val="bottom"/>
            <w:shd w:val="clear" w:color="auto" w:fill="CCEEFF"/>
          </w:tcPr>
          <w:p>
            <w:pPr>
              <w:ind w:left="160"/>
              <w:spacing w:after="0"/>
              <w:rPr>
                <w:sz w:val="20"/>
                <w:szCs w:val="20"/>
                <w:color w:val="auto"/>
              </w:rPr>
            </w:pPr>
            <w:r>
              <w:rPr>
                <w:rFonts w:ascii="Arial" w:cs="Arial" w:eastAsia="Arial" w:hAnsi="Arial"/>
                <w:sz w:val="18"/>
                <w:szCs w:val="18"/>
                <w:color w:val="auto"/>
              </w:rPr>
              <w:t>Prepaid and other assets</w:t>
            </w:r>
          </w:p>
        </w:tc>
        <w:tc>
          <w:tcPr>
            <w:tcW w:w="200" w:type="dxa"/>
            <w:vAlign w:val="bottom"/>
            <w:tcBorders>
              <w:bottom w:val="single" w:sz="8" w:color="auto"/>
            </w:tcBorders>
            <w:shd w:val="clear" w:color="auto" w:fill="CCEEFF"/>
          </w:tcPr>
          <w:p>
            <w:pPr>
              <w:spacing w:after="0"/>
              <w:rPr>
                <w:sz w:val="19"/>
                <w:szCs w:val="19"/>
                <w:color w:val="auto"/>
              </w:rPr>
            </w:pPr>
          </w:p>
        </w:tc>
        <w:tc>
          <w:tcPr>
            <w:tcW w:w="1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19,970</w:t>
            </w:r>
          </w:p>
        </w:tc>
        <w:tc>
          <w:tcPr>
            <w:tcW w:w="10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8,202</w:t>
            </w:r>
          </w:p>
        </w:tc>
      </w:tr>
      <w:tr>
        <w:trPr>
          <w:trHeight w:val="223"/>
        </w:trPr>
        <w:tc>
          <w:tcPr>
            <w:tcW w:w="7360" w:type="dxa"/>
            <w:vAlign w:val="bottom"/>
          </w:tcPr>
          <w:p>
            <w:pPr>
              <w:ind w:left="260"/>
              <w:spacing w:after="0"/>
              <w:rPr>
                <w:sz w:val="20"/>
                <w:szCs w:val="20"/>
                <w:color w:val="auto"/>
              </w:rPr>
            </w:pPr>
            <w:r>
              <w:rPr>
                <w:rFonts w:ascii="Arial" w:cs="Arial" w:eastAsia="Arial" w:hAnsi="Arial"/>
                <w:sz w:val="18"/>
                <w:szCs w:val="18"/>
                <w:color w:val="auto"/>
              </w:rPr>
              <w:t>Total assets</w:t>
            </w: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144,672</w:t>
            </w:r>
          </w:p>
        </w:tc>
        <w:tc>
          <w:tcPr>
            <w:tcW w:w="100" w:type="dxa"/>
            <w:vAlign w:val="bottom"/>
          </w:tcPr>
          <w:p>
            <w:pPr>
              <w:spacing w:after="0"/>
              <w:rPr>
                <w:sz w:val="19"/>
                <w:szCs w:val="19"/>
                <w:color w:val="auto"/>
              </w:rPr>
            </w:pPr>
          </w:p>
        </w:tc>
        <w:tc>
          <w:tcPr>
            <w:tcW w:w="2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w w:val="79"/>
              </w:rPr>
              <w:t>$</w:t>
            </w:r>
          </w:p>
        </w:tc>
        <w:tc>
          <w:tcPr>
            <w:tcW w:w="1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149,913</w:t>
            </w:r>
          </w:p>
        </w:tc>
      </w:tr>
      <w:tr>
        <w:trPr>
          <w:trHeight w:val="20"/>
        </w:trPr>
        <w:tc>
          <w:tcPr>
            <w:tcW w:w="736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r>
      <w:tr>
        <w:trPr>
          <w:trHeight w:val="223"/>
        </w:trPr>
        <w:tc>
          <w:tcPr>
            <w:tcW w:w="736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6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600" w:type="dxa"/>
            <w:vAlign w:val="bottom"/>
            <w:shd w:val="clear" w:color="auto" w:fill="CCEEFF"/>
          </w:tcPr>
          <w:p>
            <w:pPr>
              <w:spacing w:after="0"/>
              <w:rPr>
                <w:sz w:val="19"/>
                <w:szCs w:val="19"/>
                <w:color w:val="auto"/>
              </w:rPr>
            </w:pPr>
          </w:p>
        </w:tc>
      </w:tr>
      <w:tr>
        <w:trPr>
          <w:trHeight w:val="229"/>
        </w:trPr>
        <w:tc>
          <w:tcPr>
            <w:tcW w:w="7360" w:type="dxa"/>
            <w:vAlign w:val="bottom"/>
          </w:tcPr>
          <w:p>
            <w:pPr>
              <w:ind w:left="20"/>
              <w:spacing w:after="0"/>
              <w:rPr>
                <w:sz w:val="20"/>
                <w:szCs w:val="20"/>
                <w:color w:val="auto"/>
              </w:rPr>
            </w:pPr>
            <w:r>
              <w:rPr>
                <w:rFonts w:ascii="Arial" w:cs="Arial" w:eastAsia="Arial" w:hAnsi="Arial"/>
                <w:sz w:val="18"/>
                <w:szCs w:val="18"/>
                <w:b w:val="1"/>
                <w:bCs w:val="1"/>
                <w:color w:val="auto"/>
              </w:rPr>
              <w:t>Liabilities and stockholders' equity</w:t>
            </w:r>
          </w:p>
        </w:tc>
        <w:tc>
          <w:tcPr>
            <w:tcW w:w="200" w:type="dxa"/>
            <w:vAlign w:val="bottom"/>
          </w:tcPr>
          <w:p>
            <w:pPr>
              <w:spacing w:after="0"/>
              <w:rPr>
                <w:sz w:val="19"/>
                <w:szCs w:val="19"/>
                <w:color w:val="auto"/>
              </w:rPr>
            </w:pPr>
          </w:p>
        </w:tc>
        <w:tc>
          <w:tcPr>
            <w:tcW w:w="16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600" w:type="dxa"/>
            <w:vAlign w:val="bottom"/>
          </w:tcPr>
          <w:p>
            <w:pPr>
              <w:spacing w:after="0"/>
              <w:rPr>
                <w:sz w:val="19"/>
                <w:szCs w:val="19"/>
                <w:color w:val="auto"/>
              </w:rPr>
            </w:pPr>
          </w:p>
        </w:tc>
      </w:tr>
      <w:tr>
        <w:trPr>
          <w:trHeight w:val="230"/>
        </w:trPr>
        <w:tc>
          <w:tcPr>
            <w:tcW w:w="7360" w:type="dxa"/>
            <w:vAlign w:val="bottom"/>
            <w:shd w:val="clear" w:color="auto" w:fill="CCEEFF"/>
          </w:tcPr>
          <w:p>
            <w:pPr>
              <w:ind w:left="140"/>
              <w:spacing w:after="0"/>
              <w:rPr>
                <w:sz w:val="20"/>
                <w:szCs w:val="20"/>
                <w:color w:val="auto"/>
              </w:rPr>
            </w:pPr>
            <w:r>
              <w:rPr>
                <w:rFonts w:ascii="Arial" w:cs="Arial" w:eastAsia="Arial" w:hAnsi="Arial"/>
                <w:sz w:val="18"/>
                <w:szCs w:val="18"/>
                <w:color w:val="auto"/>
              </w:rPr>
              <w:t>Accounts payable</w:t>
            </w: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3,113</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4,277</w:t>
            </w:r>
          </w:p>
        </w:tc>
      </w:tr>
      <w:tr>
        <w:trPr>
          <w:trHeight w:val="229"/>
        </w:trPr>
        <w:tc>
          <w:tcPr>
            <w:tcW w:w="7360" w:type="dxa"/>
            <w:vAlign w:val="bottom"/>
          </w:tcPr>
          <w:p>
            <w:pPr>
              <w:ind w:left="160"/>
              <w:spacing w:after="0"/>
              <w:rPr>
                <w:sz w:val="20"/>
                <w:szCs w:val="20"/>
                <w:color w:val="auto"/>
              </w:rPr>
            </w:pPr>
            <w:r>
              <w:rPr>
                <w:rFonts w:ascii="Arial" w:cs="Arial" w:eastAsia="Arial" w:hAnsi="Arial"/>
                <w:sz w:val="18"/>
                <w:szCs w:val="18"/>
                <w:color w:val="auto"/>
              </w:rPr>
              <w:t>Accrued compensation and benefits</w:t>
            </w:r>
          </w:p>
        </w:tc>
        <w:tc>
          <w:tcPr>
            <w:tcW w:w="200" w:type="dxa"/>
            <w:vAlign w:val="bottom"/>
          </w:tcPr>
          <w:p>
            <w:pPr>
              <w:spacing w:after="0"/>
              <w:rPr>
                <w:sz w:val="19"/>
                <w:szCs w:val="19"/>
                <w:color w:val="auto"/>
              </w:rPr>
            </w:pPr>
          </w:p>
        </w:tc>
        <w:tc>
          <w:tcPr>
            <w:tcW w:w="1600" w:type="dxa"/>
            <w:vAlign w:val="bottom"/>
          </w:tcPr>
          <w:p>
            <w:pPr>
              <w:jc w:val="right"/>
              <w:spacing w:after="0"/>
              <w:rPr>
                <w:sz w:val="20"/>
                <w:szCs w:val="20"/>
                <w:color w:val="auto"/>
              </w:rPr>
            </w:pPr>
            <w:r>
              <w:rPr>
                <w:rFonts w:ascii="Arial" w:cs="Arial" w:eastAsia="Arial" w:hAnsi="Arial"/>
                <w:sz w:val="18"/>
                <w:szCs w:val="18"/>
                <w:color w:val="auto"/>
              </w:rPr>
              <w:t>7,165</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600" w:type="dxa"/>
            <w:vAlign w:val="bottom"/>
          </w:tcPr>
          <w:p>
            <w:pPr>
              <w:jc w:val="right"/>
              <w:spacing w:after="0"/>
              <w:rPr>
                <w:sz w:val="20"/>
                <w:szCs w:val="20"/>
                <w:color w:val="auto"/>
              </w:rPr>
            </w:pPr>
            <w:r>
              <w:rPr>
                <w:rFonts w:ascii="Arial" w:cs="Arial" w:eastAsia="Arial" w:hAnsi="Arial"/>
                <w:sz w:val="18"/>
                <w:szCs w:val="18"/>
                <w:color w:val="auto"/>
              </w:rPr>
              <w:t>5,422</w:t>
            </w:r>
          </w:p>
        </w:tc>
      </w:tr>
      <w:tr>
        <w:trPr>
          <w:trHeight w:val="229"/>
        </w:trPr>
        <w:tc>
          <w:tcPr>
            <w:tcW w:w="7360" w:type="dxa"/>
            <w:vAlign w:val="bottom"/>
            <w:shd w:val="clear" w:color="auto" w:fill="CCEEFF"/>
          </w:tcPr>
          <w:p>
            <w:pPr>
              <w:ind w:left="160"/>
              <w:spacing w:after="0"/>
              <w:rPr>
                <w:sz w:val="20"/>
                <w:szCs w:val="20"/>
                <w:color w:val="auto"/>
              </w:rPr>
            </w:pPr>
            <w:r>
              <w:rPr>
                <w:rFonts w:ascii="Arial" w:cs="Arial" w:eastAsia="Arial" w:hAnsi="Arial"/>
                <w:sz w:val="18"/>
                <w:szCs w:val="18"/>
                <w:color w:val="auto"/>
              </w:rPr>
              <w:t>Current portion of operating lease liability</w:t>
            </w:r>
          </w:p>
        </w:tc>
        <w:tc>
          <w:tcPr>
            <w:tcW w:w="200" w:type="dxa"/>
            <w:vAlign w:val="bottom"/>
            <w:shd w:val="clear" w:color="auto" w:fill="CCEEFF"/>
          </w:tcPr>
          <w:p>
            <w:pPr>
              <w:spacing w:after="0"/>
              <w:rPr>
                <w:sz w:val="19"/>
                <w:szCs w:val="19"/>
                <w:color w:val="auto"/>
              </w:rPr>
            </w:pPr>
          </w:p>
        </w:tc>
        <w:tc>
          <w:tcPr>
            <w:tcW w:w="1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3,791</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3,492</w:t>
            </w:r>
          </w:p>
        </w:tc>
      </w:tr>
      <w:tr>
        <w:trPr>
          <w:trHeight w:val="230"/>
        </w:trPr>
        <w:tc>
          <w:tcPr>
            <w:tcW w:w="7360" w:type="dxa"/>
            <w:vAlign w:val="bottom"/>
          </w:tcPr>
          <w:p>
            <w:pPr>
              <w:ind w:left="160"/>
              <w:spacing w:after="0"/>
              <w:rPr>
                <w:sz w:val="20"/>
                <w:szCs w:val="20"/>
                <w:color w:val="auto"/>
              </w:rPr>
            </w:pPr>
            <w:r>
              <w:rPr>
                <w:rFonts w:ascii="Arial" w:cs="Arial" w:eastAsia="Arial" w:hAnsi="Arial"/>
                <w:sz w:val="18"/>
                <w:szCs w:val="18"/>
                <w:color w:val="auto"/>
              </w:rPr>
              <w:t>Current portion of long-term debt</w:t>
            </w:r>
          </w:p>
        </w:tc>
        <w:tc>
          <w:tcPr>
            <w:tcW w:w="200" w:type="dxa"/>
            <w:vAlign w:val="bottom"/>
          </w:tcPr>
          <w:p>
            <w:pPr>
              <w:spacing w:after="0"/>
              <w:rPr>
                <w:sz w:val="19"/>
                <w:szCs w:val="19"/>
                <w:color w:val="auto"/>
              </w:rPr>
            </w:pPr>
          </w:p>
        </w:tc>
        <w:tc>
          <w:tcPr>
            <w:tcW w:w="1600" w:type="dxa"/>
            <w:vAlign w:val="bottom"/>
          </w:tcPr>
          <w:p>
            <w:pPr>
              <w:jc w:val="right"/>
              <w:spacing w:after="0"/>
              <w:rPr>
                <w:sz w:val="20"/>
                <w:szCs w:val="20"/>
                <w:color w:val="auto"/>
              </w:rPr>
            </w:pPr>
            <w:r>
              <w:rPr>
                <w:rFonts w:ascii="Arial" w:cs="Arial" w:eastAsia="Arial" w:hAnsi="Arial"/>
                <w:sz w:val="18"/>
                <w:szCs w:val="18"/>
                <w:color w:val="auto"/>
              </w:rPr>
              <w:t>26,541</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600" w:type="dxa"/>
            <w:vAlign w:val="bottom"/>
          </w:tcPr>
          <w:p>
            <w:pPr>
              <w:jc w:val="right"/>
              <w:spacing w:after="0"/>
              <w:rPr>
                <w:sz w:val="20"/>
                <w:szCs w:val="20"/>
                <w:color w:val="auto"/>
              </w:rPr>
            </w:pPr>
            <w:r>
              <w:rPr>
                <w:rFonts w:ascii="Arial" w:cs="Arial" w:eastAsia="Arial" w:hAnsi="Arial"/>
                <w:sz w:val="18"/>
                <w:szCs w:val="18"/>
                <w:color w:val="auto"/>
              </w:rPr>
              <w:t>32,264</w:t>
            </w:r>
          </w:p>
        </w:tc>
      </w:tr>
      <w:tr>
        <w:trPr>
          <w:trHeight w:val="229"/>
        </w:trPr>
        <w:tc>
          <w:tcPr>
            <w:tcW w:w="7360" w:type="dxa"/>
            <w:vAlign w:val="bottom"/>
            <w:shd w:val="clear" w:color="auto" w:fill="CCEEFF"/>
          </w:tcPr>
          <w:p>
            <w:pPr>
              <w:ind w:left="160"/>
              <w:spacing w:after="0"/>
              <w:rPr>
                <w:sz w:val="20"/>
                <w:szCs w:val="20"/>
                <w:color w:val="auto"/>
              </w:rPr>
            </w:pPr>
            <w:r>
              <w:rPr>
                <w:rFonts w:ascii="Arial" w:cs="Arial" w:eastAsia="Arial" w:hAnsi="Arial"/>
                <w:sz w:val="18"/>
                <w:szCs w:val="18"/>
                <w:color w:val="auto"/>
              </w:rPr>
              <w:t>Deferred revenue</w:t>
            </w:r>
          </w:p>
        </w:tc>
        <w:tc>
          <w:tcPr>
            <w:tcW w:w="200" w:type="dxa"/>
            <w:vAlign w:val="bottom"/>
            <w:shd w:val="clear" w:color="auto" w:fill="CCEEFF"/>
          </w:tcPr>
          <w:p>
            <w:pPr>
              <w:spacing w:after="0"/>
              <w:rPr>
                <w:sz w:val="19"/>
                <w:szCs w:val="19"/>
                <w:color w:val="auto"/>
              </w:rPr>
            </w:pPr>
          </w:p>
        </w:tc>
        <w:tc>
          <w:tcPr>
            <w:tcW w:w="1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12,563</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4,727</w:t>
            </w:r>
          </w:p>
        </w:tc>
      </w:tr>
      <w:tr>
        <w:trPr>
          <w:trHeight w:val="230"/>
        </w:trPr>
        <w:tc>
          <w:tcPr>
            <w:tcW w:w="7360" w:type="dxa"/>
            <w:vAlign w:val="bottom"/>
          </w:tcPr>
          <w:p>
            <w:pPr>
              <w:ind w:left="160"/>
              <w:spacing w:after="0"/>
              <w:rPr>
                <w:sz w:val="20"/>
                <w:szCs w:val="20"/>
                <w:color w:val="auto"/>
              </w:rPr>
            </w:pPr>
            <w:r>
              <w:rPr>
                <w:rFonts w:ascii="Arial" w:cs="Arial" w:eastAsia="Arial" w:hAnsi="Arial"/>
                <w:sz w:val="18"/>
                <w:szCs w:val="18"/>
                <w:color w:val="auto"/>
              </w:rPr>
              <w:t>Accrued expenses and other liabilities</w:t>
            </w:r>
          </w:p>
        </w:tc>
        <w:tc>
          <w:tcPr>
            <w:tcW w:w="200" w:type="dxa"/>
            <w:vAlign w:val="bottom"/>
          </w:tcPr>
          <w:p>
            <w:pPr>
              <w:spacing w:after="0"/>
              <w:rPr>
                <w:sz w:val="19"/>
                <w:szCs w:val="19"/>
                <w:color w:val="auto"/>
              </w:rPr>
            </w:pPr>
          </w:p>
        </w:tc>
        <w:tc>
          <w:tcPr>
            <w:tcW w:w="1600" w:type="dxa"/>
            <w:vAlign w:val="bottom"/>
          </w:tcPr>
          <w:p>
            <w:pPr>
              <w:jc w:val="right"/>
              <w:spacing w:after="0"/>
              <w:rPr>
                <w:sz w:val="20"/>
                <w:szCs w:val="20"/>
                <w:color w:val="auto"/>
              </w:rPr>
            </w:pPr>
            <w:r>
              <w:rPr>
                <w:rFonts w:ascii="Arial" w:cs="Arial" w:eastAsia="Arial" w:hAnsi="Arial"/>
                <w:sz w:val="18"/>
                <w:szCs w:val="18"/>
                <w:color w:val="auto"/>
              </w:rPr>
              <w:t>7,338</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600" w:type="dxa"/>
            <w:vAlign w:val="bottom"/>
          </w:tcPr>
          <w:p>
            <w:pPr>
              <w:jc w:val="right"/>
              <w:spacing w:after="0"/>
              <w:rPr>
                <w:sz w:val="20"/>
                <w:szCs w:val="20"/>
                <w:color w:val="auto"/>
              </w:rPr>
            </w:pPr>
            <w:r>
              <w:rPr>
                <w:rFonts w:ascii="Arial" w:cs="Arial" w:eastAsia="Arial" w:hAnsi="Arial"/>
                <w:sz w:val="18"/>
                <w:szCs w:val="18"/>
                <w:color w:val="auto"/>
              </w:rPr>
              <w:t>7,366</w:t>
            </w:r>
          </w:p>
        </w:tc>
      </w:tr>
      <w:tr>
        <w:trPr>
          <w:trHeight w:val="230"/>
        </w:trPr>
        <w:tc>
          <w:tcPr>
            <w:tcW w:w="7360" w:type="dxa"/>
            <w:vAlign w:val="bottom"/>
            <w:shd w:val="clear" w:color="auto" w:fill="CCEEFF"/>
          </w:tcPr>
          <w:p>
            <w:pPr>
              <w:ind w:left="160"/>
              <w:spacing w:after="0"/>
              <w:rPr>
                <w:sz w:val="20"/>
                <w:szCs w:val="20"/>
                <w:color w:val="auto"/>
              </w:rPr>
            </w:pPr>
            <w:r>
              <w:rPr>
                <w:rFonts w:ascii="Arial" w:cs="Arial" w:eastAsia="Arial" w:hAnsi="Arial"/>
                <w:sz w:val="18"/>
                <w:szCs w:val="18"/>
                <w:color w:val="auto"/>
              </w:rPr>
              <w:t>Operating lease liability, net of current portion</w:t>
            </w:r>
          </w:p>
        </w:tc>
        <w:tc>
          <w:tcPr>
            <w:tcW w:w="200" w:type="dxa"/>
            <w:vAlign w:val="bottom"/>
            <w:shd w:val="clear" w:color="auto" w:fill="CCEEFF"/>
          </w:tcPr>
          <w:p>
            <w:pPr>
              <w:spacing w:after="0"/>
              <w:rPr>
                <w:sz w:val="19"/>
                <w:szCs w:val="19"/>
                <w:color w:val="auto"/>
              </w:rPr>
            </w:pPr>
          </w:p>
        </w:tc>
        <w:tc>
          <w:tcPr>
            <w:tcW w:w="1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6,878</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9,748</w:t>
            </w:r>
          </w:p>
        </w:tc>
      </w:tr>
      <w:tr>
        <w:trPr>
          <w:trHeight w:val="230"/>
        </w:trPr>
        <w:tc>
          <w:tcPr>
            <w:tcW w:w="7360" w:type="dxa"/>
            <w:vAlign w:val="bottom"/>
          </w:tcPr>
          <w:p>
            <w:pPr>
              <w:ind w:left="160"/>
              <w:spacing w:after="0"/>
              <w:rPr>
                <w:sz w:val="20"/>
                <w:szCs w:val="20"/>
                <w:color w:val="auto"/>
              </w:rPr>
            </w:pPr>
            <w:r>
              <w:rPr>
                <w:rFonts w:ascii="Arial" w:cs="Arial" w:eastAsia="Arial" w:hAnsi="Arial"/>
                <w:sz w:val="18"/>
                <w:szCs w:val="18"/>
                <w:color w:val="auto"/>
              </w:rPr>
              <w:t>Deferred royalty obligation related to the sale of future royalties</w:t>
            </w:r>
          </w:p>
        </w:tc>
        <w:tc>
          <w:tcPr>
            <w:tcW w:w="200" w:type="dxa"/>
            <w:vAlign w:val="bottom"/>
          </w:tcPr>
          <w:p>
            <w:pPr>
              <w:spacing w:after="0"/>
              <w:rPr>
                <w:sz w:val="19"/>
                <w:szCs w:val="19"/>
                <w:color w:val="auto"/>
              </w:rPr>
            </w:pPr>
          </w:p>
        </w:tc>
        <w:tc>
          <w:tcPr>
            <w:tcW w:w="1600" w:type="dxa"/>
            <w:vAlign w:val="bottom"/>
          </w:tcPr>
          <w:p>
            <w:pPr>
              <w:jc w:val="right"/>
              <w:spacing w:after="0"/>
              <w:rPr>
                <w:sz w:val="20"/>
                <w:szCs w:val="20"/>
                <w:color w:val="auto"/>
              </w:rPr>
            </w:pPr>
            <w:r>
              <w:rPr>
                <w:rFonts w:ascii="Arial" w:cs="Arial" w:eastAsia="Arial" w:hAnsi="Arial"/>
                <w:sz w:val="18"/>
                <w:szCs w:val="18"/>
                <w:color w:val="auto"/>
              </w:rPr>
              <w:t>10,422</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60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29"/>
        </w:trPr>
        <w:tc>
          <w:tcPr>
            <w:tcW w:w="7360" w:type="dxa"/>
            <w:vAlign w:val="bottom"/>
            <w:shd w:val="clear" w:color="auto" w:fill="CCEEFF"/>
          </w:tcPr>
          <w:p>
            <w:pPr>
              <w:ind w:left="160"/>
              <w:spacing w:after="0"/>
              <w:rPr>
                <w:sz w:val="20"/>
                <w:szCs w:val="20"/>
                <w:color w:val="auto"/>
              </w:rPr>
            </w:pPr>
            <w:r>
              <w:rPr>
                <w:rFonts w:ascii="Arial" w:cs="Arial" w:eastAsia="Arial" w:hAnsi="Arial"/>
                <w:sz w:val="18"/>
                <w:szCs w:val="18"/>
                <w:color w:val="auto"/>
              </w:rPr>
              <w:t>Stockholders' equity</w:t>
            </w:r>
          </w:p>
        </w:tc>
        <w:tc>
          <w:tcPr>
            <w:tcW w:w="200" w:type="dxa"/>
            <w:vAlign w:val="bottom"/>
            <w:tcBorders>
              <w:bottom w:val="single" w:sz="8" w:color="auto"/>
            </w:tcBorders>
            <w:shd w:val="clear" w:color="auto" w:fill="CCEEFF"/>
          </w:tcPr>
          <w:p>
            <w:pPr>
              <w:spacing w:after="0"/>
              <w:rPr>
                <w:sz w:val="19"/>
                <w:szCs w:val="19"/>
                <w:color w:val="auto"/>
              </w:rPr>
            </w:pPr>
          </w:p>
        </w:tc>
        <w:tc>
          <w:tcPr>
            <w:tcW w:w="1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66,861</w:t>
            </w:r>
          </w:p>
        </w:tc>
        <w:tc>
          <w:tcPr>
            <w:tcW w:w="10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82,617</w:t>
            </w:r>
          </w:p>
        </w:tc>
      </w:tr>
      <w:tr>
        <w:trPr>
          <w:trHeight w:val="223"/>
        </w:trPr>
        <w:tc>
          <w:tcPr>
            <w:tcW w:w="7360" w:type="dxa"/>
            <w:vAlign w:val="bottom"/>
          </w:tcPr>
          <w:p>
            <w:pPr>
              <w:ind w:left="240"/>
              <w:spacing w:after="0"/>
              <w:rPr>
                <w:sz w:val="20"/>
                <w:szCs w:val="20"/>
                <w:color w:val="auto"/>
              </w:rPr>
            </w:pPr>
            <w:r>
              <w:rPr>
                <w:rFonts w:ascii="Arial" w:cs="Arial" w:eastAsia="Arial" w:hAnsi="Arial"/>
                <w:sz w:val="18"/>
                <w:szCs w:val="18"/>
                <w:color w:val="auto"/>
              </w:rPr>
              <w:t>Total liabilities and stockholders' equity</w:t>
            </w: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144,672</w:t>
            </w:r>
          </w:p>
        </w:tc>
        <w:tc>
          <w:tcPr>
            <w:tcW w:w="100" w:type="dxa"/>
            <w:vAlign w:val="bottom"/>
          </w:tcPr>
          <w:p>
            <w:pPr>
              <w:spacing w:after="0"/>
              <w:rPr>
                <w:sz w:val="19"/>
                <w:szCs w:val="19"/>
                <w:color w:val="auto"/>
              </w:rPr>
            </w:pPr>
          </w:p>
        </w:tc>
        <w:tc>
          <w:tcPr>
            <w:tcW w:w="2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w w:val="79"/>
              </w:rPr>
              <w:t>$</w:t>
            </w:r>
          </w:p>
        </w:tc>
        <w:tc>
          <w:tcPr>
            <w:tcW w:w="1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149,913</w:t>
            </w:r>
          </w:p>
        </w:tc>
      </w:tr>
      <w:tr>
        <w:trPr>
          <w:trHeight w:val="20"/>
        </w:trPr>
        <w:tc>
          <w:tcPr>
            <w:tcW w:w="73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r>
    </w:tbl>
    <w:p>
      <w:pPr>
        <w:spacing w:after="0" w:line="310" w:lineRule="exact"/>
        <w:rPr>
          <w:sz w:val="20"/>
          <w:szCs w:val="20"/>
          <w:color w:val="auto"/>
        </w:rPr>
      </w:pPr>
    </w:p>
    <w:p>
      <w:pPr>
        <w:spacing w:after="0"/>
        <w:rPr>
          <w:sz w:val="20"/>
          <w:szCs w:val="20"/>
          <w:color w:val="auto"/>
        </w:rPr>
      </w:pPr>
      <w:r>
        <w:rPr>
          <w:rFonts w:ascii="Arial" w:cs="Arial" w:eastAsia="Arial" w:hAnsi="Arial"/>
          <w:sz w:val="17"/>
          <w:szCs w:val="17"/>
          <w:color w:val="auto"/>
        </w:rPr>
        <w:t>(1) Derived from the audited financial statements included in the Company’s Annual Report on Form 10-K for the year ended December 31, 2021.</w:t>
      </w:r>
    </w:p>
    <w:p>
      <w:pPr>
        <w:sectPr>
          <w:pgSz w:w="11900" w:h="16838" w:orient="portrait"/>
          <w:cols w:equalWidth="0" w:num="1">
            <w:col w:w="11060"/>
          </w:cols>
          <w:pgMar w:left="320" w:top="1431" w:right="519" w:bottom="1440" w:gutter="0" w:footer="0" w:header="0"/>
        </w:sectPr>
      </w:pPr>
    </w:p>
    <w:bookmarkStart w:id="10" w:name="page11"/>
    <w:bookmarkEnd w:id="10"/>
    <w:p>
      <w:pPr>
        <w:spacing w:after="0" w:line="18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6268720</wp:posOffset>
            </wp:positionH>
            <wp:positionV relativeFrom="page">
              <wp:posOffset>200660</wp:posOffset>
            </wp:positionV>
            <wp:extent cx="1071245" cy="33401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clrChange>
                        <a:clrFrom>
                          <a:srgbClr val="FFFFFF"/>
                        </a:clrFrom>
                        <a:clrTo>
                          <a:srgbClr val="FFFFFF">
                            <a:alpha val="0"/>
                          </a:srgbClr>
                        </a:clrTo>
                      </a:clrChange>
                      <a:extLst>
                        <a:ext uri="{28A0092B-C50C-407E-A947-70E740481C1C}"/>
                      </a:extLst>
                    </a:blip>
                    <a:srcRect/>
                    <a:stretch>
                      <a:fillRect/>
                    </a:stretch>
                  </pic:blipFill>
                  <pic:spPr bwMode="auto">
                    <a:xfrm>
                      <a:off x="0" y="0"/>
                      <a:ext cx="1071245" cy="334010"/>
                    </a:xfrm>
                    <a:prstGeom prst="rect">
                      <a:avLst/>
                    </a:prstGeom>
                    <a:noFill/>
                  </pic:spPr>
                </pic:pic>
              </a:graphicData>
            </a:graphic>
          </wp:anchor>
        </w:drawing>
      </w:r>
    </w:p>
    <w:p>
      <w:pPr>
        <w:jc w:val="center"/>
        <w:spacing w:after="0"/>
        <w:rPr>
          <w:sz w:val="20"/>
          <w:szCs w:val="20"/>
          <w:color w:val="auto"/>
        </w:rPr>
      </w:pPr>
      <w:r>
        <w:rPr>
          <w:rFonts w:ascii="Arial" w:cs="Arial" w:eastAsia="Arial" w:hAnsi="Arial"/>
          <w:sz w:val="18"/>
          <w:szCs w:val="18"/>
          <w:b w:val="1"/>
          <w:bCs w:val="1"/>
          <w:color w:val="auto"/>
        </w:rPr>
        <w:t>Ardelyx,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Statements of Operations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(In thousands, except share and per share amounts)</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0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3120" w:type="dxa"/>
            <w:vAlign w:val="bottom"/>
            <w:gridSpan w:val="5"/>
          </w:tcPr>
          <w:p>
            <w:pPr>
              <w:ind w:left="40"/>
              <w:spacing w:after="0"/>
              <w:rPr>
                <w:sz w:val="20"/>
                <w:szCs w:val="20"/>
                <w:color w:val="auto"/>
              </w:rPr>
            </w:pPr>
            <w:r>
              <w:rPr>
                <w:rFonts w:ascii="Arial" w:cs="Arial" w:eastAsia="Arial" w:hAnsi="Arial"/>
                <w:sz w:val="18"/>
                <w:szCs w:val="18"/>
                <w:b w:val="1"/>
                <w:bCs w:val="1"/>
                <w:color w:val="auto"/>
                <w:w w:val="99"/>
              </w:rPr>
              <w:t>Three Months Ended September 30,</w:t>
            </w:r>
          </w:p>
        </w:tc>
        <w:tc>
          <w:tcPr>
            <w:tcW w:w="120" w:type="dxa"/>
            <w:vAlign w:val="bottom"/>
          </w:tcPr>
          <w:p>
            <w:pPr>
              <w:spacing w:after="0"/>
              <w:rPr>
                <w:sz w:val="20"/>
                <w:szCs w:val="20"/>
                <w:color w:val="auto"/>
              </w:rPr>
            </w:pPr>
          </w:p>
        </w:tc>
        <w:tc>
          <w:tcPr>
            <w:tcW w:w="2840" w:type="dxa"/>
            <w:vAlign w:val="bottom"/>
            <w:gridSpan w:val="4"/>
          </w:tcPr>
          <w:p>
            <w:pPr>
              <w:jc w:val="right"/>
              <w:ind w:right="50"/>
              <w:spacing w:after="0"/>
              <w:rPr>
                <w:sz w:val="20"/>
                <w:szCs w:val="20"/>
                <w:color w:val="auto"/>
              </w:rPr>
            </w:pPr>
            <w:r>
              <w:rPr>
                <w:rFonts w:ascii="Arial" w:cs="Arial" w:eastAsia="Arial" w:hAnsi="Arial"/>
                <w:sz w:val="18"/>
                <w:szCs w:val="18"/>
                <w:b w:val="1"/>
                <w:bCs w:val="1"/>
                <w:color w:val="auto"/>
                <w:w w:val="90"/>
              </w:rPr>
              <w:t>Nine Months Ended September 30,</w:t>
            </w:r>
          </w:p>
        </w:tc>
        <w:tc>
          <w:tcPr>
            <w:tcW w:w="0" w:type="dxa"/>
            <w:vAlign w:val="bottom"/>
          </w:tcPr>
          <w:p>
            <w:pPr>
              <w:spacing w:after="0"/>
              <w:rPr>
                <w:sz w:val="1"/>
                <w:szCs w:val="1"/>
                <w:color w:val="auto"/>
              </w:rPr>
            </w:pPr>
          </w:p>
        </w:tc>
      </w:tr>
      <w:tr>
        <w:trPr>
          <w:trHeight w:val="223"/>
        </w:trPr>
        <w:tc>
          <w:tcPr>
            <w:tcW w:w="5000" w:type="dxa"/>
            <w:vAlign w:val="bottom"/>
            <w:tcBorders>
              <w:bottom w:val="single" w:sz="8" w:color="CCEEFF"/>
            </w:tcBorders>
          </w:tcPr>
          <w:p>
            <w:pPr>
              <w:spacing w:after="0"/>
              <w:rPr>
                <w:sz w:val="19"/>
                <w:szCs w:val="19"/>
                <w:color w:val="auto"/>
              </w:rPr>
            </w:pPr>
          </w:p>
        </w:tc>
        <w:tc>
          <w:tcPr>
            <w:tcW w:w="160" w:type="dxa"/>
            <w:vAlign w:val="bottom"/>
            <w:tcBorders>
              <w:top w:val="single" w:sz="8" w:color="auto"/>
              <w:bottom w:val="single" w:sz="8" w:color="auto"/>
            </w:tcBorders>
          </w:tcPr>
          <w:p>
            <w:pPr>
              <w:spacing w:after="0"/>
              <w:rPr>
                <w:sz w:val="19"/>
                <w:szCs w:val="19"/>
                <w:color w:val="auto"/>
              </w:rPr>
            </w:pPr>
          </w:p>
        </w:tc>
        <w:tc>
          <w:tcPr>
            <w:tcW w:w="1400" w:type="dxa"/>
            <w:vAlign w:val="bottom"/>
            <w:tcBorders>
              <w:top w:val="single" w:sz="8" w:color="auto"/>
              <w:bottom w:val="single" w:sz="8" w:color="auto"/>
            </w:tcBorders>
          </w:tcPr>
          <w:p>
            <w:pPr>
              <w:jc w:val="right"/>
              <w:ind w:right="510"/>
              <w:spacing w:after="0"/>
              <w:rPr>
                <w:sz w:val="20"/>
                <w:szCs w:val="20"/>
                <w:color w:val="auto"/>
              </w:rPr>
            </w:pPr>
            <w:r>
              <w:rPr>
                <w:rFonts w:ascii="Arial" w:cs="Arial" w:eastAsia="Arial" w:hAnsi="Arial"/>
                <w:sz w:val="18"/>
                <w:szCs w:val="18"/>
                <w:b w:val="1"/>
                <w:bCs w:val="1"/>
                <w:color w:val="auto"/>
              </w:rPr>
              <w:t>2022</w:t>
            </w:r>
          </w:p>
        </w:tc>
        <w:tc>
          <w:tcPr>
            <w:tcW w:w="100" w:type="dxa"/>
            <w:vAlign w:val="bottom"/>
            <w:tcBorders>
              <w:top w:val="single" w:sz="8" w:color="auto"/>
              <w:bottom w:val="single" w:sz="8" w:color="CCEEFF"/>
            </w:tcBorders>
          </w:tcPr>
          <w:p>
            <w:pPr>
              <w:spacing w:after="0"/>
              <w:rPr>
                <w:sz w:val="19"/>
                <w:szCs w:val="19"/>
                <w:color w:val="auto"/>
              </w:rPr>
            </w:pPr>
          </w:p>
        </w:tc>
        <w:tc>
          <w:tcPr>
            <w:tcW w:w="340" w:type="dxa"/>
            <w:vAlign w:val="bottom"/>
            <w:tcBorders>
              <w:top w:val="single" w:sz="8" w:color="auto"/>
              <w:bottom w:val="single" w:sz="8" w:color="auto"/>
            </w:tcBorders>
          </w:tcPr>
          <w:p>
            <w:pPr>
              <w:spacing w:after="0"/>
              <w:rPr>
                <w:sz w:val="19"/>
                <w:szCs w:val="19"/>
                <w:color w:val="auto"/>
              </w:rPr>
            </w:pPr>
          </w:p>
        </w:tc>
        <w:tc>
          <w:tcPr>
            <w:tcW w:w="1180" w:type="dxa"/>
            <w:vAlign w:val="bottom"/>
            <w:tcBorders>
              <w:top w:val="single" w:sz="8" w:color="auto"/>
              <w:bottom w:val="single" w:sz="8" w:color="auto"/>
            </w:tcBorders>
          </w:tcPr>
          <w:p>
            <w:pPr>
              <w:jc w:val="right"/>
              <w:ind w:right="490"/>
              <w:spacing w:after="0"/>
              <w:rPr>
                <w:sz w:val="20"/>
                <w:szCs w:val="20"/>
                <w:color w:val="auto"/>
              </w:rPr>
            </w:pPr>
            <w:r>
              <w:rPr>
                <w:rFonts w:ascii="Arial" w:cs="Arial" w:eastAsia="Arial" w:hAnsi="Arial"/>
                <w:sz w:val="18"/>
                <w:szCs w:val="18"/>
                <w:b w:val="1"/>
                <w:bCs w:val="1"/>
                <w:color w:val="auto"/>
              </w:rPr>
              <w:t>2021</w:t>
            </w:r>
          </w:p>
        </w:tc>
        <w:tc>
          <w:tcPr>
            <w:tcW w:w="100" w:type="dxa"/>
            <w:vAlign w:val="bottom"/>
            <w:tcBorders>
              <w:bottom w:val="single" w:sz="8" w:color="CCEEFF"/>
            </w:tcBorders>
          </w:tcPr>
          <w:p>
            <w:pPr>
              <w:spacing w:after="0"/>
              <w:rPr>
                <w:sz w:val="19"/>
                <w:szCs w:val="19"/>
                <w:color w:val="auto"/>
              </w:rPr>
            </w:pPr>
          </w:p>
        </w:tc>
        <w:tc>
          <w:tcPr>
            <w:tcW w:w="120" w:type="dxa"/>
            <w:vAlign w:val="bottom"/>
            <w:tcBorders>
              <w:top w:val="single" w:sz="8" w:color="auto"/>
              <w:bottom w:val="single" w:sz="8" w:color="auto"/>
            </w:tcBorders>
          </w:tcPr>
          <w:p>
            <w:pPr>
              <w:spacing w:after="0"/>
              <w:rPr>
                <w:sz w:val="19"/>
                <w:szCs w:val="19"/>
                <w:color w:val="auto"/>
              </w:rPr>
            </w:pPr>
          </w:p>
        </w:tc>
        <w:tc>
          <w:tcPr>
            <w:tcW w:w="1320" w:type="dxa"/>
            <w:vAlign w:val="bottom"/>
            <w:tcBorders>
              <w:top w:val="single" w:sz="8" w:color="auto"/>
              <w:bottom w:val="single" w:sz="8" w:color="auto"/>
            </w:tcBorders>
          </w:tcPr>
          <w:p>
            <w:pPr>
              <w:jc w:val="right"/>
              <w:ind w:right="450"/>
              <w:spacing w:after="0"/>
              <w:rPr>
                <w:sz w:val="20"/>
                <w:szCs w:val="20"/>
                <w:color w:val="auto"/>
              </w:rPr>
            </w:pPr>
            <w:r>
              <w:rPr>
                <w:rFonts w:ascii="Arial" w:cs="Arial" w:eastAsia="Arial" w:hAnsi="Arial"/>
                <w:sz w:val="18"/>
                <w:szCs w:val="18"/>
                <w:b w:val="1"/>
                <w:bCs w:val="1"/>
                <w:color w:val="auto"/>
              </w:rPr>
              <w:t>2022</w:t>
            </w:r>
          </w:p>
        </w:tc>
        <w:tc>
          <w:tcPr>
            <w:tcW w:w="80" w:type="dxa"/>
            <w:vAlign w:val="bottom"/>
            <w:tcBorders>
              <w:top w:val="single" w:sz="8" w:color="auto"/>
              <w:bottom w:val="single" w:sz="8" w:color="CCEEFF"/>
            </w:tcBorders>
          </w:tcPr>
          <w:p>
            <w:pPr>
              <w:spacing w:after="0"/>
              <w:rPr>
                <w:sz w:val="19"/>
                <w:szCs w:val="19"/>
                <w:color w:val="auto"/>
              </w:rPr>
            </w:pPr>
          </w:p>
        </w:tc>
        <w:tc>
          <w:tcPr>
            <w:tcW w:w="300" w:type="dxa"/>
            <w:vAlign w:val="bottom"/>
            <w:tcBorders>
              <w:top w:val="single" w:sz="8" w:color="auto"/>
              <w:bottom w:val="single" w:sz="8" w:color="auto"/>
            </w:tcBorders>
          </w:tcPr>
          <w:p>
            <w:pPr>
              <w:spacing w:after="0"/>
              <w:rPr>
                <w:sz w:val="19"/>
                <w:szCs w:val="19"/>
                <w:color w:val="auto"/>
              </w:rPr>
            </w:pPr>
          </w:p>
        </w:tc>
        <w:tc>
          <w:tcPr>
            <w:tcW w:w="1140" w:type="dxa"/>
            <w:vAlign w:val="bottom"/>
            <w:tcBorders>
              <w:top w:val="single" w:sz="8" w:color="auto"/>
              <w:bottom w:val="single" w:sz="8" w:color="auto"/>
            </w:tcBorders>
          </w:tcPr>
          <w:p>
            <w:pPr>
              <w:jc w:val="right"/>
              <w:ind w:right="450"/>
              <w:spacing w:after="0"/>
              <w:rPr>
                <w:sz w:val="20"/>
                <w:szCs w:val="20"/>
                <w:color w:val="auto"/>
              </w:rPr>
            </w:pPr>
            <w:r>
              <w:rPr>
                <w:rFonts w:ascii="Arial" w:cs="Arial" w:eastAsia="Arial" w:hAnsi="Arial"/>
                <w:sz w:val="18"/>
                <w:szCs w:val="18"/>
                <w:b w:val="1"/>
                <w:bCs w:val="1"/>
                <w:color w:val="auto"/>
              </w:rPr>
              <w:t>2021</w:t>
            </w:r>
          </w:p>
        </w:tc>
        <w:tc>
          <w:tcPr>
            <w:tcW w:w="0" w:type="dxa"/>
            <w:vAlign w:val="bottom"/>
          </w:tcPr>
          <w:p>
            <w:pPr>
              <w:spacing w:after="0"/>
              <w:rPr>
                <w:sz w:val="1"/>
                <w:szCs w:val="1"/>
                <w:color w:val="auto"/>
              </w:rPr>
            </w:pPr>
          </w:p>
        </w:tc>
      </w:tr>
      <w:tr>
        <w:trPr>
          <w:trHeight w:val="209"/>
        </w:trPr>
        <w:tc>
          <w:tcPr>
            <w:tcW w:w="5000" w:type="dxa"/>
            <w:vAlign w:val="bottom"/>
            <w:shd w:val="clear" w:color="auto" w:fill="CCEEFF"/>
          </w:tcPr>
          <w:p>
            <w:pPr>
              <w:ind w:left="40"/>
              <w:spacing w:after="0"/>
              <w:rPr>
                <w:sz w:val="20"/>
                <w:szCs w:val="20"/>
                <w:color w:val="auto"/>
              </w:rPr>
            </w:pPr>
            <w:r>
              <w:rPr>
                <w:rFonts w:ascii="Arial" w:cs="Arial" w:eastAsia="Arial" w:hAnsi="Arial"/>
                <w:sz w:val="18"/>
                <w:szCs w:val="18"/>
                <w:b w:val="1"/>
                <w:bCs w:val="1"/>
                <w:color w:val="auto"/>
              </w:rPr>
              <w:t>Revenues:</w:t>
            </w:r>
          </w:p>
        </w:tc>
        <w:tc>
          <w:tcPr>
            <w:tcW w:w="160" w:type="dxa"/>
            <w:vAlign w:val="bottom"/>
            <w:shd w:val="clear" w:color="auto" w:fill="CCEEFF"/>
          </w:tcPr>
          <w:p>
            <w:pPr>
              <w:spacing w:after="0"/>
              <w:rPr>
                <w:sz w:val="18"/>
                <w:szCs w:val="18"/>
                <w:color w:val="auto"/>
              </w:rPr>
            </w:pPr>
          </w:p>
        </w:tc>
        <w:tc>
          <w:tcPr>
            <w:tcW w:w="1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5000" w:type="dxa"/>
            <w:vAlign w:val="bottom"/>
          </w:tcPr>
          <w:p>
            <w:pPr>
              <w:ind w:left="160"/>
              <w:spacing w:after="0"/>
              <w:rPr>
                <w:sz w:val="20"/>
                <w:szCs w:val="20"/>
                <w:color w:val="auto"/>
              </w:rPr>
            </w:pPr>
            <w:r>
              <w:rPr>
                <w:rFonts w:ascii="Arial" w:cs="Arial" w:eastAsia="Arial" w:hAnsi="Arial"/>
                <w:sz w:val="18"/>
                <w:szCs w:val="18"/>
                <w:color w:val="auto"/>
              </w:rPr>
              <w:t>Product sales, net</w:t>
            </w: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400" w:type="dxa"/>
            <w:vAlign w:val="bottom"/>
          </w:tcPr>
          <w:p>
            <w:pPr>
              <w:jc w:val="right"/>
              <w:spacing w:after="0"/>
              <w:rPr>
                <w:sz w:val="20"/>
                <w:szCs w:val="20"/>
                <w:color w:val="auto"/>
              </w:rPr>
            </w:pPr>
            <w:r>
              <w:rPr>
                <w:rFonts w:ascii="Arial" w:cs="Arial" w:eastAsia="Arial" w:hAnsi="Arial"/>
                <w:sz w:val="18"/>
                <w:szCs w:val="18"/>
                <w:color w:val="auto"/>
              </w:rPr>
              <w:t>4,885</w:t>
            </w:r>
          </w:p>
        </w:tc>
        <w:tc>
          <w:tcPr>
            <w:tcW w:w="100" w:type="dxa"/>
            <w:vAlign w:val="bottom"/>
          </w:tcPr>
          <w:p>
            <w:pPr>
              <w:spacing w:after="0"/>
              <w:rPr>
                <w:sz w:val="19"/>
                <w:szCs w:val="19"/>
                <w:color w:val="auto"/>
              </w:rPr>
            </w:pP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28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2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tcPr>
          <w:p>
            <w:pPr>
              <w:jc w:val="right"/>
              <w:spacing w:after="0"/>
              <w:rPr>
                <w:sz w:val="20"/>
                <w:szCs w:val="20"/>
                <w:color w:val="auto"/>
              </w:rPr>
            </w:pPr>
            <w:r>
              <w:rPr>
                <w:rFonts w:ascii="Arial" w:cs="Arial" w:eastAsia="Arial" w:hAnsi="Arial"/>
                <w:sz w:val="18"/>
                <w:szCs w:val="18"/>
                <w:color w:val="auto"/>
              </w:rPr>
              <w:t>6,899</w:t>
            </w:r>
          </w:p>
        </w:tc>
        <w:tc>
          <w:tcPr>
            <w:tcW w:w="80" w:type="dxa"/>
            <w:vAlign w:val="bottom"/>
          </w:tcPr>
          <w:p>
            <w:pPr>
              <w:spacing w:after="0"/>
              <w:rPr>
                <w:sz w:val="19"/>
                <w:szCs w:val="19"/>
                <w:color w:val="auto"/>
              </w:rPr>
            </w:pP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50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Product supply revenue</w:t>
            </w:r>
          </w:p>
        </w:tc>
        <w:tc>
          <w:tcPr>
            <w:tcW w:w="16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92</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285</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1,058</w:t>
            </w:r>
          </w:p>
        </w:tc>
        <w:tc>
          <w:tcPr>
            <w:tcW w:w="8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411</w:t>
            </w:r>
          </w:p>
        </w:tc>
        <w:tc>
          <w:tcPr>
            <w:tcW w:w="0" w:type="dxa"/>
            <w:vAlign w:val="bottom"/>
          </w:tcPr>
          <w:p>
            <w:pPr>
              <w:spacing w:after="0"/>
              <w:rPr>
                <w:sz w:val="1"/>
                <w:szCs w:val="1"/>
                <w:color w:val="auto"/>
              </w:rPr>
            </w:pPr>
          </w:p>
        </w:tc>
      </w:tr>
      <w:tr>
        <w:trPr>
          <w:trHeight w:val="230"/>
        </w:trPr>
        <w:tc>
          <w:tcPr>
            <w:tcW w:w="5000" w:type="dxa"/>
            <w:vAlign w:val="bottom"/>
          </w:tcPr>
          <w:p>
            <w:pPr>
              <w:ind w:left="160"/>
              <w:spacing w:after="0"/>
              <w:rPr>
                <w:sz w:val="20"/>
                <w:szCs w:val="20"/>
                <w:color w:val="auto"/>
              </w:rPr>
            </w:pPr>
            <w:r>
              <w:rPr>
                <w:rFonts w:ascii="Arial" w:cs="Arial" w:eastAsia="Arial" w:hAnsi="Arial"/>
                <w:sz w:val="18"/>
                <w:szCs w:val="18"/>
                <w:color w:val="auto"/>
              </w:rPr>
              <w:t>Licensing revenue</w:t>
            </w:r>
          </w:p>
        </w:tc>
        <w:tc>
          <w:tcPr>
            <w:tcW w:w="16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9</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2</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23</w:t>
            </w:r>
          </w:p>
        </w:tc>
        <w:tc>
          <w:tcPr>
            <w:tcW w:w="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5,007</w:t>
            </w:r>
          </w:p>
        </w:tc>
        <w:tc>
          <w:tcPr>
            <w:tcW w:w="0" w:type="dxa"/>
            <w:vAlign w:val="bottom"/>
          </w:tcPr>
          <w:p>
            <w:pPr>
              <w:spacing w:after="0"/>
              <w:rPr>
                <w:sz w:val="1"/>
                <w:szCs w:val="1"/>
                <w:color w:val="auto"/>
              </w:rPr>
            </w:pPr>
          </w:p>
        </w:tc>
      </w:tr>
      <w:tr>
        <w:trPr>
          <w:trHeight w:val="229"/>
        </w:trPr>
        <w:tc>
          <w:tcPr>
            <w:tcW w:w="50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Collaborative development revenue</w:t>
            </w:r>
          </w:p>
        </w:tc>
        <w:tc>
          <w:tcPr>
            <w:tcW w:w="160" w:type="dxa"/>
            <w:vAlign w:val="bottom"/>
            <w:shd w:val="clear" w:color="auto" w:fill="CCEEFF"/>
          </w:tcPr>
          <w:p>
            <w:pPr>
              <w:spacing w:after="0"/>
              <w:rPr>
                <w:sz w:val="19"/>
                <w:szCs w:val="19"/>
                <w:color w:val="auto"/>
              </w:rPr>
            </w:pPr>
          </w:p>
        </w:tc>
        <w:tc>
          <w:tcPr>
            <w:tcW w:w="15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34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886</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3,650</w:t>
            </w:r>
          </w:p>
        </w:tc>
        <w:tc>
          <w:tcPr>
            <w:tcW w:w="0" w:type="dxa"/>
            <w:vAlign w:val="bottom"/>
          </w:tcPr>
          <w:p>
            <w:pPr>
              <w:spacing w:after="0"/>
              <w:rPr>
                <w:sz w:val="1"/>
                <w:szCs w:val="1"/>
                <w:color w:val="auto"/>
              </w:rPr>
            </w:pPr>
          </w:p>
        </w:tc>
      </w:tr>
      <w:tr>
        <w:trPr>
          <w:trHeight w:val="223"/>
        </w:trPr>
        <w:tc>
          <w:tcPr>
            <w:tcW w:w="5000" w:type="dxa"/>
            <w:vAlign w:val="bottom"/>
            <w:tcBorders>
              <w:bottom w:val="single" w:sz="8" w:color="CCEEFF"/>
            </w:tcBorders>
          </w:tcPr>
          <w:p>
            <w:pPr>
              <w:ind w:left="240"/>
              <w:spacing w:after="0"/>
              <w:rPr>
                <w:sz w:val="20"/>
                <w:szCs w:val="20"/>
                <w:color w:val="auto"/>
              </w:rPr>
            </w:pPr>
            <w:r>
              <w:rPr>
                <w:rFonts w:ascii="Arial" w:cs="Arial" w:eastAsia="Arial" w:hAnsi="Arial"/>
                <w:sz w:val="18"/>
                <w:szCs w:val="18"/>
                <w:color w:val="auto"/>
              </w:rPr>
              <w:t>Total revenues</w:t>
            </w:r>
          </w:p>
        </w:tc>
        <w:tc>
          <w:tcPr>
            <w:tcW w:w="160" w:type="dxa"/>
            <w:vAlign w:val="bottom"/>
            <w:tcBorders>
              <w:top w:val="single" w:sz="8" w:color="auto"/>
              <w:bottom w:val="single" w:sz="8" w:color="auto"/>
            </w:tcBorders>
          </w:tcPr>
          <w:p>
            <w:pPr>
              <w:spacing w:after="0"/>
              <w:rPr>
                <w:sz w:val="19"/>
                <w:szCs w:val="19"/>
                <w:color w:val="auto"/>
              </w:rPr>
            </w:pPr>
          </w:p>
        </w:tc>
        <w:tc>
          <w:tcPr>
            <w:tcW w:w="14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4,986</w:t>
            </w:r>
          </w:p>
        </w:tc>
        <w:tc>
          <w:tcPr>
            <w:tcW w:w="100" w:type="dxa"/>
            <w:vAlign w:val="bottom"/>
            <w:tcBorders>
              <w:bottom w:val="single" w:sz="8" w:color="CCEEFF"/>
            </w:tcBorders>
          </w:tcPr>
          <w:p>
            <w:pPr>
              <w:spacing w:after="0"/>
              <w:rPr>
                <w:sz w:val="19"/>
                <w:szCs w:val="19"/>
                <w:color w:val="auto"/>
              </w:rPr>
            </w:pPr>
          </w:p>
        </w:tc>
        <w:tc>
          <w:tcPr>
            <w:tcW w:w="340" w:type="dxa"/>
            <w:vAlign w:val="bottom"/>
            <w:tcBorders>
              <w:top w:val="single" w:sz="8" w:color="auto"/>
              <w:bottom w:val="single" w:sz="8" w:color="auto"/>
            </w:tcBorders>
          </w:tcPr>
          <w:p>
            <w:pPr>
              <w:spacing w:after="0"/>
              <w:rPr>
                <w:sz w:val="19"/>
                <w:szCs w:val="19"/>
                <w:color w:val="auto"/>
              </w:rPr>
            </w:pPr>
          </w:p>
        </w:tc>
        <w:tc>
          <w:tcPr>
            <w:tcW w:w="1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1,173</w:t>
            </w:r>
          </w:p>
        </w:tc>
        <w:tc>
          <w:tcPr>
            <w:tcW w:w="100" w:type="dxa"/>
            <w:vAlign w:val="bottom"/>
            <w:tcBorders>
              <w:bottom w:val="single" w:sz="8" w:color="CCEEFF"/>
            </w:tcBorders>
          </w:tcPr>
          <w:p>
            <w:pPr>
              <w:spacing w:after="0"/>
              <w:rPr>
                <w:sz w:val="19"/>
                <w:szCs w:val="19"/>
                <w:color w:val="auto"/>
              </w:rPr>
            </w:pPr>
          </w:p>
        </w:tc>
        <w:tc>
          <w:tcPr>
            <w:tcW w:w="120" w:type="dxa"/>
            <w:vAlign w:val="bottom"/>
            <w:tcBorders>
              <w:top w:val="single" w:sz="8" w:color="auto"/>
              <w:bottom w:val="single" w:sz="8" w:color="auto"/>
            </w:tcBorders>
          </w:tcPr>
          <w:p>
            <w:pPr>
              <w:spacing w:after="0"/>
              <w:rPr>
                <w:sz w:val="19"/>
                <w:szCs w:val="19"/>
                <w:color w:val="auto"/>
              </w:rPr>
            </w:pPr>
          </w:p>
        </w:tc>
        <w:tc>
          <w:tcPr>
            <w:tcW w:w="13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7,980</w:t>
            </w:r>
          </w:p>
        </w:tc>
        <w:tc>
          <w:tcPr>
            <w:tcW w:w="80" w:type="dxa"/>
            <w:vAlign w:val="bottom"/>
            <w:tcBorders>
              <w:bottom w:val="single" w:sz="8" w:color="CCEEFF"/>
            </w:tcBorders>
          </w:tcPr>
          <w:p>
            <w:pPr>
              <w:spacing w:after="0"/>
              <w:rPr>
                <w:sz w:val="19"/>
                <w:szCs w:val="19"/>
                <w:color w:val="auto"/>
              </w:rPr>
            </w:pPr>
          </w:p>
        </w:tc>
        <w:tc>
          <w:tcPr>
            <w:tcW w:w="300" w:type="dxa"/>
            <w:vAlign w:val="bottom"/>
            <w:tcBorders>
              <w:top w:val="single" w:sz="8" w:color="auto"/>
              <w:bottom w:val="single" w:sz="8" w:color="auto"/>
            </w:tcBorders>
          </w:tcPr>
          <w:p>
            <w:pPr>
              <w:spacing w:after="0"/>
              <w:rPr>
                <w:sz w:val="19"/>
                <w:szCs w:val="19"/>
                <w:color w:val="auto"/>
              </w:rPr>
            </w:pPr>
          </w:p>
        </w:tc>
        <w:tc>
          <w:tcPr>
            <w:tcW w:w="1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9,068</w:t>
            </w:r>
          </w:p>
        </w:tc>
        <w:tc>
          <w:tcPr>
            <w:tcW w:w="0" w:type="dxa"/>
            <w:vAlign w:val="bottom"/>
          </w:tcPr>
          <w:p>
            <w:pPr>
              <w:spacing w:after="0"/>
              <w:rPr>
                <w:sz w:val="1"/>
                <w:szCs w:val="1"/>
                <w:color w:val="auto"/>
              </w:rPr>
            </w:pPr>
          </w:p>
        </w:tc>
      </w:tr>
      <w:tr>
        <w:trPr>
          <w:trHeight w:val="209"/>
        </w:trPr>
        <w:tc>
          <w:tcPr>
            <w:tcW w:w="5000" w:type="dxa"/>
            <w:vAlign w:val="bottom"/>
            <w:shd w:val="clear" w:color="auto" w:fill="CCEEFF"/>
          </w:tcPr>
          <w:p>
            <w:pPr>
              <w:ind w:left="40"/>
              <w:spacing w:after="0"/>
              <w:rPr>
                <w:sz w:val="20"/>
                <w:szCs w:val="20"/>
                <w:color w:val="auto"/>
              </w:rPr>
            </w:pPr>
            <w:r>
              <w:rPr>
                <w:rFonts w:ascii="Arial" w:cs="Arial" w:eastAsia="Arial" w:hAnsi="Arial"/>
                <w:sz w:val="18"/>
                <w:szCs w:val="18"/>
                <w:b w:val="1"/>
                <w:bCs w:val="1"/>
                <w:color w:val="auto"/>
              </w:rPr>
              <w:t>Operating expenses:</w:t>
            </w:r>
          </w:p>
        </w:tc>
        <w:tc>
          <w:tcPr>
            <w:tcW w:w="160" w:type="dxa"/>
            <w:vAlign w:val="bottom"/>
            <w:shd w:val="clear" w:color="auto" w:fill="CCEEFF"/>
          </w:tcPr>
          <w:p>
            <w:pPr>
              <w:spacing w:after="0"/>
              <w:rPr>
                <w:sz w:val="18"/>
                <w:szCs w:val="18"/>
                <w:color w:val="auto"/>
              </w:rPr>
            </w:pPr>
          </w:p>
        </w:tc>
        <w:tc>
          <w:tcPr>
            <w:tcW w:w="1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5000" w:type="dxa"/>
            <w:vAlign w:val="bottom"/>
          </w:tcPr>
          <w:p>
            <w:pPr>
              <w:ind w:left="160"/>
              <w:spacing w:after="0"/>
              <w:rPr>
                <w:sz w:val="20"/>
                <w:szCs w:val="20"/>
                <w:color w:val="auto"/>
              </w:rPr>
            </w:pPr>
            <w:r>
              <w:rPr>
                <w:rFonts w:ascii="Arial" w:cs="Arial" w:eastAsia="Arial" w:hAnsi="Arial"/>
                <w:sz w:val="18"/>
                <w:szCs w:val="18"/>
                <w:color w:val="auto"/>
              </w:rPr>
              <w:t>Cost of revenue</w:t>
            </w:r>
          </w:p>
        </w:tc>
        <w:tc>
          <w:tcPr>
            <w:tcW w:w="16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732</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8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955</w:t>
            </w:r>
          </w:p>
        </w:tc>
        <w:tc>
          <w:tcPr>
            <w:tcW w:w="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1,000</w:t>
            </w:r>
          </w:p>
        </w:tc>
        <w:tc>
          <w:tcPr>
            <w:tcW w:w="0" w:type="dxa"/>
            <w:vAlign w:val="bottom"/>
          </w:tcPr>
          <w:p>
            <w:pPr>
              <w:spacing w:after="0"/>
              <w:rPr>
                <w:sz w:val="1"/>
                <w:szCs w:val="1"/>
                <w:color w:val="auto"/>
              </w:rPr>
            </w:pPr>
          </w:p>
        </w:tc>
      </w:tr>
      <w:tr>
        <w:trPr>
          <w:trHeight w:val="230"/>
        </w:trPr>
        <w:tc>
          <w:tcPr>
            <w:tcW w:w="50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Research and development</w:t>
            </w:r>
          </w:p>
        </w:tc>
        <w:tc>
          <w:tcPr>
            <w:tcW w:w="16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7,467</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23,695</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26,059</w:t>
            </w:r>
          </w:p>
        </w:tc>
        <w:tc>
          <w:tcPr>
            <w:tcW w:w="8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70,172</w:t>
            </w:r>
          </w:p>
        </w:tc>
        <w:tc>
          <w:tcPr>
            <w:tcW w:w="0" w:type="dxa"/>
            <w:vAlign w:val="bottom"/>
          </w:tcPr>
          <w:p>
            <w:pPr>
              <w:spacing w:after="0"/>
              <w:rPr>
                <w:sz w:val="1"/>
                <w:szCs w:val="1"/>
                <w:color w:val="auto"/>
              </w:rPr>
            </w:pPr>
          </w:p>
        </w:tc>
      </w:tr>
      <w:tr>
        <w:trPr>
          <w:trHeight w:val="229"/>
        </w:trPr>
        <w:tc>
          <w:tcPr>
            <w:tcW w:w="5000" w:type="dxa"/>
            <w:vAlign w:val="bottom"/>
            <w:tcBorders>
              <w:bottom w:val="single" w:sz="8" w:color="CCEEFF"/>
            </w:tcBorders>
          </w:tcPr>
          <w:p>
            <w:pPr>
              <w:ind w:left="160"/>
              <w:spacing w:after="0"/>
              <w:rPr>
                <w:sz w:val="20"/>
                <w:szCs w:val="20"/>
                <w:color w:val="auto"/>
              </w:rPr>
            </w:pPr>
            <w:r>
              <w:rPr>
                <w:rFonts w:ascii="Arial" w:cs="Arial" w:eastAsia="Arial" w:hAnsi="Arial"/>
                <w:sz w:val="18"/>
                <w:szCs w:val="18"/>
                <w:color w:val="auto"/>
              </w:rPr>
              <w:t>Selling, general and administrative</w:t>
            </w:r>
          </w:p>
        </w:tc>
        <w:tc>
          <w:tcPr>
            <w:tcW w:w="160" w:type="dxa"/>
            <w:vAlign w:val="bottom"/>
            <w:tcBorders>
              <w:bottom w:val="single" w:sz="8" w:color="auto"/>
            </w:tcBorders>
          </w:tcPr>
          <w:p>
            <w:pPr>
              <w:spacing w:after="0"/>
              <w:rPr>
                <w:sz w:val="19"/>
                <w:szCs w:val="19"/>
                <w:color w:val="auto"/>
              </w:rPr>
            </w:pP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18,667</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19,714</w:t>
            </w:r>
          </w:p>
        </w:tc>
        <w:tc>
          <w:tcPr>
            <w:tcW w:w="10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56,868</w:t>
            </w:r>
          </w:p>
        </w:tc>
        <w:tc>
          <w:tcPr>
            <w:tcW w:w="8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56,969</w:t>
            </w:r>
          </w:p>
        </w:tc>
        <w:tc>
          <w:tcPr>
            <w:tcW w:w="0" w:type="dxa"/>
            <w:vAlign w:val="bottom"/>
          </w:tcPr>
          <w:p>
            <w:pPr>
              <w:spacing w:after="0"/>
              <w:rPr>
                <w:sz w:val="1"/>
                <w:szCs w:val="1"/>
                <w:color w:val="auto"/>
              </w:rPr>
            </w:pPr>
          </w:p>
        </w:tc>
      </w:tr>
      <w:tr>
        <w:trPr>
          <w:trHeight w:val="223"/>
        </w:trPr>
        <w:tc>
          <w:tcPr>
            <w:tcW w:w="5000" w:type="dxa"/>
            <w:vAlign w:val="bottom"/>
            <w:shd w:val="clear" w:color="auto" w:fill="CCEEFF"/>
          </w:tcPr>
          <w:p>
            <w:pPr>
              <w:ind w:left="240"/>
              <w:spacing w:after="0"/>
              <w:rPr>
                <w:sz w:val="20"/>
                <w:szCs w:val="20"/>
                <w:color w:val="auto"/>
              </w:rPr>
            </w:pPr>
            <w:r>
              <w:rPr>
                <w:rFonts w:ascii="Arial" w:cs="Arial" w:eastAsia="Arial" w:hAnsi="Arial"/>
                <w:sz w:val="18"/>
                <w:szCs w:val="18"/>
                <w:color w:val="auto"/>
              </w:rPr>
              <w:t>Total operating expenses</w:t>
            </w:r>
          </w:p>
        </w:tc>
        <w:tc>
          <w:tcPr>
            <w:tcW w:w="160" w:type="dxa"/>
            <w:vAlign w:val="bottom"/>
            <w:tcBorders>
              <w:bottom w:val="single" w:sz="8" w:color="auto"/>
            </w:tcBorders>
            <w:shd w:val="clear" w:color="auto" w:fill="CCEEFF"/>
          </w:tcPr>
          <w:p>
            <w:pPr>
              <w:spacing w:after="0"/>
              <w:rPr>
                <w:sz w:val="19"/>
                <w:szCs w:val="19"/>
                <w:color w:val="auto"/>
              </w:rPr>
            </w:pPr>
          </w:p>
        </w:tc>
        <w:tc>
          <w:tcPr>
            <w:tcW w:w="1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26,866</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43,409</w:t>
            </w:r>
          </w:p>
        </w:tc>
        <w:tc>
          <w:tcPr>
            <w:tcW w:w="10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83,882</w:t>
            </w:r>
          </w:p>
        </w:tc>
        <w:tc>
          <w:tcPr>
            <w:tcW w:w="8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128,141</w:t>
            </w:r>
          </w:p>
        </w:tc>
        <w:tc>
          <w:tcPr>
            <w:tcW w:w="0" w:type="dxa"/>
            <w:vAlign w:val="bottom"/>
          </w:tcPr>
          <w:p>
            <w:pPr>
              <w:spacing w:after="0"/>
              <w:rPr>
                <w:sz w:val="1"/>
                <w:szCs w:val="1"/>
                <w:color w:val="auto"/>
              </w:rPr>
            </w:pPr>
          </w:p>
        </w:tc>
      </w:tr>
      <w:tr>
        <w:trPr>
          <w:trHeight w:val="223"/>
        </w:trPr>
        <w:tc>
          <w:tcPr>
            <w:tcW w:w="5000" w:type="dxa"/>
            <w:vAlign w:val="bottom"/>
          </w:tcPr>
          <w:p>
            <w:pPr>
              <w:ind w:left="160"/>
              <w:spacing w:after="0"/>
              <w:rPr>
                <w:sz w:val="20"/>
                <w:szCs w:val="20"/>
                <w:color w:val="auto"/>
              </w:rPr>
            </w:pPr>
            <w:r>
              <w:rPr>
                <w:rFonts w:ascii="Arial" w:cs="Arial" w:eastAsia="Arial" w:hAnsi="Arial"/>
                <w:sz w:val="18"/>
                <w:szCs w:val="18"/>
                <w:color w:val="auto"/>
              </w:rPr>
              <w:t>Loss from operations</w:t>
            </w:r>
          </w:p>
        </w:tc>
        <w:tc>
          <w:tcPr>
            <w:tcW w:w="16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(21,880)</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(42,236)</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(75,902)</w:t>
            </w:r>
          </w:p>
        </w:tc>
        <w:tc>
          <w:tcPr>
            <w:tcW w:w="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(119,073)</w:t>
            </w:r>
          </w:p>
        </w:tc>
        <w:tc>
          <w:tcPr>
            <w:tcW w:w="0" w:type="dxa"/>
            <w:vAlign w:val="bottom"/>
          </w:tcPr>
          <w:p>
            <w:pPr>
              <w:spacing w:after="0"/>
              <w:rPr>
                <w:sz w:val="1"/>
                <w:szCs w:val="1"/>
                <w:color w:val="auto"/>
              </w:rPr>
            </w:pPr>
          </w:p>
        </w:tc>
      </w:tr>
      <w:tr>
        <w:trPr>
          <w:trHeight w:val="230"/>
        </w:trPr>
        <w:tc>
          <w:tcPr>
            <w:tcW w:w="50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Interest expense</w:t>
            </w:r>
          </w:p>
        </w:tc>
        <w:tc>
          <w:tcPr>
            <w:tcW w:w="16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(886)</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(1,216)</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(2,409)</w:t>
            </w:r>
          </w:p>
        </w:tc>
        <w:tc>
          <w:tcPr>
            <w:tcW w:w="8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(3,518)</w:t>
            </w:r>
          </w:p>
        </w:tc>
        <w:tc>
          <w:tcPr>
            <w:tcW w:w="0" w:type="dxa"/>
            <w:vAlign w:val="bottom"/>
          </w:tcPr>
          <w:p>
            <w:pPr>
              <w:spacing w:after="0"/>
              <w:rPr>
                <w:sz w:val="1"/>
                <w:szCs w:val="1"/>
                <w:color w:val="auto"/>
              </w:rPr>
            </w:pPr>
          </w:p>
        </w:tc>
      </w:tr>
      <w:tr>
        <w:trPr>
          <w:trHeight w:val="229"/>
        </w:trPr>
        <w:tc>
          <w:tcPr>
            <w:tcW w:w="5000" w:type="dxa"/>
            <w:vAlign w:val="bottom"/>
          </w:tcPr>
          <w:p>
            <w:pPr>
              <w:ind w:left="160"/>
              <w:spacing w:after="0"/>
              <w:rPr>
                <w:sz w:val="20"/>
                <w:szCs w:val="20"/>
                <w:color w:val="auto"/>
              </w:rPr>
            </w:pPr>
            <w:r>
              <w:rPr>
                <w:rFonts w:ascii="Arial" w:cs="Arial" w:eastAsia="Arial" w:hAnsi="Arial"/>
                <w:sz w:val="18"/>
                <w:szCs w:val="18"/>
                <w:color w:val="auto"/>
                <w:w w:val="95"/>
              </w:rPr>
              <w:t>Non-cash interest expense related to the sale of future royalties</w:t>
            </w:r>
          </w:p>
        </w:tc>
        <w:tc>
          <w:tcPr>
            <w:tcW w:w="16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(831)</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8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(841)</w:t>
            </w:r>
          </w:p>
        </w:tc>
        <w:tc>
          <w:tcPr>
            <w:tcW w:w="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50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Other income (expense), net</w:t>
            </w:r>
          </w:p>
        </w:tc>
        <w:tc>
          <w:tcPr>
            <w:tcW w:w="160" w:type="dxa"/>
            <w:vAlign w:val="bottom"/>
            <w:tcBorders>
              <w:bottom w:val="single" w:sz="8" w:color="auto"/>
            </w:tcBorders>
            <w:shd w:val="clear" w:color="auto" w:fill="CCEEFF"/>
          </w:tcPr>
          <w:p>
            <w:pPr>
              <w:spacing w:after="0"/>
              <w:rPr>
                <w:sz w:val="19"/>
                <w:szCs w:val="19"/>
                <w:color w:val="auto"/>
              </w:rPr>
            </w:pPr>
          </w:p>
        </w:tc>
        <w:tc>
          <w:tcPr>
            <w:tcW w:w="1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704</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(134)</w:t>
            </w:r>
          </w:p>
        </w:tc>
        <w:tc>
          <w:tcPr>
            <w:tcW w:w="10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1,258</w:t>
            </w:r>
          </w:p>
        </w:tc>
        <w:tc>
          <w:tcPr>
            <w:tcW w:w="8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664</w:t>
            </w:r>
          </w:p>
        </w:tc>
        <w:tc>
          <w:tcPr>
            <w:tcW w:w="0" w:type="dxa"/>
            <w:vAlign w:val="bottom"/>
          </w:tcPr>
          <w:p>
            <w:pPr>
              <w:spacing w:after="0"/>
              <w:rPr>
                <w:sz w:val="1"/>
                <w:szCs w:val="1"/>
                <w:color w:val="auto"/>
              </w:rPr>
            </w:pPr>
          </w:p>
        </w:tc>
      </w:tr>
      <w:tr>
        <w:trPr>
          <w:trHeight w:val="223"/>
        </w:trPr>
        <w:tc>
          <w:tcPr>
            <w:tcW w:w="5000" w:type="dxa"/>
            <w:vAlign w:val="bottom"/>
          </w:tcPr>
          <w:p>
            <w:pPr>
              <w:ind w:left="20"/>
              <w:spacing w:after="0"/>
              <w:rPr>
                <w:sz w:val="20"/>
                <w:szCs w:val="20"/>
                <w:color w:val="auto"/>
              </w:rPr>
            </w:pPr>
            <w:r>
              <w:rPr>
                <w:rFonts w:ascii="Arial" w:cs="Arial" w:eastAsia="Arial" w:hAnsi="Arial"/>
                <w:sz w:val="18"/>
                <w:szCs w:val="18"/>
                <w:b w:val="1"/>
                <w:bCs w:val="1"/>
                <w:color w:val="auto"/>
              </w:rPr>
              <w:t>Loss before provision for income taxes</w:t>
            </w:r>
          </w:p>
        </w:tc>
        <w:tc>
          <w:tcPr>
            <w:tcW w:w="16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(22,893)</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(43,586)</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(77,894)</w:t>
            </w:r>
          </w:p>
        </w:tc>
        <w:tc>
          <w:tcPr>
            <w:tcW w:w="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(121,927)</w:t>
            </w:r>
          </w:p>
        </w:tc>
        <w:tc>
          <w:tcPr>
            <w:tcW w:w="0" w:type="dxa"/>
            <w:vAlign w:val="bottom"/>
          </w:tcPr>
          <w:p>
            <w:pPr>
              <w:spacing w:after="0"/>
              <w:rPr>
                <w:sz w:val="1"/>
                <w:szCs w:val="1"/>
                <w:color w:val="auto"/>
              </w:rPr>
            </w:pPr>
          </w:p>
        </w:tc>
      </w:tr>
      <w:tr>
        <w:trPr>
          <w:trHeight w:val="230"/>
        </w:trPr>
        <w:tc>
          <w:tcPr>
            <w:tcW w:w="500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Provision for income taxes</w:t>
            </w:r>
          </w:p>
        </w:tc>
        <w:tc>
          <w:tcPr>
            <w:tcW w:w="160" w:type="dxa"/>
            <w:vAlign w:val="bottom"/>
            <w:shd w:val="clear" w:color="auto" w:fill="CCEEFF"/>
          </w:tcPr>
          <w:p>
            <w:pPr>
              <w:spacing w:after="0"/>
              <w:rPr>
                <w:sz w:val="19"/>
                <w:szCs w:val="19"/>
                <w:color w:val="auto"/>
              </w:rPr>
            </w:pPr>
          </w:p>
        </w:tc>
        <w:tc>
          <w:tcPr>
            <w:tcW w:w="15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34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w:t>
            </w:r>
          </w:p>
        </w:tc>
        <w:tc>
          <w:tcPr>
            <w:tcW w:w="8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223"/>
        </w:trPr>
        <w:tc>
          <w:tcPr>
            <w:tcW w:w="5000" w:type="dxa"/>
            <w:vAlign w:val="bottom"/>
          </w:tcPr>
          <w:p>
            <w:pPr>
              <w:ind w:left="20"/>
              <w:spacing w:after="0"/>
              <w:rPr>
                <w:sz w:val="20"/>
                <w:szCs w:val="20"/>
                <w:color w:val="auto"/>
              </w:rPr>
            </w:pPr>
            <w:r>
              <w:rPr>
                <w:rFonts w:ascii="Arial" w:cs="Arial" w:eastAsia="Arial" w:hAnsi="Arial"/>
                <w:sz w:val="18"/>
                <w:szCs w:val="18"/>
                <w:b w:val="1"/>
                <w:bCs w:val="1"/>
                <w:color w:val="auto"/>
              </w:rPr>
              <w:t>Net loss</w:t>
            </w: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4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(22,893)</w:t>
            </w:r>
          </w:p>
        </w:tc>
        <w:tc>
          <w:tcPr>
            <w:tcW w:w="100" w:type="dxa"/>
            <w:vAlign w:val="bottom"/>
            <w:tcBorders>
              <w:bottom w:val="single" w:sz="8" w:color="auto"/>
            </w:tcBorders>
          </w:tcPr>
          <w:p>
            <w:pPr>
              <w:spacing w:after="0"/>
              <w:rPr>
                <w:sz w:val="19"/>
                <w:szCs w:val="19"/>
                <w:color w:val="auto"/>
              </w:rPr>
            </w:pPr>
          </w:p>
        </w:tc>
        <w:tc>
          <w:tcPr>
            <w:tcW w:w="340" w:type="dxa"/>
            <w:vAlign w:val="bottom"/>
            <w:tcBorders>
              <w:top w:val="single" w:sz="8" w:color="auto"/>
              <w:bottom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1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(43,587)</w:t>
            </w:r>
          </w:p>
        </w:tc>
        <w:tc>
          <w:tcPr>
            <w:tcW w:w="100" w:type="dxa"/>
            <w:vAlign w:val="bottom"/>
            <w:tcBorders>
              <w:bottom w:val="single" w:sz="8" w:color="auto"/>
            </w:tcBorders>
          </w:tcPr>
          <w:p>
            <w:pPr>
              <w:spacing w:after="0"/>
              <w:rPr>
                <w:sz w:val="19"/>
                <w:szCs w:val="19"/>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(77,902)</w:t>
            </w:r>
          </w:p>
        </w:tc>
        <w:tc>
          <w:tcPr>
            <w:tcW w:w="80" w:type="dxa"/>
            <w:vAlign w:val="bottom"/>
            <w:tcBorders>
              <w:bottom w:val="single" w:sz="8" w:color="auto"/>
            </w:tcBorders>
          </w:tcPr>
          <w:p>
            <w:pPr>
              <w:spacing w:after="0"/>
              <w:rPr>
                <w:sz w:val="19"/>
                <w:szCs w:val="19"/>
                <w:color w:val="auto"/>
              </w:rPr>
            </w:pPr>
          </w:p>
        </w:tc>
        <w:tc>
          <w:tcPr>
            <w:tcW w:w="300" w:type="dxa"/>
            <w:vAlign w:val="bottom"/>
            <w:tcBorders>
              <w:top w:val="single" w:sz="8" w:color="auto"/>
              <w:bottom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1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(121,931)</w:t>
            </w:r>
          </w:p>
        </w:tc>
        <w:tc>
          <w:tcPr>
            <w:tcW w:w="0" w:type="dxa"/>
            <w:vAlign w:val="bottom"/>
          </w:tcPr>
          <w:p>
            <w:pPr>
              <w:spacing w:after="0"/>
              <w:rPr>
                <w:sz w:val="1"/>
                <w:szCs w:val="1"/>
                <w:color w:val="auto"/>
              </w:rPr>
            </w:pPr>
          </w:p>
        </w:tc>
      </w:tr>
      <w:tr>
        <w:trPr>
          <w:trHeight w:val="20"/>
        </w:trPr>
        <w:tc>
          <w:tcPr>
            <w:tcW w:w="500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8"/>
        </w:trPr>
        <w:tc>
          <w:tcPr>
            <w:tcW w:w="50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Net loss per common share, basic and diluted</w:t>
            </w: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(0.14)</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(0.42)</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(0.53)</w:t>
            </w:r>
          </w:p>
        </w:tc>
        <w:tc>
          <w:tcPr>
            <w:tcW w:w="8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(1.21)</w:t>
            </w:r>
          </w:p>
        </w:tc>
        <w:tc>
          <w:tcPr>
            <w:tcW w:w="0" w:type="dxa"/>
            <w:vAlign w:val="bottom"/>
          </w:tcPr>
          <w:p>
            <w:pPr>
              <w:spacing w:after="0"/>
              <w:rPr>
                <w:sz w:val="1"/>
                <w:szCs w:val="1"/>
                <w:color w:val="auto"/>
              </w:rPr>
            </w:pPr>
          </w:p>
        </w:tc>
      </w:tr>
      <w:tr>
        <w:trPr>
          <w:trHeight w:val="20"/>
        </w:trPr>
        <w:tc>
          <w:tcPr>
            <w:tcW w:w="5000" w:type="dxa"/>
            <w:vAlign w:val="bottom"/>
            <w:tcBorders>
              <w:top w:val="single" w:sz="8" w:color="CCEEFF"/>
              <w:bottom w:val="single" w:sz="8" w:color="CCEEFF"/>
            </w:tcBorders>
            <w:vMerge w:val="restart"/>
          </w:tcPr>
          <w:p>
            <w:pPr>
              <w:ind w:left="20"/>
              <w:spacing w:after="0"/>
              <w:rPr>
                <w:sz w:val="20"/>
                <w:szCs w:val="20"/>
                <w:color w:val="auto"/>
              </w:rPr>
            </w:pPr>
            <w:r>
              <w:rPr>
                <w:rFonts w:ascii="Arial" w:cs="Arial" w:eastAsia="Arial" w:hAnsi="Arial"/>
                <w:sz w:val="18"/>
                <w:szCs w:val="18"/>
                <w:b w:val="1"/>
                <w:bCs w:val="1"/>
                <w:color w:val="auto"/>
                <w:w w:val="90"/>
              </w:rPr>
              <w:t>Shares used in computing net loss per share - basic and diluted</w:t>
            </w: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4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5000" w:type="dxa"/>
            <w:vAlign w:val="bottom"/>
            <w:vMerge w:val="continue"/>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40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165,104,789</w:t>
            </w:r>
          </w:p>
        </w:tc>
        <w:tc>
          <w:tcPr>
            <w:tcW w:w="100" w:type="dxa"/>
            <w:vAlign w:val="bottom"/>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118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104,144,606</w:t>
            </w:r>
          </w:p>
        </w:tc>
        <w:tc>
          <w:tcPr>
            <w:tcW w:w="100" w:type="dxa"/>
            <w:vAlign w:val="bottom"/>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32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147,319,818</w:t>
            </w:r>
          </w:p>
        </w:tc>
        <w:tc>
          <w:tcPr>
            <w:tcW w:w="80" w:type="dxa"/>
            <w:vAlign w:val="bottom"/>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100,480,156</w:t>
            </w:r>
          </w:p>
        </w:tc>
        <w:tc>
          <w:tcPr>
            <w:tcW w:w="0" w:type="dxa"/>
            <w:vAlign w:val="bottom"/>
          </w:tcPr>
          <w:p>
            <w:pPr>
              <w:spacing w:after="0"/>
              <w:rPr>
                <w:sz w:val="1"/>
                <w:szCs w:val="1"/>
                <w:color w:val="auto"/>
              </w:rPr>
            </w:pPr>
          </w:p>
        </w:tc>
      </w:tr>
      <w:tr>
        <w:trPr>
          <w:trHeight w:val="21"/>
        </w:trPr>
        <w:tc>
          <w:tcPr>
            <w:tcW w:w="50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 w:lineRule="exact"/>
        <w:rPr>
          <w:sz w:val="20"/>
          <w:szCs w:val="20"/>
          <w:color w:val="auto"/>
        </w:rPr>
      </w:pPr>
    </w:p>
    <w:sectPr>
      <w:pgSz w:w="11900" w:h="16838" w:orient="portrait"/>
      <w:cols w:equalWidth="0" w:num="1">
        <w:col w:w="11240"/>
      </w:cols>
      <w:pgMar w:left="320" w:top="1440"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2AE8944A"/>
    <w:multiLevelType w:val="hybridMultilevel"/>
    <w:lvl w:ilvl="0">
      <w:lvlJc w:val="left"/>
      <w:lvlText w:val="☐"/>
      <w:numFmt w:val="bullet"/>
      <w:start w:val="1"/>
    </w:lvl>
  </w:abstractNum>
  <w:abstractNum w:abstractNumId="1">
    <w:nsid w:val="625558EC"/>
    <w:multiLevelType w:val="hybridMultilevel"/>
    <w:lvl w:ilvl="0">
      <w:lvlJc w:val="left"/>
      <w:lvlText w:val="•"/>
      <w:numFmt w:val="bullet"/>
      <w:start w:val="1"/>
    </w:lvl>
  </w:abstractNum>
  <w:abstractNum w:abstractNumId="2">
    <w:nsid w:val="238E1F29"/>
    <w:multiLevelType w:val="hybridMultilevel"/>
    <w:lvl w:ilvl="0">
      <w:lvlJc w:val="left"/>
      <w:lvlText w:val="•"/>
      <w:numFmt w:val="bullet"/>
      <w:start w:val="1"/>
    </w:lvl>
  </w:abstractNum>
  <w:abstractNum w:abstractNumId="3">
    <w:nsid w:val="46E87CCD"/>
    <w:multiLevelType w:val="hybridMultilevel"/>
    <w:lvl w:ilvl="0">
      <w:lvlJc w:val="left"/>
      <w:lvlText w:val="•"/>
      <w:numFmt w:val="bullet"/>
      <w:start w:val="1"/>
    </w:lvl>
  </w:abstractNum>
  <w:abstractNum w:abstractNumId="4">
    <w:nsid w:val="3D1B58BA"/>
    <w:multiLevelType w:val="hybridMultilevel"/>
    <w:lvl w:ilvl="0">
      <w:lvlJc w:val="left"/>
      <w:lvlText w:val="•"/>
      <w:numFmt w:val="bullet"/>
      <w:start w:val="1"/>
    </w:lvl>
  </w:abstractNum>
  <w:abstractNum w:abstractNumId="5">
    <w:nsid w:val="507ED7AB"/>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jpe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jpeg"/><Relationship Id="rId23" Type="http://schemas.openxmlformats.org/officeDocument/2006/relationships/image" Target="media/image16.png"/><Relationship Id="rId24" Type="http://schemas.openxmlformats.org/officeDocument/2006/relationships/image" Target="media/image17.jpeg"/><Relationship Id="rId25" Type="http://schemas.openxmlformats.org/officeDocument/2006/relationships/image" Target="media/image18.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2022-11-03T15:25:28Z</dcterms:created>
  <dcterms:modified xsi:type="dcterms:W3CDTF">2022-11-03T15:25:28Z</dcterms:modified>
</cp:coreProperties>
</file>