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13, 2025, Ardelyx, Inc. (the “Company”) announced:</w:t>
      </w:r>
    </w:p>
    <w:p>
      <w:pPr>
        <w:spacing w:after="0" w:line="249" w:lineRule="exact"/>
        <w:rPr>
          <w:sz w:val="20"/>
          <w:szCs w:val="20"/>
          <w:color w:val="auto"/>
        </w:rPr>
      </w:pPr>
    </w:p>
    <w:p>
      <w:pPr>
        <w:ind w:left="660" w:right="380" w:hanging="328"/>
        <w:spacing w:after="0" w:line="23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U.S. net product sales revenue of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of approximately $54 million for the fourth quarter ended December 31, 2024, and approximately $158 million for the full year ended December 31, 2024.</w:t>
      </w:r>
    </w:p>
    <w:p>
      <w:pPr>
        <w:spacing w:after="0" w:line="1" w:lineRule="exact"/>
        <w:rPr>
          <w:rFonts w:ascii="Times New Roman" w:cs="Times New Roman" w:eastAsia="Times New Roman" w:hAnsi="Times New Roman"/>
          <w:sz w:val="18"/>
          <w:szCs w:val="18"/>
          <w:color w:val="auto"/>
        </w:rPr>
      </w:pPr>
    </w:p>
    <w:p>
      <w:pPr>
        <w:ind w:left="660" w:right="280" w:hanging="328"/>
        <w:spacing w:after="0" w:line="21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U.S. net product sales revenue of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of approximately $57 million for the fourth quarter ended December 31, 2024, and approximately $161 million for the full year ended December 31, 2024.</w:t>
      </w:r>
    </w:p>
    <w:p>
      <w:pPr>
        <w:spacing w:after="0" w:line="22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also announced that as of December 31, 2024, it had cash, cash equivalents, and short-term investments of approximately $250 million, unaudited.</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amounts are preliminary and are subject to adjustment in connection with preparation of audited financial statements. As a result, these amounts may differ materially from the amounts that will be reflected in the Company’s financial statements for the year ended December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financial data included in this Current Report on Form 8-K has been prepared by, and is the responsibility of, the Company’s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Ernst &amp; Young LLP has not audited, reviewed, examined, compiled, nor applied agreed-upon procedures with respect to the preliminary financial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Ernst &amp; Young LLP does not express an opinion or any other form of assurance with respect thereto.</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2.02 is incorporated into this Item 8.01 by reference.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ind w:left="380"/>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January 13, 2025</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and Operations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2025-01-13T07:11:49Z</dcterms:created>
  <dcterms:modified xsi:type="dcterms:W3CDTF">2025-01-13T07:11:49Z</dcterms:modified>
</cp:coreProperties>
</file>