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6149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1499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974"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RAAB MICHAEL</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1340" w:type="dxa"/>
            <w:vAlign w:val="bottom"/>
          </w:tcPr>
          <w:p>
            <w:pPr>
              <w:ind w:left="180"/>
              <w:spacing w:after="0"/>
              <w:rPr>
                <w:sz w:val="20"/>
                <w:szCs w:val="20"/>
                <w:color w:val="auto"/>
              </w:rPr>
            </w:pPr>
            <w:r>
              <w:rPr>
                <w:rFonts w:ascii="Arial" w:cs="Arial" w:eastAsia="Arial" w:hAnsi="Arial"/>
                <w:sz w:val="13"/>
                <w:szCs w:val="13"/>
                <w:color w:val="auto"/>
              </w:rPr>
              <w:t>(First)</w:t>
            </w:r>
          </w:p>
        </w:tc>
        <w:tc>
          <w:tcPr>
            <w:tcW w:w="126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ARDELYX, INC.</w:t>
            </w:r>
          </w:p>
        </w:tc>
        <w:tc>
          <w:tcPr>
            <w:tcW w:w="126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9"/>
              </w:rPr>
              <w:t>400 FIFTH AVENUE, SUITE 210</w:t>
            </w:r>
          </w:p>
        </w:tc>
        <w:tc>
          <w:tcPr>
            <w:tcW w:w="126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r>
      <w:tr>
        <w:trPr>
          <w:trHeight w:val="25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3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340" w:type="dxa"/>
            <w:vAlign w:val="bottom"/>
          </w:tcPr>
          <w:p>
            <w:pPr>
              <w:ind w:left="180"/>
              <w:spacing w:after="0"/>
              <w:rPr>
                <w:sz w:val="20"/>
                <w:szCs w:val="20"/>
                <w:color w:val="auto"/>
              </w:rPr>
            </w:pPr>
            <w:r>
              <w:rPr>
                <w:rFonts w:ascii="Arial" w:cs="Arial" w:eastAsia="Arial" w:hAnsi="Arial"/>
                <w:sz w:val="13"/>
                <w:szCs w:val="13"/>
                <w:color w:val="auto"/>
              </w:rPr>
              <w:t>(State)</w:t>
            </w:r>
          </w:p>
        </w:tc>
        <w:tc>
          <w:tcPr>
            <w:tcW w:w="126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ARDELYX,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ARDX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40" w:type="dxa"/>
            <w:vAlign w:val="bottom"/>
            <w:tcBorders>
              <w:bottom w:val="single" w:sz="8" w:color="0000EE"/>
            </w:tcBorders>
          </w:tcPr>
          <w:p>
            <w:pPr>
              <w:spacing w:after="0"/>
              <w:rPr>
                <w:sz w:val="3"/>
                <w:szCs w:val="3"/>
                <w:color w:val="auto"/>
              </w:rPr>
            </w:pPr>
          </w:p>
        </w:tc>
        <w:tc>
          <w:tcPr>
            <w:tcW w:w="2300" w:type="dxa"/>
            <w:vAlign w:val="bottom"/>
          </w:tcPr>
          <w:p>
            <w:pPr>
              <w:spacing w:after="0"/>
              <w:rPr>
                <w:sz w:val="3"/>
                <w:szCs w:val="3"/>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300" w:type="dxa"/>
            <w:vAlign w:val="bottom"/>
            <w:tcBorders>
              <w:bottom w:val="single" w:sz="8" w:color="2C2C2C"/>
            </w:tcBorders>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07/29/2024</w:t>
            </w:r>
          </w:p>
        </w:tc>
        <w:tc>
          <w:tcPr>
            <w:tcW w:w="230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40" w:type="dxa"/>
            <w:vAlign w:val="bottom"/>
            <w:gridSpan w:val="3"/>
            <w:vMerge w:val="continue"/>
          </w:tcPr>
          <w:p>
            <w:pPr>
              <w:spacing w:after="0"/>
              <w:rPr>
                <w:sz w:val="10"/>
                <w:szCs w:val="10"/>
                <w:color w:val="auto"/>
              </w:rPr>
            </w:pPr>
          </w:p>
        </w:tc>
        <w:tc>
          <w:tcPr>
            <w:tcW w:w="2300" w:type="dxa"/>
            <w:vAlign w:val="bottom"/>
          </w:tcPr>
          <w:p>
            <w:pPr>
              <w:spacing w:after="0"/>
              <w:rPr>
                <w:sz w:val="10"/>
                <w:szCs w:val="10"/>
                <w:color w:val="auto"/>
              </w:rPr>
            </w:pPr>
          </w:p>
        </w:tc>
        <w:tc>
          <w:tcPr>
            <w:tcW w:w="328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7"/>
                <w:szCs w:val="17"/>
                <w:color w:val="0000FF"/>
              </w:rPr>
              <w:t>President &amp; CEO</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97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07/29/2024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30,000</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0.99</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1,290,463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07/29/2024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30,000</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5.6438</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1,260,463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24,364</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0.99</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07/29/2024</w:t>
            </w:r>
          </w:p>
        </w:tc>
        <w:tc>
          <w:tcPr>
            <w:tcW w:w="1140" w:type="dxa"/>
            <w:vAlign w:val="bottom"/>
          </w:tcPr>
          <w:p>
            <w:pPr>
              <w:spacing w:after="0"/>
              <w:rPr>
                <w:sz w:val="16"/>
                <w:szCs w:val="16"/>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30,000</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01/06/2032</w:t>
            </w: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80"/>
              <w:spacing w:after="0" w:line="194" w:lineRule="exact"/>
              <w:rPr>
                <w:sz w:val="20"/>
                <w:szCs w:val="20"/>
                <w:color w:val="auto"/>
              </w:rPr>
            </w:pPr>
            <w:r>
              <w:rPr>
                <w:rFonts w:ascii="Times New Roman" w:cs="Times New Roman" w:eastAsia="Times New Roman" w:hAnsi="Times New Roman"/>
                <w:sz w:val="17"/>
                <w:szCs w:val="17"/>
                <w:color w:val="0000FF"/>
              </w:rPr>
              <w:t>30,000</w:t>
            </w:r>
          </w:p>
        </w:tc>
        <w:tc>
          <w:tcPr>
            <w:tcW w:w="16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605,000</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made pursuant to a 10b5-1 trading plan adopted by the Reporting Person on December 13, 2023.</w:t>
      </w:r>
    </w:p>
    <w:p>
      <w:pPr>
        <w:spacing w:after="0" w:line="43" w:lineRule="exact"/>
        <w:rPr>
          <w:rFonts w:ascii="Times New Roman" w:cs="Times New Roman" w:eastAsia="Times New Roman" w:hAnsi="Times New Roman"/>
          <w:sz w:val="13"/>
          <w:szCs w:val="13"/>
          <w:color w:val="008000"/>
        </w:rPr>
      </w:pPr>
    </w:p>
    <w:p>
      <w:pPr>
        <w:jc w:val="both"/>
        <w:ind w:left="40" w:right="3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executed in multiple trades in prices ranging from $5.61 to $5.695, inclusive. The price reported in Column 4 above reflects the weighted average sales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Michael G. Raab, Trustee of the Michael G. Raab Living Trust dated July 25, 2012.</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owned directly by trusts for the benefit of the Reporting Person's children.</w:t>
      </w:r>
    </w:p>
    <w:p>
      <w:pPr>
        <w:spacing w:after="0" w:line="43" w:lineRule="exact"/>
        <w:rPr>
          <w:rFonts w:ascii="Times New Roman" w:cs="Times New Roman" w:eastAsia="Times New Roman" w:hAnsi="Times New Roman"/>
          <w:sz w:val="13"/>
          <w:szCs w:val="13"/>
          <w:color w:val="008000"/>
        </w:rPr>
      </w:pPr>
    </w:p>
    <w:p>
      <w:pPr>
        <w:ind w:left="40" w:right="4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January 6, 2022, subject to the Reporting Person's continued employment or service relationship with the Issuer on each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986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Michael</w:t>
      </w:r>
      <w:r>
        <w:rPr>
          <w:sz w:val="20"/>
          <w:szCs w:val="20"/>
          <w:color w:val="auto"/>
        </w:rPr>
        <w:tab/>
      </w:r>
      <w:r>
        <w:rPr>
          <w:rFonts w:ascii="Times New Roman" w:cs="Times New Roman" w:eastAsia="Times New Roman" w:hAnsi="Times New Roman"/>
          <w:sz w:val="16"/>
          <w:szCs w:val="16"/>
          <w:color w:val="0000FF"/>
        </w:rPr>
        <w:t>07/31/2024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18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18440"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97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2140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2024-07-31T18:57:01Z</dcterms:created>
  <dcterms:modified xsi:type="dcterms:W3CDTF">2024-07-31T18:57:01Z</dcterms:modified>
</cp:coreProperties>
</file>