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2"/>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ind w:left="1280"/>
              <w:spacing w:after="0"/>
              <w:rPr>
                <w:sz w:val="20"/>
                <w:szCs w:val="20"/>
                <w:color w:val="auto"/>
              </w:rPr>
            </w:pPr>
            <w:r>
              <w:rPr>
                <w:rFonts w:ascii="Arial" w:cs="Arial" w:eastAsia="Arial" w:hAnsi="Arial"/>
                <w:sz w:val="18"/>
                <w:szCs w:val="18"/>
                <w:b w:val="1"/>
                <w:bCs w:val="1"/>
                <w:color w:val="auto"/>
              </w:rPr>
              <w:t>001-36485</w:t>
            </w:r>
          </w:p>
        </w:tc>
        <w:tc>
          <w:tcPr>
            <w:tcW w:w="2680" w:type="dxa"/>
            <w:vAlign w:val="bottom"/>
          </w:tcPr>
          <w:p>
            <w:pPr>
              <w:jc w:val="center"/>
              <w:ind w:left="1182"/>
              <w:spacing w:after="0"/>
              <w:rPr>
                <w:sz w:val="20"/>
                <w:szCs w:val="20"/>
                <w:color w:val="auto"/>
              </w:rPr>
            </w:pPr>
            <w:r>
              <w:rPr>
                <w:rFonts w:ascii="Arial" w:cs="Arial" w:eastAsia="Arial" w:hAnsi="Arial"/>
                <w:sz w:val="18"/>
                <w:szCs w:val="18"/>
                <w:b w:val="1"/>
                <w:bCs w:val="1"/>
                <w:color w:val="auto"/>
                <w:w w:val="89"/>
              </w:rPr>
              <w:t>26-1303944</w:t>
            </w:r>
          </w:p>
        </w:tc>
      </w:tr>
      <w:tr>
        <w:trPr>
          <w:trHeight w:val="149"/>
        </w:trPr>
        <w:tc>
          <w:tcPr>
            <w:tcW w:w="2900" w:type="dxa"/>
            <w:vAlign w:val="bottom"/>
          </w:tcPr>
          <w:p>
            <w:pPr>
              <w:jc w:val="center"/>
              <w:ind w:right="1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4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2"/>
              <w:spacing w:after="0"/>
              <w:rPr>
                <w:sz w:val="20"/>
                <w:szCs w:val="20"/>
                <w:color w:val="auto"/>
              </w:rPr>
            </w:pPr>
            <w:r>
              <w:rPr>
                <w:rFonts w:ascii="Arial" w:cs="Arial" w:eastAsia="Arial" w:hAnsi="Arial"/>
                <w:sz w:val="14"/>
                <w:szCs w:val="14"/>
                <w:b w:val="1"/>
                <w:bCs w:val="1"/>
                <w:color w:val="auto"/>
                <w:w w:val="94"/>
              </w:rPr>
              <w:t>of incorporation)</w:t>
            </w:r>
          </w:p>
        </w:tc>
        <w:tc>
          <w:tcPr>
            <w:tcW w:w="334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ARDX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On January 18, 2023, Ardelyx, Inc. (the “Company”) entered into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(the “Sales Agreement”) with Jefferies LLC (“Jefferies”), pursuant to which the Company may offer and sell shares of the Company’s common stock, par value $0.0001 per share (the “Common Stock”), having an aggregate offering price of up to $150.0 million from time to time, through an “at the market offering” program under which Jefferies will act as sales agent.</w:t>
      </w:r>
    </w:p>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Under the Sales Agreement, the Company will set the parameters for the sale of shares, including the number or dollar value of shares to be issued, the time period during which sales are requested to be made, limitation on the number of shares that may be sold in any one trading day and any minimum price below which sales may not be made. Subject to the terms and conditions of the Sales Agreement, Jefferies may sell the shares by methods deemed to be an “at the market offering” as defined in Rule 415 promulgated under the Securities Act of 1933, as amended (the “Securities Act”). Jefferies will use commercially reasonable efforts in conducting such sales activities consistent with its normal trading sales practices, on mutually agreed terms between Jefferies and the Company. No assurance can be given that the Company will sell any shares of common stock under the Sales Agreement, or, if it does, as to the price or amount of shares of common stock that it sells or the dates when such sales will take place. The Sales Agreement may be terminated by either party by five trading days’ written notice to the other party for any reason, subject to further qualifications as described in the Sales Agreement.</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Sales Agreement provides that Jefferies will be entitled to compensation for its services up to 3.0% of the gross proceeds of any shares sold through Jefferies under the Sales Agreement. Jefferies and the Company have no obligation to sell any shares under the Sales Agreement and may at any time, upon notice to the other party, suspend solicitation and offers under the Sales Agreement.</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 Sales Agreement, the Company agreed to indemnify Jefferies against certain liabilities, including under the Securities Act. Further, Jefferies agreed to indemnify the Company, the Company’s board of directors and its executive officers against certain liabilities, including under the Securities Act.</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shares of common stock sold pursuant to the Sales Agreement will be issued pursuant to the Company’s shelf registration statement on Form S-3, including the prospectus supplement contained therein, filed with the Securities and Exchange Commission (the “SEC”) on January 19, 2023. The registration statement has not yet become effective. No securities may be sold under the registration statement, nor may offers to buy be accepted, prior to the time that the registration statement becomes effective.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description of the Sales Agreement is not complete and is qualified in its entirety by reference to the full text of such agreement, a copy of which is filed herewith as Exhibit 1.1 to this Current Report on Form 8-K and is incorporated herein by reference.</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Jefferies is also the agent under a certain Open Market Sale Agreement, dated August 13, 2021 (the “2021 Sales Agreement”). Under the 2021 Sales Agreement, the Company may offer and sell, from time to time, shares of Common Stock through Jefferies through an “at the market offering” as defined in Rule 415(a)(4) promulgated under the Securities Act.</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Current Report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180" w:type="dxa"/>
            <w:vAlign w:val="bottom"/>
            <w:gridSpan w:val="6"/>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840" w:type="dxa"/>
            <w:vAlign w:val="bottom"/>
            <w:gridSpan w:val="2"/>
          </w:tcPr>
          <w:p>
            <w:pPr>
              <w:spacing w:after="0"/>
              <w:rPr>
                <w:sz w:val="20"/>
                <w:szCs w:val="20"/>
                <w:color w:val="auto"/>
              </w:rPr>
            </w:pPr>
            <w:r>
              <w:rPr>
                <w:rFonts w:ascii="Arial" w:cs="Arial" w:eastAsia="Arial" w:hAnsi="Arial"/>
                <w:sz w:val="14"/>
                <w:szCs w:val="14"/>
                <w:color w:val="auto"/>
              </w:rPr>
              <w:t>No.</w:t>
            </w:r>
          </w:p>
        </w:tc>
        <w:tc>
          <w:tcPr>
            <w:tcW w:w="101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2160" w:type="dxa"/>
            <w:vAlign w:val="bottom"/>
            <w:tcBorders>
              <w:top w:val="single" w:sz="8" w:color="auto"/>
              <w:bottom w:val="single" w:sz="8" w:color="auto"/>
            </w:tcBorders>
            <w:vMerge w:val="restart"/>
          </w:tcPr>
          <w:p>
            <w:pPr>
              <w:spacing w:after="0"/>
              <w:rPr>
                <w:rFonts w:ascii="Arial" w:cs="Arial" w:eastAsia="Arial" w:hAnsi="Arial"/>
                <w:sz w:val="18"/>
                <w:szCs w:val="18"/>
                <w:color w:val="0000EE"/>
                <w:w w:val="89"/>
              </w:rPr>
            </w:pPr>
            <w:hyperlink r:id="rId18">
              <w:r>
                <w:rPr>
                  <w:rFonts w:ascii="Arial" w:cs="Arial" w:eastAsia="Arial" w:hAnsi="Arial"/>
                  <w:sz w:val="18"/>
                  <w:szCs w:val="18"/>
                  <w:color w:val="0000EE"/>
                  <w:w w:val="89"/>
                </w:rPr>
                <w:t>Open Market Sale Agreement</w:t>
              </w:r>
            </w:hyperlink>
          </w:p>
        </w:tc>
        <w:tc>
          <w:tcPr>
            <w:tcW w:w="200" w:type="dxa"/>
            <w:vAlign w:val="bottom"/>
            <w:tcBorders>
              <w:top w:val="single" w:sz="8" w:color="auto"/>
              <w:bottom w:val="single" w:sz="8" w:color="0000EE"/>
            </w:tcBorders>
          </w:tcPr>
          <w:p>
            <w:pPr>
              <w:spacing w:after="0"/>
              <w:rPr>
                <w:rFonts w:ascii="Arial" w:cs="Arial" w:eastAsia="Arial" w:hAnsi="Arial"/>
                <w:sz w:val="13"/>
                <w:szCs w:val="13"/>
                <w:color w:val="0000EE"/>
                <w:w w:val="92"/>
              </w:rPr>
            </w:pPr>
            <w:hyperlink r:id="rId18">
              <w:r>
                <w:rPr>
                  <w:rFonts w:ascii="Arial" w:cs="Arial" w:eastAsia="Arial" w:hAnsi="Arial"/>
                  <w:sz w:val="13"/>
                  <w:szCs w:val="13"/>
                  <w:color w:val="0000EE"/>
                  <w:w w:val="92"/>
                </w:rPr>
                <w:t>SM</w:t>
              </w:r>
            </w:hyperlink>
          </w:p>
        </w:tc>
        <w:tc>
          <w:tcPr>
            <w:tcW w:w="7500" w:type="dxa"/>
            <w:vAlign w:val="bottom"/>
            <w:tcBorders>
              <w:top w:val="single" w:sz="8" w:color="auto"/>
              <w:bottom w:val="single" w:sz="8" w:color="auto"/>
            </w:tcBorders>
            <w:gridSpan w:val="3"/>
            <w:vMerge w:val="restart"/>
          </w:tcPr>
          <w:p>
            <w:pPr>
              <w:spacing w:after="0"/>
              <w:rPr>
                <w:rFonts w:ascii="Arial" w:cs="Arial" w:eastAsia="Arial" w:hAnsi="Arial"/>
                <w:sz w:val="18"/>
                <w:szCs w:val="18"/>
                <w:color w:val="0000EE"/>
                <w:w w:val="90"/>
              </w:rPr>
            </w:pPr>
            <w:hyperlink r:id="rId18">
              <w:r>
                <w:rPr>
                  <w:rFonts w:ascii="Arial" w:cs="Arial" w:eastAsia="Arial" w:hAnsi="Arial"/>
                  <w:sz w:val="18"/>
                  <w:szCs w:val="18"/>
                  <w:color w:val="0000EE"/>
                  <w:w w:val="90"/>
                </w:rPr>
                <w:t>, dated January 18, 2023, by and between Ardelyx, Inc. and Jefferies LLC. (incorporated by reference to</w:t>
              </w:r>
            </w:hyperlink>
          </w:p>
        </w:tc>
        <w:tc>
          <w:tcPr>
            <w:tcW w:w="320" w:type="dxa"/>
            <w:vAlign w:val="bottom"/>
            <w:tcBorders>
              <w:top w:val="single" w:sz="8" w:color="auto"/>
              <w:bottom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Borders>
              <w:bottom w:val="single" w:sz="8" w:color="0000EE"/>
            </w:tcBorders>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00" w:type="dxa"/>
            <w:vAlign w:val="bottom"/>
            <w:tcBorders>
              <w:bottom w:val="single" w:sz="8" w:color="0000EE"/>
            </w:tcBorders>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Exhibit 1.2 to the Company’s Registration Statement on Form S-3 (File No. 333-269297) filed with the Securities and Exchange</w:t>
              </w:r>
            </w:hyperlink>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80" w:type="dxa"/>
            <w:vAlign w:val="bottom"/>
            <w:gridSpan w:val="6"/>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Commission on January 19, 2023)</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7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January 24, 2023</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and Administrative Officer</w:t>
      </w:r>
    </w:p>
    <w:sectPr>
      <w:pgSz w:w="11900" w:h="16838" w:orient="portrait"/>
      <w:cols w:equalWidth="0" w:num="1">
        <w:col w:w="10940"/>
      </w:cols>
      <w:pgMar w:left="440" w:top="29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www.sec.gov/Archives/edgar/data/1437402/000119312523010411/d429337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2023-01-24T15:36:41Z</dcterms:created>
  <dcterms:modified xsi:type="dcterms:W3CDTF">2023-01-24T15:36:41Z</dcterms:modified>
</cp:coreProperties>
</file>