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New Enterprise Associates 12, Limited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0000EE"/>
            </w:tcBorders>
            <w:gridSpan w:val="2"/>
            <w:vMerge w:val="restart"/>
          </w:tcPr>
          <w:p>
            <w:pPr>
              <w:spacing w:after="0" w:line="209" w:lineRule="exact"/>
              <w:rPr>
                <w:rFonts w:ascii="Arial" w:cs="Arial" w:eastAsia="Arial" w:hAnsi="Arial"/>
                <w:sz w:val="22"/>
                <w:szCs w:val="22"/>
                <w:color w:val="0000EE"/>
                <w:w w:val="87"/>
              </w:rPr>
            </w:pPr>
            <w:hyperlink r:id="rId12">
              <w:r>
                <w:rPr>
                  <w:rFonts w:ascii="Arial" w:cs="Arial" w:eastAsia="Arial" w:hAnsi="Arial"/>
                  <w:sz w:val="22"/>
                  <w:szCs w:val="22"/>
                  <w:color w:val="0000EE"/>
                  <w:w w:val="87"/>
                </w:rPr>
                <w:t>Partnership</w:t>
              </w:r>
            </w:hyperlink>
          </w:p>
        </w:tc>
        <w:tc>
          <w:tcPr>
            <w:tcW w:w="2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0000EE"/>
            </w:tcBorders>
            <w:gridSpan w:val="2"/>
            <w:vMerge w:val="continue"/>
          </w:tcPr>
          <w:p>
            <w:pPr>
              <w:spacing w:after="0"/>
              <w:rPr>
                <w:sz w:val="10"/>
                <w:szCs w:val="10"/>
                <w:color w:val="auto"/>
              </w:rPr>
            </w:pPr>
          </w:p>
        </w:tc>
        <w:tc>
          <w:tcPr>
            <w:tcW w:w="24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2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tcPr>
          <w:p>
            <w:pPr>
              <w:ind w:left="160"/>
              <w:spacing w:after="0" w:line="88" w:lineRule="exact"/>
              <w:rPr>
                <w:sz w:val="20"/>
                <w:szCs w:val="20"/>
                <w:color w:val="auto"/>
              </w:rPr>
            </w:pPr>
            <w:r>
              <w:rPr>
                <w:rFonts w:ascii="Arial" w:cs="Arial" w:eastAsia="Arial" w:hAnsi="Arial"/>
                <w:sz w:val="10"/>
                <w:szCs w:val="10"/>
                <w:color w:val="auto"/>
              </w:rPr>
              <w:t>below)</w:t>
            </w:r>
          </w:p>
        </w:tc>
        <w:tc>
          <w:tcPr>
            <w:tcW w:w="960" w:type="dxa"/>
            <w:vAlign w:val="bottom"/>
          </w:tcPr>
          <w:p>
            <w:pPr>
              <w:ind w:left="540"/>
              <w:spacing w:after="0" w:line="88" w:lineRule="exact"/>
              <w:rPr>
                <w:sz w:val="20"/>
                <w:szCs w:val="20"/>
                <w:color w:val="auto"/>
              </w:rPr>
            </w:pPr>
            <w:r>
              <w:rPr>
                <w:rFonts w:ascii="Arial" w:cs="Arial" w:eastAsia="Arial" w:hAnsi="Arial"/>
                <w:sz w:val="10"/>
                <w:szCs w:val="10"/>
                <w:color w:val="auto"/>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1640" w:type="dxa"/>
            <w:vAlign w:val="bottom"/>
            <w:gridSpan w:val="6"/>
          </w:tcPr>
          <w:p>
            <w:pPr>
              <w:ind w:left="160"/>
              <w:spacing w:after="0"/>
              <w:rPr>
                <w:sz w:val="20"/>
                <w:szCs w:val="20"/>
                <w:color w:val="auto"/>
              </w:rPr>
            </w:pPr>
            <w:r>
              <w:rPr>
                <w:rFonts w:ascii="Arial" w:cs="Arial" w:eastAsia="Arial" w:hAnsi="Arial"/>
                <w:sz w:val="18"/>
                <w:szCs w:val="18"/>
                <w:color w:val="0000FF"/>
              </w:rPr>
              <w:t>05/25/2018</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1954 GREENSPRING DRIVE</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gridSpan w:val="3"/>
          </w:tcPr>
          <w:p>
            <w:pPr>
              <w:spacing w:after="0"/>
              <w:rPr>
                <w:sz w:val="5"/>
                <w:szCs w:val="5"/>
                <w:color w:val="auto"/>
              </w:rPr>
            </w:pPr>
          </w:p>
        </w:tc>
        <w:tc>
          <w:tcPr>
            <w:tcW w:w="220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40" w:type="dxa"/>
            <w:vAlign w:val="bottom"/>
            <w:tcBorders>
              <w:bottom w:val="single" w:sz="8" w:color="2C2C2C"/>
            </w:tcBorders>
            <w:gridSpan w:val="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9"/>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ind w:left="80"/>
              <w:spacing w:after="0" w:line="136"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MD</w:t>
            </w:r>
          </w:p>
        </w:tc>
        <w:tc>
          <w:tcPr>
            <w:tcW w:w="860" w:type="dxa"/>
            <w:vAlign w:val="bottom"/>
            <w:vMerge w:val="restart"/>
          </w:tcPr>
          <w:p>
            <w:pPr>
              <w:spacing w:after="0"/>
              <w:rPr>
                <w:sz w:val="20"/>
                <w:szCs w:val="20"/>
                <w:color w:val="auto"/>
              </w:rPr>
            </w:pPr>
            <w:r>
              <w:rPr>
                <w:rFonts w:ascii="Arial" w:cs="Arial" w:eastAsia="Arial" w:hAnsi="Arial"/>
                <w:sz w:val="18"/>
                <w:szCs w:val="18"/>
                <w:color w:val="0000FF"/>
              </w:rPr>
              <w:t>21093</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gridSpan w:val="2"/>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6"/>
          </w:tcPr>
          <w:p>
            <w:pPr>
              <w:ind w:left="860"/>
              <w:spacing w:after="0"/>
              <w:rPr>
                <w:sz w:val="20"/>
                <w:szCs w:val="20"/>
                <w:color w:val="auto"/>
              </w:rPr>
            </w:pPr>
            <w:r>
              <w:rPr>
                <w:rFonts w:ascii="Arial" w:cs="Arial" w:eastAsia="Arial" w:hAnsi="Arial"/>
                <w:sz w:val="18"/>
                <w:szCs w:val="18"/>
                <w:color w:val="0000FF"/>
              </w:rPr>
              <w:t>05/25/2018</w:t>
            </w: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416,667</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9,169,210</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9"/>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New Enterprise Associates 12, Limited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Partnership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NEA Partners 12, Limited Partnership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1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NEA 12 GP, LLC</w:t>
        </w:r>
      </w:hyperlink>
    </w:p>
    <w:p>
      <w:pPr>
        <w:sectPr>
          <w:pgSz w:w="11900" w:h="16838" w:orient="portrait"/>
          <w:cols w:equalWidth="0" w:num="1">
            <w:col w:w="11420"/>
          </w:cols>
          <w:pgMar w:left="240" w:top="226" w:right="239" w:bottom="1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28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2820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held by New Enterprise Associates 12, Limited Partnership ("NEA 12") and indirectly held by NEA Partners 12, Limited Partnership ("NEA Partners 12"), the sole general partner of NEA 12, NEA 12 GP, LLC ("NEA 12 GP"), the sole general partner of NEA Partners 12, and the individual managers of NEA 12 GP (NEA Partners 12, NEA 12 GP and the individual managers of NEA 12 GP together, the "Indirect Reporting Persons"). The individual managers of NEA 12 GP are M. James Barrett, Peter J. Barris, Forest Baskett, Patrick J. Kerins and Scott D. Sandell. The Indirect Reporting Persons disclaim beneficial ownership within the meaning of Section 16 of the Securities Exchange Act of 1934, as amended, or otherwise of such portion of the securities of the issuer held by NEA 12 in which the Indirect Reporting Persons have no pecuniary interest.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05/30/2018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383391" TargetMode="External"/><Relationship Id="rId13" Type="http://schemas.openxmlformats.org/officeDocument/2006/relationships/hyperlink" Target="http://www.sec.gov/cgi-bin/browse-edgar?action=getcompany&amp;CIK=0001437402" TargetMode="External"/><Relationship Id="rId14" Type="http://schemas.openxmlformats.org/officeDocument/2006/relationships/hyperlink" Target="http://www.sec.gov/cgi-bin/browse-edgar?action=getcompany&amp;CIK=0001383390" TargetMode="External"/><Relationship Id="rId15" Type="http://schemas.openxmlformats.org/officeDocument/2006/relationships/hyperlink" Target="http://www.sec.gov/cgi-bin/browse-edgar?action=getcompany&amp;CIK=00013833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2019-12-24T03:58:51Z</dcterms:created>
  <dcterms:modified xsi:type="dcterms:W3CDTF">2019-12-24T03:58:51Z</dcterms:modified>
</cp:coreProperties>
</file>