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
        <w:spacing w:after="0"/>
        <w:rPr>
          <w:sz w:val="20"/>
          <w:szCs w:val="20"/>
          <w:color w:val="auto"/>
        </w:rPr>
      </w:pPr>
      <w:r>
        <w:rPr>
          <w:rFonts w:ascii="Arial" w:cs="Arial" w:eastAsia="Arial" w:hAnsi="Arial"/>
          <w:sz w:val="13"/>
          <w:szCs w:val="13"/>
          <w:b w:val="1"/>
          <w:bCs w:val="1"/>
          <w:color w:val="auto"/>
        </w:rPr>
        <w:t>As filed with the Securities and Exchange Commission on March 8, 2019</w:t>
      </w:r>
    </w:p>
    <w:p>
      <w:pPr>
        <w:ind w:left="9202"/>
        <w:spacing w:after="0" w:line="150" w:lineRule="exact"/>
        <w:rPr>
          <w:sz w:val="20"/>
          <w:szCs w:val="20"/>
          <w:color w:val="auto"/>
        </w:rPr>
      </w:pPr>
      <w:r>
        <w:rPr>
          <w:rFonts w:ascii="Arial" w:cs="Arial" w:eastAsia="Arial" w:hAnsi="Arial"/>
          <w:sz w:val="13"/>
          <w:szCs w:val="13"/>
          <w:b w:val="1"/>
          <w:bCs w:val="1"/>
          <w:color w:val="auto"/>
        </w:rPr>
        <w:t>Registration No. 333</w:t>
      </w:r>
      <w:r>
        <w:rPr>
          <w:rFonts w:ascii="MS PGothic" w:cs="MS PGothic" w:eastAsia="MS PGothic" w:hAnsi="MS PGothic"/>
          <w:sz w:val="13"/>
          <w:szCs w:val="13"/>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62230</wp:posOffset>
            </wp:positionV>
            <wp:extent cx="66865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86550"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104775</wp:posOffset>
            </wp:positionV>
            <wp:extent cx="66865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86550" cy="8255"/>
                    </a:xfrm>
                    <a:prstGeom prst="rect">
                      <a:avLst/>
                    </a:prstGeom>
                    <a:noFill/>
                  </pic:spPr>
                </pic:pic>
              </a:graphicData>
            </a:graphic>
          </wp:anchor>
        </w:drawing>
      </w:r>
    </w:p>
    <w:p>
      <w:pPr>
        <w:spacing w:after="0" w:line="172" w:lineRule="exact"/>
        <w:rPr>
          <w:sz w:val="24"/>
          <w:szCs w:val="24"/>
          <w:color w:val="auto"/>
        </w:rPr>
      </w:pPr>
    </w:p>
    <w:p>
      <w:pPr>
        <w:jc w:val="center"/>
        <w:ind w:right="-1"/>
        <w:spacing w:after="0"/>
        <w:rPr>
          <w:sz w:val="20"/>
          <w:szCs w:val="20"/>
          <w:color w:val="auto"/>
        </w:rPr>
      </w:pPr>
      <w:r>
        <w:rPr>
          <w:rFonts w:ascii="Arial" w:cs="Arial" w:eastAsia="Arial" w:hAnsi="Arial"/>
          <w:sz w:val="27"/>
          <w:szCs w:val="27"/>
          <w:b w:val="1"/>
          <w:bCs w:val="1"/>
          <w:color w:val="auto"/>
        </w:rPr>
        <w:t>UNITED STATES</w:t>
      </w:r>
    </w:p>
    <w:p>
      <w:pPr>
        <w:spacing w:after="0" w:line="30" w:lineRule="exact"/>
        <w:rPr>
          <w:sz w:val="24"/>
          <w:szCs w:val="24"/>
          <w:color w:val="auto"/>
        </w:rPr>
      </w:pPr>
    </w:p>
    <w:p>
      <w:pPr>
        <w:jc w:val="center"/>
        <w:ind w:right="-1"/>
        <w:spacing w:after="0"/>
        <w:rPr>
          <w:sz w:val="20"/>
          <w:szCs w:val="20"/>
          <w:color w:val="auto"/>
        </w:rPr>
      </w:pPr>
      <w:r>
        <w:rPr>
          <w:rFonts w:ascii="Arial" w:cs="Arial" w:eastAsia="Arial" w:hAnsi="Arial"/>
          <w:sz w:val="27"/>
          <w:szCs w:val="27"/>
          <w:b w:val="1"/>
          <w:bCs w:val="1"/>
          <w:color w:val="auto"/>
        </w:rPr>
        <w:t>SECURITIES AND EXCHANGE COMMISSION</w:t>
      </w:r>
    </w:p>
    <w:p>
      <w:pPr>
        <w:spacing w:after="0" w:line="2" w:lineRule="exact"/>
        <w:rPr>
          <w:sz w:val="24"/>
          <w:szCs w:val="24"/>
          <w:color w:val="auto"/>
        </w:rPr>
      </w:pPr>
    </w:p>
    <w:p>
      <w:pPr>
        <w:jc w:val="center"/>
        <w:ind w:right="-1"/>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2505075</wp:posOffset>
            </wp:positionH>
            <wp:positionV relativeFrom="paragraph">
              <wp:posOffset>77470</wp:posOffset>
            </wp:positionV>
            <wp:extent cx="168021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80210" cy="17145"/>
                    </a:xfrm>
                    <a:prstGeom prst="rect">
                      <a:avLst/>
                    </a:prstGeom>
                    <a:noFill/>
                  </pic:spPr>
                </pic:pic>
              </a:graphicData>
            </a:graphic>
          </wp:anchor>
        </w:drawing>
      </w:r>
    </w:p>
    <w:p>
      <w:pPr>
        <w:spacing w:after="0" w:line="210" w:lineRule="exact"/>
        <w:rPr>
          <w:sz w:val="24"/>
          <w:szCs w:val="24"/>
          <w:color w:val="auto"/>
        </w:rPr>
      </w:pPr>
    </w:p>
    <w:p>
      <w:pPr>
        <w:jc w:val="center"/>
        <w:ind w:right="-1"/>
        <w:spacing w:after="0" w:line="311" w:lineRule="exact"/>
        <w:rPr>
          <w:sz w:val="20"/>
          <w:szCs w:val="20"/>
          <w:color w:val="auto"/>
        </w:rPr>
      </w:pPr>
      <w:r>
        <w:rPr>
          <w:rFonts w:ascii="Arial" w:cs="Arial" w:eastAsia="Arial" w:hAnsi="Arial"/>
          <w:sz w:val="27"/>
          <w:szCs w:val="27"/>
          <w:b w:val="1"/>
          <w:bCs w:val="1"/>
          <w:color w:val="auto"/>
        </w:rPr>
        <w:t>FORM S</w:t>
      </w:r>
      <w:r>
        <w:rPr>
          <w:rFonts w:ascii="MS PGothic" w:cs="MS PGothic" w:eastAsia="MS PGothic" w:hAnsi="MS PGothic"/>
          <w:sz w:val="27"/>
          <w:szCs w:val="27"/>
          <w:b w:val="1"/>
          <w:bCs w:val="1"/>
          <w:color w:val="auto"/>
        </w:rPr>
        <w:t>‑</w:t>
      </w:r>
      <w:r>
        <w:rPr>
          <w:rFonts w:ascii="Arial" w:cs="Arial" w:eastAsia="Arial" w:hAnsi="Arial"/>
          <w:sz w:val="27"/>
          <w:szCs w:val="27"/>
          <w:b w:val="1"/>
          <w:bCs w:val="1"/>
          <w:color w:val="auto"/>
        </w:rPr>
        <w:t>8</w:t>
      </w:r>
    </w:p>
    <w:p>
      <w:pPr>
        <w:spacing w:after="0" w:line="30" w:lineRule="exact"/>
        <w:rPr>
          <w:sz w:val="24"/>
          <w:szCs w:val="24"/>
          <w:color w:val="auto"/>
        </w:rPr>
      </w:pPr>
    </w:p>
    <w:p>
      <w:pPr>
        <w:jc w:val="center"/>
        <w:ind w:right="-1"/>
        <w:spacing w:after="0"/>
        <w:rPr>
          <w:sz w:val="20"/>
          <w:szCs w:val="20"/>
          <w:color w:val="auto"/>
        </w:rPr>
      </w:pPr>
      <w:r>
        <w:rPr>
          <w:rFonts w:ascii="Arial" w:cs="Arial" w:eastAsia="Arial" w:hAnsi="Arial"/>
          <w:sz w:val="27"/>
          <w:szCs w:val="27"/>
          <w:b w:val="1"/>
          <w:bCs w:val="1"/>
          <w:color w:val="auto"/>
        </w:rPr>
        <w:t>REGISTRATION STATEMENT</w:t>
      </w:r>
    </w:p>
    <w:p>
      <w:pPr>
        <w:spacing w:after="0" w:line="2" w:lineRule="exact"/>
        <w:rPr>
          <w:sz w:val="24"/>
          <w:szCs w:val="24"/>
          <w:color w:val="auto"/>
        </w:rPr>
      </w:pPr>
    </w:p>
    <w:p>
      <w:pPr>
        <w:jc w:val="center"/>
        <w:ind w:right="-1"/>
        <w:spacing w:after="0"/>
        <w:rPr>
          <w:sz w:val="20"/>
          <w:szCs w:val="20"/>
          <w:color w:val="auto"/>
        </w:rPr>
      </w:pPr>
      <w:r>
        <w:rPr>
          <w:rFonts w:ascii="Arial" w:cs="Arial" w:eastAsia="Arial" w:hAnsi="Arial"/>
          <w:sz w:val="16"/>
          <w:szCs w:val="16"/>
          <w:b w:val="1"/>
          <w:bCs w:val="1"/>
          <w:i w:val="1"/>
          <w:iCs w:val="1"/>
          <w:color w:val="auto"/>
        </w:rPr>
        <w:t>UNDER</w:t>
      </w:r>
    </w:p>
    <w:p>
      <w:pPr>
        <w:spacing w:after="0" w:line="8" w:lineRule="exact"/>
        <w:rPr>
          <w:sz w:val="24"/>
          <w:szCs w:val="24"/>
          <w:color w:val="auto"/>
        </w:rPr>
      </w:pPr>
    </w:p>
    <w:p>
      <w:pPr>
        <w:jc w:val="center"/>
        <w:ind w:right="-1"/>
        <w:spacing w:after="0"/>
        <w:rPr>
          <w:sz w:val="20"/>
          <w:szCs w:val="20"/>
          <w:color w:val="auto"/>
        </w:rPr>
      </w:pPr>
      <w:r>
        <w:rPr>
          <w:rFonts w:ascii="Arial" w:cs="Arial" w:eastAsia="Arial" w:hAnsi="Arial"/>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2505075</wp:posOffset>
            </wp:positionH>
            <wp:positionV relativeFrom="paragraph">
              <wp:posOffset>84455</wp:posOffset>
            </wp:positionV>
            <wp:extent cx="16802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80210" cy="8890"/>
                    </a:xfrm>
                    <a:prstGeom prst="rect">
                      <a:avLst/>
                    </a:prstGeom>
                    <a:noFill/>
                  </pic:spPr>
                </pic:pic>
              </a:graphicData>
            </a:graphic>
          </wp:anchor>
        </w:drawing>
      </w:r>
    </w:p>
    <w:p>
      <w:pPr>
        <w:spacing w:after="0" w:line="191" w:lineRule="exact"/>
        <w:rPr>
          <w:sz w:val="24"/>
          <w:szCs w:val="24"/>
          <w:color w:val="auto"/>
        </w:rPr>
      </w:pPr>
    </w:p>
    <w:p>
      <w:pPr>
        <w:jc w:val="center"/>
        <w:ind w:right="-1"/>
        <w:spacing w:after="0"/>
        <w:rPr>
          <w:sz w:val="20"/>
          <w:szCs w:val="20"/>
          <w:color w:val="auto"/>
        </w:rPr>
      </w:pPr>
      <w:r>
        <w:rPr>
          <w:rFonts w:ascii="Arial" w:cs="Arial" w:eastAsia="Arial" w:hAnsi="Arial"/>
          <w:sz w:val="38"/>
          <w:szCs w:val="38"/>
          <w:b w:val="1"/>
          <w:bCs w:val="1"/>
          <w:color w:val="auto"/>
        </w:rPr>
        <w:t>Ardelyx, Inc.</w:t>
      </w:r>
    </w:p>
    <w:p>
      <w:pPr>
        <w:spacing w:after="0" w:line="34" w:lineRule="exact"/>
        <w:rPr>
          <w:sz w:val="24"/>
          <w:szCs w:val="24"/>
          <w:color w:val="auto"/>
        </w:rPr>
      </w:pPr>
    </w:p>
    <w:p>
      <w:pPr>
        <w:jc w:val="center"/>
        <w:ind w:right="-1"/>
        <w:spacing w:after="0"/>
        <w:rPr>
          <w:sz w:val="20"/>
          <w:szCs w:val="20"/>
          <w:color w:val="auto"/>
        </w:rPr>
      </w:pPr>
      <w:r>
        <w:rPr>
          <w:rFonts w:ascii="Arial" w:cs="Arial" w:eastAsia="Arial" w:hAnsi="Arial"/>
          <w:sz w:val="13"/>
          <w:szCs w:val="13"/>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2505075</wp:posOffset>
            </wp:positionH>
            <wp:positionV relativeFrom="paragraph">
              <wp:posOffset>62230</wp:posOffset>
            </wp:positionV>
            <wp:extent cx="16802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262" w:lineRule="exact"/>
        <w:rPr>
          <w:sz w:val="24"/>
          <w:szCs w:val="24"/>
          <w:color w:val="auto"/>
        </w:rPr>
      </w:pPr>
    </w:p>
    <w:tbl>
      <w:tblPr>
        <w:tblLayout w:type="fixed"/>
        <w:tblInd w:w="1882" w:type="dxa"/>
        <w:tblCellMar>
          <w:top w:w="0" w:type="dxa"/>
          <w:left w:w="0" w:type="dxa"/>
          <w:bottom w:w="0" w:type="dxa"/>
          <w:right w:w="0" w:type="dxa"/>
        </w:tblCellMar>
      </w:tblPr>
      <w:tr>
        <w:trPr>
          <w:trHeight w:val="164"/>
        </w:trPr>
        <w:tc>
          <w:tcPr>
            <w:tcW w:w="3480" w:type="dxa"/>
            <w:vAlign w:val="bottom"/>
          </w:tcPr>
          <w:p>
            <w:pPr>
              <w:jc w:val="center"/>
              <w:ind w:right="1917"/>
              <w:spacing w:after="0"/>
              <w:rPr>
                <w:sz w:val="20"/>
                <w:szCs w:val="20"/>
                <w:color w:val="auto"/>
              </w:rPr>
            </w:pPr>
            <w:r>
              <w:rPr>
                <w:rFonts w:ascii="Arial" w:cs="Arial" w:eastAsia="Arial" w:hAnsi="Arial"/>
                <w:sz w:val="13"/>
                <w:szCs w:val="13"/>
                <w:b w:val="1"/>
                <w:bCs w:val="1"/>
                <w:color w:val="auto"/>
                <w:w w:val="87"/>
              </w:rPr>
              <w:t>Delaware</w:t>
            </w:r>
          </w:p>
        </w:tc>
        <w:tc>
          <w:tcPr>
            <w:tcW w:w="3120" w:type="dxa"/>
            <w:vAlign w:val="bottom"/>
          </w:tcPr>
          <w:p>
            <w:pPr>
              <w:jc w:val="center"/>
              <w:ind w:left="1897"/>
              <w:spacing w:after="0" w:line="150" w:lineRule="exact"/>
              <w:rPr>
                <w:sz w:val="20"/>
                <w:szCs w:val="20"/>
                <w:color w:val="auto"/>
              </w:rPr>
            </w:pPr>
            <w:r>
              <w:rPr>
                <w:rFonts w:ascii="Arial" w:cs="Arial" w:eastAsia="Arial" w:hAnsi="Arial"/>
                <w:sz w:val="13"/>
                <w:szCs w:val="13"/>
                <w:b w:val="1"/>
                <w:bCs w:val="1"/>
                <w:color w:val="auto"/>
                <w:w w:val="86"/>
              </w:rPr>
              <w:t>26</w:t>
            </w:r>
            <w:r>
              <w:rPr>
                <w:rFonts w:ascii="MS PGothic" w:cs="MS PGothic" w:eastAsia="MS PGothic" w:hAnsi="MS PGothic"/>
                <w:sz w:val="13"/>
                <w:szCs w:val="13"/>
                <w:b w:val="1"/>
                <w:bCs w:val="1"/>
                <w:color w:val="auto"/>
                <w:w w:val="86"/>
              </w:rPr>
              <w:t>‑</w:t>
            </w:r>
            <w:r>
              <w:rPr>
                <w:rFonts w:ascii="Arial" w:cs="Arial" w:eastAsia="Arial" w:hAnsi="Arial"/>
                <w:sz w:val="13"/>
                <w:szCs w:val="13"/>
                <w:b w:val="1"/>
                <w:bCs w:val="1"/>
                <w:color w:val="auto"/>
                <w:w w:val="86"/>
              </w:rPr>
              <w:t>1303944</w:t>
            </w:r>
          </w:p>
        </w:tc>
      </w:tr>
      <w:tr>
        <w:trPr>
          <w:trHeight w:val="150"/>
        </w:trPr>
        <w:tc>
          <w:tcPr>
            <w:tcW w:w="3480" w:type="dxa"/>
            <w:vAlign w:val="bottom"/>
          </w:tcPr>
          <w:p>
            <w:pPr>
              <w:jc w:val="center"/>
              <w:ind w:right="1917"/>
              <w:spacing w:after="0"/>
              <w:rPr>
                <w:sz w:val="20"/>
                <w:szCs w:val="20"/>
                <w:color w:val="auto"/>
              </w:rPr>
            </w:pPr>
            <w:r>
              <w:rPr>
                <w:rFonts w:ascii="Arial" w:cs="Arial" w:eastAsia="Arial" w:hAnsi="Arial"/>
                <w:sz w:val="13"/>
                <w:szCs w:val="13"/>
                <w:color w:val="auto"/>
                <w:w w:val="89"/>
              </w:rPr>
              <w:t>(State or other jurisdiction of</w:t>
            </w:r>
          </w:p>
        </w:tc>
        <w:tc>
          <w:tcPr>
            <w:tcW w:w="3120" w:type="dxa"/>
            <w:vAlign w:val="bottom"/>
          </w:tcPr>
          <w:p>
            <w:pPr>
              <w:jc w:val="center"/>
              <w:ind w:left="1877"/>
              <w:spacing w:after="0"/>
              <w:rPr>
                <w:sz w:val="20"/>
                <w:szCs w:val="20"/>
                <w:color w:val="auto"/>
              </w:rPr>
            </w:pPr>
            <w:r>
              <w:rPr>
                <w:rFonts w:ascii="Arial" w:cs="Arial" w:eastAsia="Arial" w:hAnsi="Arial"/>
                <w:sz w:val="13"/>
                <w:szCs w:val="13"/>
                <w:color w:val="auto"/>
                <w:w w:val="90"/>
              </w:rPr>
              <w:t>(I.R.S. Employer</w:t>
            </w:r>
          </w:p>
        </w:tc>
      </w:tr>
      <w:tr>
        <w:trPr>
          <w:trHeight w:val="160"/>
        </w:trPr>
        <w:tc>
          <w:tcPr>
            <w:tcW w:w="3480" w:type="dxa"/>
            <w:vAlign w:val="bottom"/>
          </w:tcPr>
          <w:p>
            <w:pPr>
              <w:jc w:val="center"/>
              <w:ind w:right="1897"/>
              <w:spacing w:after="0"/>
              <w:rPr>
                <w:sz w:val="20"/>
                <w:szCs w:val="20"/>
                <w:color w:val="auto"/>
              </w:rPr>
            </w:pPr>
            <w:r>
              <w:rPr>
                <w:rFonts w:ascii="Arial" w:cs="Arial" w:eastAsia="Arial" w:hAnsi="Arial"/>
                <w:sz w:val="13"/>
                <w:szCs w:val="13"/>
                <w:color w:val="auto"/>
                <w:w w:val="89"/>
              </w:rPr>
              <w:t>incorporation or organization)</w:t>
            </w:r>
          </w:p>
        </w:tc>
        <w:tc>
          <w:tcPr>
            <w:tcW w:w="3120" w:type="dxa"/>
            <w:vAlign w:val="bottom"/>
          </w:tcPr>
          <w:p>
            <w:pPr>
              <w:jc w:val="center"/>
              <w:ind w:left="1897"/>
              <w:spacing w:after="0"/>
              <w:rPr>
                <w:sz w:val="20"/>
                <w:szCs w:val="20"/>
                <w:color w:val="auto"/>
              </w:rPr>
            </w:pPr>
            <w:r>
              <w:rPr>
                <w:rFonts w:ascii="Arial" w:cs="Arial" w:eastAsia="Arial" w:hAnsi="Arial"/>
                <w:sz w:val="13"/>
                <w:szCs w:val="13"/>
                <w:color w:val="auto"/>
                <w:w w:val="91"/>
              </w:rPr>
              <w:t>Identification Number)</w:t>
            </w:r>
          </w:p>
        </w:tc>
      </w:tr>
    </w:tbl>
    <w:p>
      <w:pPr>
        <w:spacing w:after="0" w:line="186" w:lineRule="exact"/>
        <w:rPr>
          <w:sz w:val="24"/>
          <w:szCs w:val="24"/>
          <w:color w:val="auto"/>
        </w:rPr>
      </w:pPr>
    </w:p>
    <w:p>
      <w:pPr>
        <w:jc w:val="center"/>
        <w:ind w:right="-1"/>
        <w:spacing w:after="0"/>
        <w:rPr>
          <w:sz w:val="20"/>
          <w:szCs w:val="20"/>
          <w:color w:val="auto"/>
        </w:rPr>
      </w:pPr>
      <w:r>
        <w:rPr>
          <w:rFonts w:ascii="Arial" w:cs="Arial" w:eastAsia="Arial" w:hAnsi="Arial"/>
          <w:sz w:val="13"/>
          <w:szCs w:val="13"/>
          <w:b w:val="1"/>
          <w:bCs w:val="1"/>
          <w:color w:val="auto"/>
        </w:rPr>
        <w:t>34175 Ardenwood Blvd., Suite 200</w:t>
      </w:r>
    </w:p>
    <w:p>
      <w:pPr>
        <w:jc w:val="center"/>
        <w:ind w:right="-1"/>
        <w:spacing w:after="0" w:line="216" w:lineRule="auto"/>
        <w:rPr>
          <w:sz w:val="20"/>
          <w:szCs w:val="20"/>
          <w:color w:val="auto"/>
        </w:rPr>
      </w:pPr>
      <w:r>
        <w:rPr>
          <w:rFonts w:ascii="Arial" w:cs="Arial" w:eastAsia="Arial" w:hAnsi="Arial"/>
          <w:sz w:val="13"/>
          <w:szCs w:val="13"/>
          <w:b w:val="1"/>
          <w:bCs w:val="1"/>
          <w:color w:val="auto"/>
        </w:rPr>
        <w:t>Fremont, CA 94555</w:t>
      </w:r>
    </w:p>
    <w:p>
      <w:pPr>
        <w:jc w:val="center"/>
        <w:ind w:right="-1"/>
        <w:spacing w:after="0" w:line="138" w:lineRule="exact"/>
        <w:rPr>
          <w:sz w:val="20"/>
          <w:szCs w:val="20"/>
          <w:color w:val="auto"/>
        </w:rPr>
      </w:pPr>
      <w:r>
        <w:rPr>
          <w:rFonts w:ascii="Arial" w:cs="Arial" w:eastAsia="Arial" w:hAnsi="Arial"/>
          <w:sz w:val="13"/>
          <w:szCs w:val="13"/>
          <w:b w:val="1"/>
          <w:bCs w:val="1"/>
          <w:color w:val="auto"/>
        </w:rPr>
        <w:t>(510) 745</w:t>
      </w:r>
      <w:r>
        <w:rPr>
          <w:rFonts w:ascii="MS PGothic" w:cs="MS PGothic" w:eastAsia="MS PGothic" w:hAnsi="MS PGothic"/>
          <w:sz w:val="13"/>
          <w:szCs w:val="13"/>
          <w:b w:val="1"/>
          <w:bCs w:val="1"/>
          <w:color w:val="auto"/>
        </w:rPr>
        <w:t>‑</w:t>
      </w:r>
      <w:r>
        <w:rPr>
          <w:rFonts w:ascii="Arial" w:cs="Arial" w:eastAsia="Arial" w:hAnsi="Arial"/>
          <w:sz w:val="13"/>
          <w:szCs w:val="13"/>
          <w:b w:val="1"/>
          <w:bCs w:val="1"/>
          <w:color w:val="auto"/>
        </w:rPr>
        <w:t>1700</w:t>
      </w:r>
    </w:p>
    <w:p>
      <w:pPr>
        <w:jc w:val="center"/>
        <w:ind w:right="-1"/>
        <w:spacing w:after="0"/>
        <w:rPr>
          <w:sz w:val="20"/>
          <w:szCs w:val="20"/>
          <w:color w:val="auto"/>
        </w:rPr>
      </w:pPr>
      <w:r>
        <w:rPr>
          <w:rFonts w:ascii="Arial" w:cs="Arial" w:eastAsia="Arial" w:hAnsi="Arial"/>
          <w:sz w:val="11"/>
          <w:szCs w:val="11"/>
          <w:color w:val="auto"/>
        </w:rPr>
        <w:t>(Address, including zip code, and telephone number, including area code, of registrant’s principal executive offices)</w:t>
      </w:r>
    </w:p>
    <w:p>
      <w:pPr>
        <w:spacing w:after="0" w:line="59" w:lineRule="exact"/>
        <w:rPr>
          <w:sz w:val="24"/>
          <w:szCs w:val="24"/>
          <w:color w:val="auto"/>
        </w:rPr>
      </w:pPr>
    </w:p>
    <w:p>
      <w:pPr>
        <w:jc w:val="center"/>
        <w:ind w:right="-1"/>
        <w:spacing w:after="0"/>
        <w:rPr>
          <w:sz w:val="20"/>
          <w:szCs w:val="20"/>
          <w:color w:val="auto"/>
        </w:rPr>
      </w:pPr>
      <w:r>
        <w:rPr>
          <w:rFonts w:ascii="Arial" w:cs="Arial" w:eastAsia="Arial" w:hAnsi="Arial"/>
          <w:sz w:val="13"/>
          <w:szCs w:val="13"/>
          <w:b w:val="1"/>
          <w:bCs w:val="1"/>
          <w:color w:val="auto"/>
        </w:rPr>
        <w:t>2014 Equity Incentive Award Plan</w:t>
      </w:r>
    </w:p>
    <w:p>
      <w:pPr>
        <w:jc w:val="center"/>
        <w:ind w:right="-1"/>
        <w:spacing w:after="0" w:line="228" w:lineRule="auto"/>
        <w:rPr>
          <w:sz w:val="20"/>
          <w:szCs w:val="20"/>
          <w:color w:val="auto"/>
        </w:rPr>
      </w:pPr>
      <w:r>
        <w:rPr>
          <w:rFonts w:ascii="Arial" w:cs="Arial" w:eastAsia="Arial" w:hAnsi="Arial"/>
          <w:sz w:val="13"/>
          <w:szCs w:val="13"/>
          <w:b w:val="1"/>
          <w:bCs w:val="1"/>
          <w:color w:val="auto"/>
        </w:rPr>
        <w:t>2014 Employee Stock Purchase Plan</w:t>
      </w:r>
    </w:p>
    <w:p>
      <w:pPr>
        <w:spacing w:after="0" w:line="1" w:lineRule="exact"/>
        <w:rPr>
          <w:sz w:val="24"/>
          <w:szCs w:val="24"/>
          <w:color w:val="auto"/>
        </w:rPr>
      </w:pPr>
    </w:p>
    <w:p>
      <w:pPr>
        <w:jc w:val="center"/>
        <w:ind w:right="-1"/>
        <w:spacing w:after="0"/>
        <w:rPr>
          <w:sz w:val="20"/>
          <w:szCs w:val="20"/>
          <w:color w:val="auto"/>
        </w:rPr>
      </w:pPr>
      <w:r>
        <w:rPr>
          <w:rFonts w:ascii="Arial" w:cs="Arial" w:eastAsia="Arial" w:hAnsi="Arial"/>
          <w:sz w:val="7"/>
          <w:szCs w:val="7"/>
          <w:color w:val="auto"/>
        </w:rPr>
        <w:t>(Full Title of the Plan)</w:t>
      </w:r>
    </w:p>
    <w:p>
      <w:pPr>
        <w:spacing w:after="0" w:line="46" w:lineRule="exact"/>
        <w:rPr>
          <w:sz w:val="24"/>
          <w:szCs w:val="24"/>
          <w:color w:val="auto"/>
        </w:rPr>
      </w:pPr>
    </w:p>
    <w:p>
      <w:pPr>
        <w:jc w:val="center"/>
        <w:ind w:right="-1"/>
        <w:spacing w:after="0"/>
        <w:rPr>
          <w:sz w:val="20"/>
          <w:szCs w:val="20"/>
          <w:color w:val="auto"/>
        </w:rPr>
      </w:pPr>
      <w:r>
        <w:rPr>
          <w:rFonts w:ascii="Arial" w:cs="Arial" w:eastAsia="Arial" w:hAnsi="Arial"/>
          <w:sz w:val="13"/>
          <w:szCs w:val="13"/>
          <w:b w:val="1"/>
          <w:bCs w:val="1"/>
          <w:color w:val="auto"/>
        </w:rPr>
        <w:t>Michael Raab</w:t>
      </w:r>
    </w:p>
    <w:p>
      <w:pPr>
        <w:jc w:val="center"/>
        <w:ind w:right="-1"/>
        <w:spacing w:after="0" w:line="216" w:lineRule="auto"/>
        <w:rPr>
          <w:sz w:val="20"/>
          <w:szCs w:val="20"/>
          <w:color w:val="auto"/>
        </w:rPr>
      </w:pPr>
      <w:r>
        <w:rPr>
          <w:rFonts w:ascii="Arial" w:cs="Arial" w:eastAsia="Arial" w:hAnsi="Arial"/>
          <w:sz w:val="13"/>
          <w:szCs w:val="13"/>
          <w:b w:val="1"/>
          <w:bCs w:val="1"/>
          <w:color w:val="auto"/>
        </w:rPr>
        <w:t>President and Chief Executive Officer</w:t>
      </w:r>
    </w:p>
    <w:p>
      <w:pPr>
        <w:jc w:val="center"/>
        <w:ind w:right="-1"/>
        <w:spacing w:after="0" w:line="217" w:lineRule="auto"/>
        <w:rPr>
          <w:sz w:val="20"/>
          <w:szCs w:val="20"/>
          <w:color w:val="auto"/>
        </w:rPr>
      </w:pPr>
      <w:r>
        <w:rPr>
          <w:rFonts w:ascii="Arial" w:cs="Arial" w:eastAsia="Arial" w:hAnsi="Arial"/>
          <w:sz w:val="13"/>
          <w:szCs w:val="13"/>
          <w:b w:val="1"/>
          <w:bCs w:val="1"/>
          <w:color w:val="auto"/>
        </w:rPr>
        <w:t>Ardelyx, Inc.</w:t>
      </w:r>
    </w:p>
    <w:p>
      <w:pPr>
        <w:jc w:val="center"/>
        <w:ind w:right="-1"/>
        <w:spacing w:after="0" w:line="217" w:lineRule="auto"/>
        <w:rPr>
          <w:sz w:val="20"/>
          <w:szCs w:val="20"/>
          <w:color w:val="auto"/>
        </w:rPr>
      </w:pPr>
      <w:r>
        <w:rPr>
          <w:rFonts w:ascii="Arial" w:cs="Arial" w:eastAsia="Arial" w:hAnsi="Arial"/>
          <w:sz w:val="13"/>
          <w:szCs w:val="13"/>
          <w:b w:val="1"/>
          <w:bCs w:val="1"/>
          <w:color w:val="auto"/>
        </w:rPr>
        <w:t>34175 Ardenwood Blvd.</w:t>
      </w:r>
    </w:p>
    <w:p>
      <w:pPr>
        <w:jc w:val="center"/>
        <w:ind w:right="-1"/>
        <w:spacing w:after="0" w:line="216" w:lineRule="auto"/>
        <w:rPr>
          <w:sz w:val="20"/>
          <w:szCs w:val="20"/>
          <w:color w:val="auto"/>
        </w:rPr>
      </w:pPr>
      <w:r>
        <w:rPr>
          <w:rFonts w:ascii="Arial" w:cs="Arial" w:eastAsia="Arial" w:hAnsi="Arial"/>
          <w:sz w:val="13"/>
          <w:szCs w:val="13"/>
          <w:b w:val="1"/>
          <w:bCs w:val="1"/>
          <w:color w:val="auto"/>
        </w:rPr>
        <w:t>Fremont, CA 94555</w:t>
      </w:r>
    </w:p>
    <w:p>
      <w:pPr>
        <w:jc w:val="center"/>
        <w:ind w:right="-1"/>
        <w:spacing w:after="0" w:line="138" w:lineRule="exact"/>
        <w:rPr>
          <w:sz w:val="20"/>
          <w:szCs w:val="20"/>
          <w:color w:val="auto"/>
        </w:rPr>
      </w:pPr>
      <w:r>
        <w:rPr>
          <w:rFonts w:ascii="Arial" w:cs="Arial" w:eastAsia="Arial" w:hAnsi="Arial"/>
          <w:sz w:val="13"/>
          <w:szCs w:val="13"/>
          <w:b w:val="1"/>
          <w:bCs w:val="1"/>
          <w:color w:val="auto"/>
        </w:rPr>
        <w:t>(510) 745</w:t>
      </w:r>
      <w:r>
        <w:rPr>
          <w:rFonts w:ascii="MS PGothic" w:cs="MS PGothic" w:eastAsia="MS PGothic" w:hAnsi="MS PGothic"/>
          <w:sz w:val="13"/>
          <w:szCs w:val="13"/>
          <w:b w:val="1"/>
          <w:bCs w:val="1"/>
          <w:color w:val="auto"/>
        </w:rPr>
        <w:t>‑</w:t>
      </w:r>
      <w:r>
        <w:rPr>
          <w:rFonts w:ascii="Arial" w:cs="Arial" w:eastAsia="Arial" w:hAnsi="Arial"/>
          <w:sz w:val="13"/>
          <w:szCs w:val="13"/>
          <w:b w:val="1"/>
          <w:bCs w:val="1"/>
          <w:color w:val="auto"/>
        </w:rPr>
        <w:t>1700</w:t>
      </w:r>
    </w:p>
    <w:p>
      <w:pPr>
        <w:jc w:val="center"/>
        <w:ind w:right="-1"/>
        <w:spacing w:after="0"/>
        <w:rPr>
          <w:sz w:val="20"/>
          <w:szCs w:val="20"/>
          <w:color w:val="auto"/>
        </w:rPr>
      </w:pPr>
      <w:r>
        <w:rPr>
          <w:rFonts w:ascii="Arial" w:cs="Arial" w:eastAsia="Arial" w:hAnsi="Arial"/>
          <w:sz w:val="11"/>
          <w:szCs w:val="1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2505075</wp:posOffset>
            </wp:positionH>
            <wp:positionV relativeFrom="paragraph">
              <wp:posOffset>66675</wp:posOffset>
            </wp:positionV>
            <wp:extent cx="16802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80210" cy="8890"/>
                    </a:xfrm>
                    <a:prstGeom prst="rect">
                      <a:avLst/>
                    </a:prstGeom>
                    <a:noFill/>
                  </pic:spPr>
                </pic:pic>
              </a:graphicData>
            </a:graphic>
          </wp:anchor>
        </w:drawing>
      </w:r>
    </w:p>
    <w:p>
      <w:pPr>
        <w:spacing w:after="0" w:line="192" w:lineRule="exact"/>
        <w:rPr>
          <w:sz w:val="24"/>
          <w:szCs w:val="24"/>
          <w:color w:val="auto"/>
        </w:rPr>
      </w:pPr>
    </w:p>
    <w:p>
      <w:pPr>
        <w:jc w:val="center"/>
        <w:ind w:right="-1"/>
        <w:spacing w:after="0"/>
        <w:rPr>
          <w:sz w:val="20"/>
          <w:szCs w:val="20"/>
          <w:color w:val="auto"/>
        </w:rPr>
      </w:pPr>
      <w:r>
        <w:rPr>
          <w:rFonts w:ascii="Arial" w:cs="Arial" w:eastAsia="Arial" w:hAnsi="Arial"/>
          <w:sz w:val="13"/>
          <w:szCs w:val="13"/>
          <w:b w:val="1"/>
          <w:bCs w:val="1"/>
          <w:i w:val="1"/>
          <w:iCs w:val="1"/>
          <w:color w:val="auto"/>
        </w:rPr>
        <w:t>Copies to:</w:t>
      </w:r>
    </w:p>
    <w:p>
      <w:pPr>
        <w:spacing w:after="0" w:line="89" w:lineRule="exact"/>
        <w:rPr>
          <w:sz w:val="24"/>
          <w:szCs w:val="24"/>
          <w:color w:val="auto"/>
        </w:rPr>
      </w:pPr>
    </w:p>
    <w:p>
      <w:pPr>
        <w:jc w:val="center"/>
        <w:ind w:right="-1"/>
        <w:spacing w:after="0"/>
        <w:rPr>
          <w:sz w:val="20"/>
          <w:szCs w:val="20"/>
          <w:color w:val="auto"/>
        </w:rPr>
      </w:pPr>
      <w:r>
        <w:rPr>
          <w:rFonts w:ascii="Arial" w:cs="Arial" w:eastAsia="Arial" w:hAnsi="Arial"/>
          <w:sz w:val="13"/>
          <w:szCs w:val="13"/>
          <w:b w:val="1"/>
          <w:bCs w:val="1"/>
          <w:color w:val="auto"/>
        </w:rPr>
        <w:t>Mark V. Roeder, Esq.</w:t>
      </w:r>
    </w:p>
    <w:p>
      <w:pPr>
        <w:jc w:val="center"/>
        <w:ind w:right="-1"/>
        <w:spacing w:after="0" w:line="216" w:lineRule="auto"/>
        <w:rPr>
          <w:sz w:val="20"/>
          <w:szCs w:val="20"/>
          <w:color w:val="auto"/>
        </w:rPr>
      </w:pPr>
      <w:r>
        <w:rPr>
          <w:rFonts w:ascii="Arial" w:cs="Arial" w:eastAsia="Arial" w:hAnsi="Arial"/>
          <w:sz w:val="13"/>
          <w:szCs w:val="13"/>
          <w:b w:val="1"/>
          <w:bCs w:val="1"/>
          <w:color w:val="auto"/>
        </w:rPr>
        <w:t>Latham &amp; Watkins LLP</w:t>
      </w:r>
    </w:p>
    <w:p>
      <w:pPr>
        <w:jc w:val="center"/>
        <w:ind w:right="-1"/>
        <w:spacing w:after="0" w:line="217" w:lineRule="auto"/>
        <w:rPr>
          <w:sz w:val="20"/>
          <w:szCs w:val="20"/>
          <w:color w:val="auto"/>
        </w:rPr>
      </w:pPr>
      <w:r>
        <w:rPr>
          <w:rFonts w:ascii="Arial" w:cs="Arial" w:eastAsia="Arial" w:hAnsi="Arial"/>
          <w:sz w:val="13"/>
          <w:szCs w:val="13"/>
          <w:b w:val="1"/>
          <w:bCs w:val="1"/>
          <w:color w:val="auto"/>
        </w:rPr>
        <w:t>140 Scott Drive</w:t>
      </w:r>
    </w:p>
    <w:p>
      <w:pPr>
        <w:jc w:val="center"/>
        <w:ind w:right="-1"/>
        <w:spacing w:after="0" w:line="217" w:lineRule="auto"/>
        <w:rPr>
          <w:sz w:val="20"/>
          <w:szCs w:val="20"/>
          <w:color w:val="auto"/>
        </w:rPr>
      </w:pPr>
      <w:r>
        <w:rPr>
          <w:rFonts w:ascii="Arial" w:cs="Arial" w:eastAsia="Arial" w:hAnsi="Arial"/>
          <w:sz w:val="13"/>
          <w:szCs w:val="13"/>
          <w:b w:val="1"/>
          <w:bCs w:val="1"/>
          <w:color w:val="auto"/>
        </w:rPr>
        <w:t>Menlo Park, California 94025</w:t>
      </w:r>
    </w:p>
    <w:p>
      <w:pPr>
        <w:jc w:val="center"/>
        <w:ind w:right="-1"/>
        <w:spacing w:after="0" w:line="135" w:lineRule="exact"/>
        <w:rPr>
          <w:sz w:val="20"/>
          <w:szCs w:val="20"/>
          <w:color w:val="auto"/>
        </w:rPr>
      </w:pPr>
      <w:r>
        <w:rPr>
          <w:rFonts w:ascii="Arial" w:cs="Arial" w:eastAsia="Arial" w:hAnsi="Arial"/>
          <w:sz w:val="13"/>
          <w:szCs w:val="13"/>
          <w:b w:val="1"/>
          <w:bCs w:val="1"/>
          <w:color w:val="auto"/>
        </w:rPr>
        <w:t>Telephone: (650) 328</w:t>
      </w:r>
      <w:r>
        <w:rPr>
          <w:rFonts w:ascii="MS PGothic" w:cs="MS PGothic" w:eastAsia="MS PGothic" w:hAnsi="MS PGothic"/>
          <w:sz w:val="13"/>
          <w:szCs w:val="13"/>
          <w:b w:val="1"/>
          <w:bCs w:val="1"/>
          <w:color w:val="auto"/>
        </w:rPr>
        <w:t>‑</w:t>
      </w:r>
      <w:r>
        <w:rPr>
          <w:rFonts w:ascii="Arial" w:cs="Arial" w:eastAsia="Arial" w:hAnsi="Arial"/>
          <w:sz w:val="13"/>
          <w:szCs w:val="13"/>
          <w:b w:val="1"/>
          <w:bCs w:val="1"/>
          <w:color w:val="auto"/>
        </w:rPr>
        <w:t>4600</w:t>
      </w:r>
    </w:p>
    <w:p>
      <w:pPr>
        <w:spacing w:after="0" w:line="1" w:lineRule="exact"/>
        <w:rPr>
          <w:sz w:val="24"/>
          <w:szCs w:val="24"/>
          <w:color w:val="auto"/>
        </w:rPr>
      </w:pPr>
    </w:p>
    <w:p>
      <w:pPr>
        <w:jc w:val="center"/>
        <w:ind w:right="-1"/>
        <w:spacing w:after="0" w:line="150" w:lineRule="exact"/>
        <w:rPr>
          <w:sz w:val="20"/>
          <w:szCs w:val="20"/>
          <w:color w:val="auto"/>
        </w:rPr>
      </w:pPr>
      <w:r>
        <w:rPr>
          <w:rFonts w:ascii="Arial" w:cs="Arial" w:eastAsia="Arial" w:hAnsi="Arial"/>
          <w:sz w:val="13"/>
          <w:szCs w:val="13"/>
          <w:b w:val="1"/>
          <w:bCs w:val="1"/>
          <w:color w:val="auto"/>
        </w:rPr>
        <w:t>Facsimile: (650) 463</w:t>
      </w:r>
      <w:r>
        <w:rPr>
          <w:rFonts w:ascii="MS PGothic" w:cs="MS PGothic" w:eastAsia="MS PGothic" w:hAnsi="MS PGothic"/>
          <w:sz w:val="13"/>
          <w:szCs w:val="13"/>
          <w:b w:val="1"/>
          <w:bCs w:val="1"/>
          <w:color w:val="auto"/>
        </w:rPr>
        <w:t>‑</w:t>
      </w:r>
      <w:r>
        <w:rPr>
          <w:rFonts w:ascii="Arial" w:cs="Arial" w:eastAsia="Arial" w:hAnsi="Arial"/>
          <w:sz w:val="13"/>
          <w:szCs w:val="13"/>
          <w:b w:val="1"/>
          <w:bCs w:val="1"/>
          <w:color w:val="auto"/>
        </w:rPr>
        <w:t>2600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2505075</wp:posOffset>
            </wp:positionH>
            <wp:positionV relativeFrom="paragraph">
              <wp:posOffset>62230</wp:posOffset>
            </wp:positionV>
            <wp:extent cx="168021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80210" cy="17145"/>
                    </a:xfrm>
                    <a:prstGeom prst="rect">
                      <a:avLst/>
                    </a:prstGeom>
                    <a:noFill/>
                  </pic:spPr>
                </pic:pic>
              </a:graphicData>
            </a:graphic>
          </wp:anchor>
        </w:drawing>
      </w:r>
    </w:p>
    <w:p>
      <w:pPr>
        <w:spacing w:after="0" w:line="199" w:lineRule="exact"/>
        <w:rPr>
          <w:sz w:val="24"/>
          <w:szCs w:val="24"/>
          <w:color w:val="auto"/>
        </w:rPr>
      </w:pPr>
    </w:p>
    <w:p>
      <w:pPr>
        <w:ind w:left="2" w:right="80"/>
        <w:spacing w:after="0" w:line="148" w:lineRule="exact"/>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3"/>
          <w:szCs w:val="13"/>
          <w:color w:val="auto"/>
        </w:rPr>
        <w:t>‑</w:t>
      </w:r>
      <w:r>
        <w:rPr>
          <w:rFonts w:ascii="Arial" w:cs="Arial" w:eastAsia="Arial" w:hAnsi="Arial"/>
          <w:sz w:val="13"/>
          <w:szCs w:val="13"/>
          <w:color w:val="auto"/>
        </w:rPr>
        <w:t>2 of the Exchange Act.</w:t>
      </w:r>
    </w:p>
    <w:p>
      <w:pPr>
        <w:spacing w:after="0" w:line="31" w:lineRule="exact"/>
        <w:rPr>
          <w:sz w:val="24"/>
          <w:szCs w:val="24"/>
          <w:color w:val="auto"/>
        </w:rPr>
      </w:pPr>
    </w:p>
    <w:tbl>
      <w:tblPr>
        <w:tblLayout w:type="fixed"/>
        <w:tblInd w:w="2" w:type="dxa"/>
        <w:tblCellMar>
          <w:top w:w="0" w:type="dxa"/>
          <w:left w:w="0" w:type="dxa"/>
          <w:bottom w:w="0" w:type="dxa"/>
          <w:right w:w="0" w:type="dxa"/>
        </w:tblCellMar>
      </w:tblPr>
      <w:tr>
        <w:trPr>
          <w:trHeight w:val="149"/>
        </w:trPr>
        <w:tc>
          <w:tcPr>
            <w:tcW w:w="172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820" w:type="dxa"/>
            <w:vAlign w:val="bottom"/>
          </w:tcPr>
          <w:p>
            <w:pPr>
              <w:ind w:left="580"/>
              <w:spacing w:after="0" w:line="131" w:lineRule="exact"/>
              <w:rPr>
                <w:sz w:val="20"/>
                <w:szCs w:val="20"/>
                <w:color w:val="auto"/>
              </w:rPr>
            </w:pPr>
            <w:r>
              <w:rPr>
                <w:rFonts w:ascii="MS PGothic" w:cs="MS PGothic" w:eastAsia="MS PGothic" w:hAnsi="MS PGothic"/>
                <w:sz w:val="13"/>
                <w:szCs w:val="13"/>
                <w:color w:val="auto"/>
              </w:rPr>
              <w:t>☐</w:t>
            </w:r>
          </w:p>
        </w:tc>
        <w:tc>
          <w:tcPr>
            <w:tcW w:w="3680" w:type="dxa"/>
            <w:vAlign w:val="bottom"/>
          </w:tcPr>
          <w:p>
            <w:pPr>
              <w:spacing w:after="0"/>
              <w:rPr>
                <w:sz w:val="12"/>
                <w:szCs w:val="12"/>
                <w:color w:val="auto"/>
              </w:rPr>
            </w:pPr>
          </w:p>
        </w:tc>
        <w:tc>
          <w:tcPr>
            <w:tcW w:w="3340" w:type="dxa"/>
            <w:vAlign w:val="bottom"/>
          </w:tcPr>
          <w:p>
            <w:pPr>
              <w:ind w:left="1240"/>
              <w:spacing w:after="0"/>
              <w:rPr>
                <w:sz w:val="20"/>
                <w:szCs w:val="20"/>
                <w:color w:val="auto"/>
              </w:rPr>
            </w:pPr>
            <w:r>
              <w:rPr>
                <w:rFonts w:ascii="Arial" w:cs="Arial" w:eastAsia="Arial" w:hAnsi="Arial"/>
                <w:sz w:val="13"/>
                <w:szCs w:val="13"/>
                <w:color w:val="auto"/>
              </w:rPr>
              <w:t>Accelerated filer</w:t>
            </w:r>
          </w:p>
        </w:tc>
        <w:tc>
          <w:tcPr>
            <w:tcW w:w="860" w:type="dxa"/>
            <w:vAlign w:val="bottom"/>
          </w:tcPr>
          <w:p>
            <w:pPr>
              <w:ind w:left="7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48"/>
        </w:trPr>
        <w:tc>
          <w:tcPr>
            <w:tcW w:w="1720" w:type="dxa"/>
            <w:vAlign w:val="bottom"/>
          </w:tcPr>
          <w:p>
            <w:pPr>
              <w:spacing w:after="0"/>
              <w:rPr>
                <w:sz w:val="20"/>
                <w:szCs w:val="20"/>
                <w:color w:val="auto"/>
              </w:rPr>
            </w:pPr>
            <w:r>
              <w:rPr>
                <w:rFonts w:ascii="Arial" w:cs="Arial" w:eastAsia="Arial" w:hAnsi="Arial"/>
                <w:sz w:val="13"/>
                <w:szCs w:val="13"/>
                <w:color w:val="auto"/>
              </w:rPr>
              <w:t>Non-accelerated filer</w:t>
            </w:r>
          </w:p>
        </w:tc>
        <w:tc>
          <w:tcPr>
            <w:tcW w:w="820" w:type="dxa"/>
            <w:vAlign w:val="bottom"/>
          </w:tcPr>
          <w:p>
            <w:pPr>
              <w:ind w:left="580"/>
              <w:spacing w:after="0" w:line="131" w:lineRule="exact"/>
              <w:rPr>
                <w:sz w:val="20"/>
                <w:szCs w:val="20"/>
                <w:color w:val="auto"/>
              </w:rPr>
            </w:pPr>
            <w:r>
              <w:rPr>
                <w:rFonts w:ascii="MS PGothic" w:cs="MS PGothic" w:eastAsia="MS PGothic" w:hAnsi="MS PGothic"/>
                <w:sz w:val="13"/>
                <w:szCs w:val="13"/>
                <w:color w:val="auto"/>
              </w:rPr>
              <w:t>☐</w:t>
            </w:r>
          </w:p>
        </w:tc>
        <w:tc>
          <w:tcPr>
            <w:tcW w:w="3680" w:type="dxa"/>
            <w:vAlign w:val="bottom"/>
          </w:tcPr>
          <w:p>
            <w:pPr>
              <w:ind w:left="120"/>
              <w:spacing w:after="0"/>
              <w:rPr>
                <w:sz w:val="20"/>
                <w:szCs w:val="20"/>
                <w:color w:val="auto"/>
              </w:rPr>
            </w:pPr>
            <w:r>
              <w:rPr>
                <w:rFonts w:ascii="Arial" w:cs="Arial" w:eastAsia="Arial" w:hAnsi="Arial"/>
                <w:sz w:val="13"/>
                <w:szCs w:val="13"/>
                <w:color w:val="auto"/>
              </w:rPr>
              <w:t>(Do not check if a smaller reporting company)</w:t>
            </w:r>
          </w:p>
        </w:tc>
        <w:tc>
          <w:tcPr>
            <w:tcW w:w="3340" w:type="dxa"/>
            <w:vAlign w:val="bottom"/>
          </w:tcPr>
          <w:p>
            <w:pPr>
              <w:ind w:left="1240"/>
              <w:spacing w:after="0"/>
              <w:rPr>
                <w:sz w:val="20"/>
                <w:szCs w:val="20"/>
                <w:color w:val="auto"/>
              </w:rPr>
            </w:pPr>
            <w:r>
              <w:rPr>
                <w:rFonts w:ascii="Arial" w:cs="Arial" w:eastAsia="Arial" w:hAnsi="Arial"/>
                <w:sz w:val="13"/>
                <w:szCs w:val="13"/>
                <w:color w:val="auto"/>
              </w:rPr>
              <w:t>Smaller reporting company</w:t>
            </w:r>
          </w:p>
        </w:tc>
        <w:tc>
          <w:tcPr>
            <w:tcW w:w="860" w:type="dxa"/>
            <w:vAlign w:val="bottom"/>
          </w:tcPr>
          <w:p>
            <w:pPr>
              <w:ind w:left="7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99"/>
        </w:trPr>
        <w:tc>
          <w:tcPr>
            <w:tcW w:w="1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3340" w:type="dxa"/>
            <w:vAlign w:val="bottom"/>
          </w:tcPr>
          <w:p>
            <w:pPr>
              <w:ind w:left="1240"/>
              <w:spacing w:after="0"/>
              <w:rPr>
                <w:sz w:val="20"/>
                <w:szCs w:val="20"/>
                <w:color w:val="auto"/>
              </w:rPr>
            </w:pPr>
            <w:r>
              <w:rPr>
                <w:rFonts w:ascii="Arial" w:cs="Arial" w:eastAsia="Arial" w:hAnsi="Arial"/>
                <w:sz w:val="13"/>
                <w:szCs w:val="13"/>
                <w:color w:val="auto"/>
              </w:rPr>
              <w:t>Emerging growth company</w:t>
            </w:r>
          </w:p>
        </w:tc>
        <w:tc>
          <w:tcPr>
            <w:tcW w:w="860" w:type="dxa"/>
            <w:vAlign w:val="bottom"/>
          </w:tcPr>
          <w:p>
            <w:pPr>
              <w:ind w:left="74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28" w:lineRule="exact"/>
        <w:rPr>
          <w:sz w:val="24"/>
          <w:szCs w:val="24"/>
          <w:color w:val="auto"/>
        </w:rPr>
      </w:pPr>
    </w:p>
    <w:p>
      <w:pPr>
        <w:ind w:left="2" w:right="200" w:firstLine="32"/>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2505075</wp:posOffset>
            </wp:positionH>
            <wp:positionV relativeFrom="paragraph">
              <wp:posOffset>52705</wp:posOffset>
            </wp:positionV>
            <wp:extent cx="16802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166" w:lineRule="exact"/>
        <w:rPr>
          <w:sz w:val="24"/>
          <w:szCs w:val="24"/>
          <w:color w:val="auto"/>
        </w:rPr>
      </w:pPr>
    </w:p>
    <w:p>
      <w:pPr>
        <w:jc w:val="center"/>
        <w:ind w:right="-1"/>
        <w:spacing w:after="0"/>
        <w:rPr>
          <w:sz w:val="20"/>
          <w:szCs w:val="20"/>
          <w:color w:val="auto"/>
        </w:rPr>
      </w:pPr>
      <w:r>
        <w:rPr>
          <w:rFonts w:ascii="Arial" w:cs="Arial" w:eastAsia="Arial" w:hAnsi="Arial"/>
          <w:sz w:val="13"/>
          <w:szCs w:val="13"/>
          <w:b w:val="1"/>
          <w:bCs w:val="1"/>
          <w:color w:val="auto"/>
        </w:rPr>
        <w:t>CALCULATION OF REGISTRATION FEE</w:t>
      </w:r>
    </w:p>
    <w:p>
      <w:pPr>
        <w:spacing w:after="0" w:line="65" w:lineRule="exact"/>
        <w:rPr>
          <w:sz w:val="24"/>
          <w:szCs w:val="24"/>
          <w:color w:val="auto"/>
        </w:rPr>
      </w:pPr>
    </w:p>
    <w:tbl>
      <w:tblPr>
        <w:tblLayout w:type="fixed"/>
        <w:tblInd w:w="2" w:type="dxa"/>
        <w:tblCellMar>
          <w:top w:w="0" w:type="dxa"/>
          <w:left w:w="0" w:type="dxa"/>
          <w:bottom w:w="0" w:type="dxa"/>
          <w:right w:w="0" w:type="dxa"/>
        </w:tblCellMar>
      </w:tblPr>
      <w:tr>
        <w:trPr>
          <w:trHeight w:val="99"/>
        </w:trPr>
        <w:tc>
          <w:tcPr>
            <w:tcW w:w="3760" w:type="dxa"/>
            <w:vAlign w:val="bottom"/>
            <w:tcBorders>
              <w:top w:val="single" w:sz="8" w:color="auto"/>
              <w:right w:val="single" w:sz="8" w:color="auto"/>
            </w:tcBorders>
          </w:tcPr>
          <w:p>
            <w:pPr>
              <w:spacing w:after="0"/>
              <w:rPr>
                <w:sz w:val="8"/>
                <w:szCs w:val="8"/>
                <w:color w:val="auto"/>
              </w:rPr>
            </w:pPr>
          </w:p>
        </w:tc>
        <w:tc>
          <w:tcPr>
            <w:tcW w:w="1740" w:type="dxa"/>
            <w:vAlign w:val="bottom"/>
            <w:tcBorders>
              <w:top w:val="single" w:sz="8" w:color="auto"/>
              <w:right w:val="single" w:sz="8" w:color="auto"/>
            </w:tcBorders>
          </w:tcPr>
          <w:p>
            <w:pPr>
              <w:spacing w:after="0"/>
              <w:rPr>
                <w:sz w:val="8"/>
                <w:szCs w:val="8"/>
                <w:color w:val="auto"/>
              </w:rPr>
            </w:pPr>
          </w:p>
        </w:tc>
        <w:tc>
          <w:tcPr>
            <w:tcW w:w="1640" w:type="dxa"/>
            <w:vAlign w:val="bottom"/>
            <w:tcBorders>
              <w:top w:val="single" w:sz="8" w:color="auto"/>
              <w:right w:val="single" w:sz="8" w:color="auto"/>
            </w:tcBorders>
          </w:tcPr>
          <w:p>
            <w:pPr>
              <w:jc w:val="center"/>
              <w:spacing w:after="0" w:line="99" w:lineRule="exact"/>
              <w:rPr>
                <w:sz w:val="20"/>
                <w:szCs w:val="20"/>
                <w:color w:val="auto"/>
              </w:rPr>
            </w:pPr>
            <w:r>
              <w:rPr>
                <w:rFonts w:ascii="Arial" w:cs="Arial" w:eastAsia="Arial" w:hAnsi="Arial"/>
                <w:sz w:val="9"/>
                <w:szCs w:val="9"/>
                <w:b w:val="1"/>
                <w:bCs w:val="1"/>
                <w:color w:val="auto"/>
                <w:w w:val="86"/>
              </w:rPr>
              <w:t>Proposed</w:t>
            </w:r>
          </w:p>
        </w:tc>
        <w:tc>
          <w:tcPr>
            <w:tcW w:w="1760" w:type="dxa"/>
            <w:vAlign w:val="bottom"/>
            <w:tcBorders>
              <w:top w:val="single" w:sz="8" w:color="auto"/>
              <w:right w:val="single" w:sz="8" w:color="auto"/>
            </w:tcBorders>
          </w:tcPr>
          <w:p>
            <w:pPr>
              <w:jc w:val="center"/>
              <w:spacing w:after="0" w:line="99" w:lineRule="exact"/>
              <w:rPr>
                <w:sz w:val="20"/>
                <w:szCs w:val="20"/>
                <w:color w:val="auto"/>
              </w:rPr>
            </w:pPr>
            <w:r>
              <w:rPr>
                <w:rFonts w:ascii="Arial" w:cs="Arial" w:eastAsia="Arial" w:hAnsi="Arial"/>
                <w:sz w:val="9"/>
                <w:szCs w:val="9"/>
                <w:b w:val="1"/>
                <w:bCs w:val="1"/>
                <w:color w:val="auto"/>
                <w:w w:val="86"/>
              </w:rPr>
              <w:t>Proposed</w:t>
            </w:r>
          </w:p>
        </w:tc>
        <w:tc>
          <w:tcPr>
            <w:tcW w:w="1640" w:type="dxa"/>
            <w:vAlign w:val="bottom"/>
            <w:tcBorders>
              <w:top w:val="single" w:sz="8" w:color="auto"/>
            </w:tcBorders>
          </w:tcPr>
          <w:p>
            <w:pPr>
              <w:spacing w:after="0"/>
              <w:rPr>
                <w:sz w:val="8"/>
                <w:szCs w:val="8"/>
                <w:color w:val="auto"/>
              </w:rPr>
            </w:pPr>
          </w:p>
        </w:tc>
      </w:tr>
      <w:tr>
        <w:trPr>
          <w:trHeight w:val="95"/>
        </w:trPr>
        <w:tc>
          <w:tcPr>
            <w:tcW w:w="3760" w:type="dxa"/>
            <w:vAlign w:val="bottom"/>
            <w:tcBorders>
              <w:right w:val="single" w:sz="8" w:color="auto"/>
            </w:tcBorders>
          </w:tcPr>
          <w:p>
            <w:pPr>
              <w:spacing w:after="0"/>
              <w:rPr>
                <w:sz w:val="8"/>
                <w:szCs w:val="8"/>
                <w:color w:val="auto"/>
              </w:rPr>
            </w:pPr>
          </w:p>
        </w:tc>
        <w:tc>
          <w:tcPr>
            <w:tcW w:w="1740" w:type="dxa"/>
            <w:vAlign w:val="bottom"/>
            <w:tcBorders>
              <w:right w:val="single" w:sz="8" w:color="auto"/>
            </w:tcBorders>
          </w:tcPr>
          <w:p>
            <w:pPr>
              <w:jc w:val="center"/>
              <w:spacing w:after="0" w:line="95" w:lineRule="exact"/>
              <w:rPr>
                <w:sz w:val="20"/>
                <w:szCs w:val="20"/>
                <w:color w:val="auto"/>
              </w:rPr>
            </w:pPr>
            <w:r>
              <w:rPr>
                <w:rFonts w:ascii="Arial" w:cs="Arial" w:eastAsia="Arial" w:hAnsi="Arial"/>
                <w:sz w:val="9"/>
                <w:szCs w:val="9"/>
                <w:b w:val="1"/>
                <w:bCs w:val="1"/>
                <w:color w:val="auto"/>
                <w:w w:val="93"/>
              </w:rPr>
              <w:t>Amount</w:t>
            </w:r>
          </w:p>
        </w:tc>
        <w:tc>
          <w:tcPr>
            <w:tcW w:w="1640" w:type="dxa"/>
            <w:vAlign w:val="bottom"/>
            <w:tcBorders>
              <w:right w:val="single" w:sz="8" w:color="auto"/>
            </w:tcBorders>
          </w:tcPr>
          <w:p>
            <w:pPr>
              <w:jc w:val="center"/>
              <w:spacing w:after="0" w:line="95" w:lineRule="exact"/>
              <w:rPr>
                <w:sz w:val="20"/>
                <w:szCs w:val="20"/>
                <w:color w:val="auto"/>
              </w:rPr>
            </w:pPr>
            <w:r>
              <w:rPr>
                <w:rFonts w:ascii="Arial" w:cs="Arial" w:eastAsia="Arial" w:hAnsi="Arial"/>
                <w:sz w:val="9"/>
                <w:szCs w:val="9"/>
                <w:b w:val="1"/>
                <w:bCs w:val="1"/>
                <w:color w:val="auto"/>
                <w:w w:val="96"/>
              </w:rPr>
              <w:t>Maximum</w:t>
            </w:r>
          </w:p>
        </w:tc>
        <w:tc>
          <w:tcPr>
            <w:tcW w:w="1760" w:type="dxa"/>
            <w:vAlign w:val="bottom"/>
            <w:tcBorders>
              <w:right w:val="single" w:sz="8" w:color="auto"/>
            </w:tcBorders>
          </w:tcPr>
          <w:p>
            <w:pPr>
              <w:jc w:val="center"/>
              <w:spacing w:after="0" w:line="95" w:lineRule="exact"/>
              <w:rPr>
                <w:sz w:val="20"/>
                <w:szCs w:val="20"/>
                <w:color w:val="auto"/>
              </w:rPr>
            </w:pPr>
            <w:r>
              <w:rPr>
                <w:rFonts w:ascii="Arial" w:cs="Arial" w:eastAsia="Arial" w:hAnsi="Arial"/>
                <w:sz w:val="9"/>
                <w:szCs w:val="9"/>
                <w:b w:val="1"/>
                <w:bCs w:val="1"/>
                <w:color w:val="auto"/>
                <w:w w:val="96"/>
              </w:rPr>
              <w:t>Maximum</w:t>
            </w:r>
          </w:p>
        </w:tc>
        <w:tc>
          <w:tcPr>
            <w:tcW w:w="1640" w:type="dxa"/>
            <w:vAlign w:val="bottom"/>
          </w:tcPr>
          <w:p>
            <w:pPr>
              <w:spacing w:after="0"/>
              <w:rPr>
                <w:sz w:val="8"/>
                <w:szCs w:val="8"/>
                <w:color w:val="auto"/>
              </w:rPr>
            </w:pPr>
          </w:p>
        </w:tc>
      </w:tr>
      <w:tr>
        <w:trPr>
          <w:trHeight w:val="95"/>
        </w:trPr>
        <w:tc>
          <w:tcPr>
            <w:tcW w:w="3760" w:type="dxa"/>
            <w:vAlign w:val="bottom"/>
            <w:tcBorders>
              <w:right w:val="single" w:sz="8" w:color="auto"/>
            </w:tcBorders>
          </w:tcPr>
          <w:p>
            <w:pPr>
              <w:jc w:val="center"/>
              <w:spacing w:after="0" w:line="95" w:lineRule="exact"/>
              <w:rPr>
                <w:sz w:val="20"/>
                <w:szCs w:val="20"/>
                <w:color w:val="auto"/>
              </w:rPr>
            </w:pPr>
            <w:r>
              <w:rPr>
                <w:rFonts w:ascii="Arial" w:cs="Arial" w:eastAsia="Arial" w:hAnsi="Arial"/>
                <w:sz w:val="9"/>
                <w:szCs w:val="9"/>
                <w:b w:val="1"/>
                <w:bCs w:val="1"/>
                <w:color w:val="auto"/>
                <w:w w:val="87"/>
              </w:rPr>
              <w:t>Title of Securities</w:t>
            </w:r>
          </w:p>
        </w:tc>
        <w:tc>
          <w:tcPr>
            <w:tcW w:w="1740" w:type="dxa"/>
            <w:vAlign w:val="bottom"/>
            <w:tcBorders>
              <w:right w:val="single" w:sz="8" w:color="auto"/>
            </w:tcBorders>
          </w:tcPr>
          <w:p>
            <w:pPr>
              <w:jc w:val="center"/>
              <w:spacing w:after="0" w:line="95" w:lineRule="exact"/>
              <w:rPr>
                <w:sz w:val="20"/>
                <w:szCs w:val="20"/>
                <w:color w:val="auto"/>
              </w:rPr>
            </w:pPr>
            <w:r>
              <w:rPr>
                <w:rFonts w:ascii="Arial" w:cs="Arial" w:eastAsia="Arial" w:hAnsi="Arial"/>
                <w:sz w:val="9"/>
                <w:szCs w:val="9"/>
                <w:b w:val="1"/>
                <w:bCs w:val="1"/>
                <w:color w:val="auto"/>
                <w:w w:val="92"/>
              </w:rPr>
              <w:t>to be</w:t>
            </w:r>
          </w:p>
        </w:tc>
        <w:tc>
          <w:tcPr>
            <w:tcW w:w="1640" w:type="dxa"/>
            <w:vAlign w:val="bottom"/>
            <w:tcBorders>
              <w:right w:val="single" w:sz="8" w:color="auto"/>
            </w:tcBorders>
          </w:tcPr>
          <w:p>
            <w:pPr>
              <w:jc w:val="center"/>
              <w:spacing w:after="0" w:line="95" w:lineRule="exact"/>
              <w:rPr>
                <w:sz w:val="20"/>
                <w:szCs w:val="20"/>
                <w:color w:val="auto"/>
              </w:rPr>
            </w:pPr>
            <w:r>
              <w:rPr>
                <w:rFonts w:ascii="Arial" w:cs="Arial" w:eastAsia="Arial" w:hAnsi="Arial"/>
                <w:sz w:val="9"/>
                <w:szCs w:val="9"/>
                <w:b w:val="1"/>
                <w:bCs w:val="1"/>
                <w:color w:val="auto"/>
                <w:w w:val="90"/>
              </w:rPr>
              <w:t>Offering Price</w:t>
            </w:r>
          </w:p>
        </w:tc>
        <w:tc>
          <w:tcPr>
            <w:tcW w:w="1760" w:type="dxa"/>
            <w:vAlign w:val="bottom"/>
            <w:tcBorders>
              <w:right w:val="single" w:sz="8" w:color="auto"/>
            </w:tcBorders>
          </w:tcPr>
          <w:p>
            <w:pPr>
              <w:jc w:val="center"/>
              <w:spacing w:after="0" w:line="95" w:lineRule="exact"/>
              <w:rPr>
                <w:sz w:val="20"/>
                <w:szCs w:val="20"/>
                <w:color w:val="auto"/>
              </w:rPr>
            </w:pPr>
            <w:r>
              <w:rPr>
                <w:rFonts w:ascii="Arial" w:cs="Arial" w:eastAsia="Arial" w:hAnsi="Arial"/>
                <w:sz w:val="9"/>
                <w:szCs w:val="9"/>
                <w:b w:val="1"/>
                <w:bCs w:val="1"/>
                <w:color w:val="auto"/>
                <w:w w:val="85"/>
              </w:rPr>
              <w:t>Aggregate</w:t>
            </w:r>
          </w:p>
        </w:tc>
        <w:tc>
          <w:tcPr>
            <w:tcW w:w="164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93"/>
              </w:rPr>
              <w:t>Amount of</w:t>
            </w:r>
          </w:p>
        </w:tc>
      </w:tr>
      <w:tr>
        <w:trPr>
          <w:trHeight w:val="104"/>
        </w:trPr>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9"/>
                <w:szCs w:val="9"/>
                <w:b w:val="1"/>
                <w:bCs w:val="1"/>
                <w:color w:val="auto"/>
                <w:w w:val="87"/>
              </w:rPr>
              <w:t>to be Registered</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9"/>
                <w:szCs w:val="9"/>
                <w:b w:val="1"/>
                <w:bCs w:val="1"/>
                <w:color w:val="auto"/>
                <w:w w:val="90"/>
              </w:rPr>
              <w:t>Registered(1)</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9"/>
                <w:szCs w:val="9"/>
                <w:b w:val="1"/>
                <w:bCs w:val="1"/>
                <w:color w:val="auto"/>
                <w:w w:val="94"/>
              </w:rPr>
              <w:t>Per Share(2)</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9"/>
                <w:szCs w:val="9"/>
                <w:b w:val="1"/>
                <w:bCs w:val="1"/>
                <w:color w:val="auto"/>
                <w:w w:val="93"/>
              </w:rPr>
              <w:t>Offering Price(2)</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7"/>
              </w:rPr>
              <w:t>Registration Fee</w:t>
            </w:r>
          </w:p>
        </w:tc>
      </w:tr>
      <w:tr>
        <w:trPr>
          <w:trHeight w:val="129"/>
        </w:trPr>
        <w:tc>
          <w:tcPr>
            <w:tcW w:w="3760" w:type="dxa"/>
            <w:vAlign w:val="bottom"/>
            <w:tcBorders>
              <w:bottom w:val="single" w:sz="8" w:color="auto"/>
              <w:right w:val="single" w:sz="8" w:color="auto"/>
            </w:tcBorders>
          </w:tcPr>
          <w:p>
            <w:pPr>
              <w:spacing w:after="0" w:line="129" w:lineRule="exact"/>
              <w:rPr>
                <w:sz w:val="20"/>
                <w:szCs w:val="20"/>
                <w:color w:val="auto"/>
              </w:rPr>
            </w:pPr>
            <w:r>
              <w:rPr>
                <w:rFonts w:ascii="Arial" w:cs="Arial" w:eastAsia="Arial" w:hAnsi="Arial"/>
                <w:sz w:val="13"/>
                <w:szCs w:val="13"/>
                <w:color w:val="auto"/>
              </w:rPr>
              <w:t>Common Stock, par value $0.0001 per share</w:t>
            </w:r>
          </w:p>
        </w:tc>
        <w:tc>
          <w:tcPr>
            <w:tcW w:w="17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5"/>
              </w:rPr>
              <w:t>2,490,417 shares(3)</w:t>
            </w:r>
          </w:p>
        </w:tc>
        <w:tc>
          <w:tcPr>
            <w:tcW w:w="16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5"/>
              </w:rPr>
              <w:t>$2.93</w:t>
            </w:r>
          </w:p>
        </w:tc>
        <w:tc>
          <w:tcPr>
            <w:tcW w:w="176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6"/>
              </w:rPr>
              <w:t>$7,296,921.81</w:t>
            </w:r>
          </w:p>
        </w:tc>
        <w:tc>
          <w:tcPr>
            <w:tcW w:w="164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color w:val="auto"/>
                <w:w w:val="89"/>
              </w:rPr>
              <w:t>$884.39</w:t>
            </w:r>
          </w:p>
        </w:tc>
      </w:tr>
      <w:tr>
        <w:trPr>
          <w:trHeight w:val="128"/>
        </w:trPr>
        <w:tc>
          <w:tcPr>
            <w:tcW w:w="3760" w:type="dxa"/>
            <w:vAlign w:val="bottom"/>
            <w:tcBorders>
              <w:bottom w:val="single" w:sz="8" w:color="auto"/>
              <w:right w:val="single" w:sz="8" w:color="auto"/>
            </w:tcBorders>
          </w:tcPr>
          <w:p>
            <w:pPr>
              <w:spacing w:after="0" w:line="129" w:lineRule="exact"/>
              <w:rPr>
                <w:sz w:val="20"/>
                <w:szCs w:val="20"/>
                <w:color w:val="auto"/>
              </w:rPr>
            </w:pPr>
            <w:r>
              <w:rPr>
                <w:rFonts w:ascii="Arial" w:cs="Arial" w:eastAsia="Arial" w:hAnsi="Arial"/>
                <w:sz w:val="13"/>
                <w:szCs w:val="13"/>
                <w:color w:val="auto"/>
              </w:rPr>
              <w:t>Common Stock, par value $0.0001 per share</w:t>
            </w:r>
          </w:p>
        </w:tc>
        <w:tc>
          <w:tcPr>
            <w:tcW w:w="17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5"/>
              </w:rPr>
              <w:t>622,604 shares(4)</w:t>
            </w:r>
          </w:p>
        </w:tc>
        <w:tc>
          <w:tcPr>
            <w:tcW w:w="16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5"/>
              </w:rPr>
              <w:t>$2.93</w:t>
            </w:r>
          </w:p>
        </w:tc>
        <w:tc>
          <w:tcPr>
            <w:tcW w:w="176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6"/>
              </w:rPr>
              <w:t>$1,824,229.72</w:t>
            </w:r>
          </w:p>
        </w:tc>
        <w:tc>
          <w:tcPr>
            <w:tcW w:w="164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color w:val="auto"/>
                <w:w w:val="89"/>
              </w:rPr>
              <w:t>$221.10</w:t>
            </w:r>
          </w:p>
        </w:tc>
      </w:tr>
      <w:tr>
        <w:trPr>
          <w:trHeight w:val="135"/>
        </w:trPr>
        <w:tc>
          <w:tcPr>
            <w:tcW w:w="3760" w:type="dxa"/>
            <w:vAlign w:val="bottom"/>
            <w:tcBorders>
              <w:bottom w:val="single" w:sz="8" w:color="auto"/>
              <w:right w:val="single" w:sz="8" w:color="auto"/>
            </w:tcBorders>
          </w:tcPr>
          <w:p>
            <w:pPr>
              <w:spacing w:after="0" w:line="129" w:lineRule="exact"/>
              <w:rPr>
                <w:sz w:val="20"/>
                <w:szCs w:val="20"/>
                <w:color w:val="auto"/>
              </w:rPr>
            </w:pPr>
            <w:r>
              <w:rPr>
                <w:rFonts w:ascii="Arial" w:cs="Arial" w:eastAsia="Arial" w:hAnsi="Arial"/>
                <w:sz w:val="13"/>
                <w:szCs w:val="13"/>
                <w:color w:val="auto"/>
              </w:rPr>
              <w:t>Total:</w:t>
            </w:r>
          </w:p>
        </w:tc>
        <w:tc>
          <w:tcPr>
            <w:tcW w:w="17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3"/>
              </w:rPr>
              <w:t>3,113,021 shares</w:t>
            </w:r>
          </w:p>
        </w:tc>
        <w:tc>
          <w:tcPr>
            <w:tcW w:w="1640" w:type="dxa"/>
            <w:vAlign w:val="bottom"/>
            <w:tcBorders>
              <w:bottom w:val="single" w:sz="8" w:color="auto"/>
              <w:right w:val="single" w:sz="8" w:color="auto"/>
            </w:tcBorders>
          </w:tcPr>
          <w:p>
            <w:pPr>
              <w:spacing w:after="0"/>
              <w:rPr>
                <w:sz w:val="11"/>
                <w:szCs w:val="11"/>
                <w:color w:val="auto"/>
              </w:rPr>
            </w:pPr>
          </w:p>
        </w:tc>
        <w:tc>
          <w:tcPr>
            <w:tcW w:w="176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6"/>
              </w:rPr>
              <w:t>$9,121,151.53</w:t>
            </w:r>
          </w:p>
        </w:tc>
        <w:tc>
          <w:tcPr>
            <w:tcW w:w="164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color w:val="auto"/>
                <w:w w:val="86"/>
              </w:rPr>
              <w:t>$1,105.48</w:t>
            </w:r>
          </w:p>
        </w:tc>
      </w:tr>
    </w:tbl>
    <w:p>
      <w:pPr>
        <w:spacing w:after="0" w:line="67" w:lineRule="exact"/>
        <w:rPr>
          <w:sz w:val="24"/>
          <w:szCs w:val="24"/>
          <w:color w:val="auto"/>
        </w:rPr>
      </w:pPr>
    </w:p>
    <w:p>
      <w:pPr>
        <w:ind w:left="422" w:right="140" w:hanging="422"/>
        <w:spacing w:after="0"/>
        <w:tabs>
          <w:tab w:leader="none" w:pos="422" w:val="left"/>
        </w:tabs>
        <w:numPr>
          <w:ilvl w:val="0"/>
          <w:numId w:val="1"/>
        </w:numPr>
        <w:rPr>
          <w:rFonts w:ascii="Arial" w:cs="Arial" w:eastAsia="Arial" w:hAnsi="Arial"/>
          <w:sz w:val="12"/>
          <w:szCs w:val="12"/>
          <w:color w:val="auto"/>
        </w:rPr>
      </w:pPr>
      <w:r>
        <w:rPr>
          <w:rFonts w:ascii="Arial" w:cs="Arial" w:eastAsia="Arial" w:hAnsi="Arial"/>
          <w:sz w:val="12"/>
          <w:szCs w:val="12"/>
          <w:color w:val="auto"/>
        </w:rPr>
        <w:t>Pursuant to Rule 416(a) under the Securities Act of 1933, as amended (the “Securities Act”), this registration statement shall also cover any additional shares of the Registrant’s common stock that become issuable under the 2014 Equity Incentive Award Plan (the “2014 Plan”) or the 2014 Employee Stock Purchase Plan (the “ESPP”) by reason of any stock dividend, stock split, recapitalization or similar transaction effected without the Registrant’s receipt of consideration which would increase the number of outstanding shares of common stock.</w:t>
      </w:r>
    </w:p>
    <w:p>
      <w:pPr>
        <w:spacing w:after="0" w:line="1" w:lineRule="exact"/>
        <w:rPr>
          <w:rFonts w:ascii="Arial" w:cs="Arial" w:eastAsia="Arial" w:hAnsi="Arial"/>
          <w:sz w:val="12"/>
          <w:szCs w:val="12"/>
          <w:color w:val="auto"/>
        </w:rPr>
      </w:pPr>
    </w:p>
    <w:p>
      <w:pPr>
        <w:ind w:left="422" w:right="60" w:hanging="422"/>
        <w:spacing w:after="0" w:line="216" w:lineRule="auto"/>
        <w:tabs>
          <w:tab w:leader="none" w:pos="422"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amount of the registration fee pursuant to Rule 457(h) and Rule 457(c) promulgated under the Securities Act. The proposed maximum offering price per share and the proposed maximum aggregate offering price for shares reserved for future issuance under the 2014 Plan are based on the average of the high and the low price of Registrant’s Common Stock as reported on The Nasdaq Global Market on March 6, 2019.</w:t>
      </w:r>
    </w:p>
    <w:p>
      <w:pPr>
        <w:spacing w:after="0" w:line="1" w:lineRule="exact"/>
        <w:rPr>
          <w:rFonts w:ascii="Arial" w:cs="Arial" w:eastAsia="Arial" w:hAnsi="Arial"/>
          <w:sz w:val="13"/>
          <w:szCs w:val="13"/>
          <w:color w:val="auto"/>
        </w:rPr>
      </w:pPr>
    </w:p>
    <w:p>
      <w:pPr>
        <w:ind w:left="422" w:hanging="422"/>
        <w:spacing w:after="0" w:line="216" w:lineRule="auto"/>
        <w:tabs>
          <w:tab w:leader="none" w:pos="42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Represents the shares of the Registrant’s common stock issuable under the 2014 Plan resulting from an annual increase as of January 1, 2019.</w:t>
      </w:r>
    </w:p>
    <w:p>
      <w:pPr>
        <w:ind w:left="422" w:hanging="422"/>
        <w:spacing w:after="0"/>
        <w:tabs>
          <w:tab w:leader="none" w:pos="42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Represents the shares of the Registrant’s common stock issuable under the ESPP resulting from an annual increase as of January 1, 2019.</w:t>
      </w:r>
    </w:p>
    <w:p>
      <w:pPr>
        <w:spacing w:after="0" w:line="39" w:lineRule="exact"/>
        <w:rPr>
          <w:sz w:val="24"/>
          <w:szCs w:val="24"/>
          <w:color w:val="auto"/>
        </w:rPr>
      </w:pPr>
    </w:p>
    <w:p>
      <w:pPr>
        <w:jc w:val="center"/>
        <w:ind w:right="18"/>
        <w:spacing w:after="0"/>
        <w:rPr>
          <w:sz w:val="20"/>
          <w:szCs w:val="20"/>
          <w:color w:val="auto"/>
        </w:rPr>
      </w:pPr>
      <w:r>
        <w:rPr>
          <w:rFonts w:ascii="Arial" w:cs="Arial" w:eastAsia="Arial" w:hAnsi="Arial"/>
          <w:sz w:val="13"/>
          <w:szCs w:val="13"/>
          <w:b w:val="1"/>
          <w:bCs w:val="1"/>
          <w:color w:val="auto"/>
        </w:rPr>
        <w:t>This registration statement will become effective upon filing in accordance with Rule 462 under the Securities Act. Proposed sale to take place as soon after the effective date of the registration statement as awards under the plans are exercised and/or vest.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53340</wp:posOffset>
            </wp:positionV>
            <wp:extent cx="66865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8655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70485</wp:posOffset>
            </wp:positionV>
            <wp:extent cx="668655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86550"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516255</wp:posOffset>
            </wp:positionV>
            <wp:extent cx="66865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86550" cy="25400"/>
                    </a:xfrm>
                    <a:prstGeom prst="rect">
                      <a:avLst/>
                    </a:prstGeom>
                    <a:noFill/>
                  </pic:spPr>
                </pic:pic>
              </a:graphicData>
            </a:graphic>
          </wp:anchor>
        </w:drawing>
      </w:r>
    </w:p>
    <w:p>
      <w:pPr>
        <w:sectPr>
          <w:pgSz w:w="11900" w:h="16838" w:orient="portrait"/>
          <w:cols w:equalWidth="0" w:num="1">
            <w:col w:w="10542"/>
          </w:cols>
          <w:pgMar w:left="678" w:top="149" w:right="679" w:bottom="1440" w:gutter="0" w:footer="0" w:header="0"/>
        </w:sectPr>
      </w:pPr>
    </w:p>
    <w:bookmarkStart w:id="1" w:name="page2"/>
    <w:bookmarkEnd w:id="1"/>
    <w:p>
      <w:pPr>
        <w:jc w:val="center"/>
        <w:ind w:right="-62"/>
        <w:spacing w:after="0"/>
        <w:rPr>
          <w:sz w:val="20"/>
          <w:szCs w:val="20"/>
          <w:color w:val="auto"/>
        </w:rPr>
      </w:pPr>
      <w:r>
        <w:rPr>
          <w:rFonts w:ascii="Arial" w:cs="Arial" w:eastAsia="Arial" w:hAnsi="Arial"/>
          <w:sz w:val="18"/>
          <w:szCs w:val="18"/>
          <w:b w:val="1"/>
          <w:bCs w:val="1"/>
          <w:color w:val="auto"/>
        </w:rPr>
        <w:t>REGISTRATION OF ADDITIONAL SECURITIES</w:t>
      </w:r>
    </w:p>
    <w:p>
      <w:pPr>
        <w:spacing w:after="0" w:line="229" w:lineRule="exact"/>
        <w:rPr>
          <w:sz w:val="20"/>
          <w:szCs w:val="20"/>
          <w:color w:val="auto"/>
        </w:rPr>
      </w:pPr>
    </w:p>
    <w:p>
      <w:pPr>
        <w:ind w:left="3"/>
        <w:spacing w:after="0" w:line="217" w:lineRule="exact"/>
        <w:rPr>
          <w:sz w:val="20"/>
          <w:szCs w:val="20"/>
          <w:color w:val="auto"/>
        </w:rPr>
      </w:pPr>
      <w:r>
        <w:rPr>
          <w:rFonts w:ascii="Arial" w:cs="Arial" w:eastAsia="Arial" w:hAnsi="Arial"/>
          <w:sz w:val="16"/>
          <w:szCs w:val="16"/>
          <w:color w:val="auto"/>
        </w:rPr>
        <w:t>By a registration statement on Form S</w:t>
      </w:r>
      <w:r>
        <w:rPr>
          <w:rFonts w:ascii="MS PGothic" w:cs="MS PGothic" w:eastAsia="MS PGothic" w:hAnsi="MS PGothic"/>
          <w:sz w:val="16"/>
          <w:szCs w:val="16"/>
          <w:color w:val="auto"/>
        </w:rPr>
        <w:t>‑</w:t>
      </w:r>
      <w:r>
        <w:rPr>
          <w:rFonts w:ascii="Arial" w:cs="Arial" w:eastAsia="Arial" w:hAnsi="Arial"/>
          <w:sz w:val="16"/>
          <w:szCs w:val="16"/>
          <w:color w:val="auto"/>
        </w:rPr>
        <w:t>8 filed with the Securities and Exchange Commission (the “SEC”) on July 14, 2014, File No. 333</w:t>
      </w:r>
      <w:r>
        <w:rPr>
          <w:rFonts w:ascii="MS PGothic" w:cs="MS PGothic" w:eastAsia="MS PGothic" w:hAnsi="MS PGothic"/>
          <w:sz w:val="16"/>
          <w:szCs w:val="16"/>
          <w:color w:val="auto"/>
        </w:rPr>
        <w:t>‑</w:t>
      </w:r>
      <w:r>
        <w:rPr>
          <w:rFonts w:ascii="Arial" w:cs="Arial" w:eastAsia="Arial" w:hAnsi="Arial"/>
          <w:sz w:val="16"/>
          <w:szCs w:val="16"/>
          <w:color w:val="auto"/>
        </w:rPr>
        <w:t>197408 (the “Original Registration Statement”), Ardelyx, Inc. (the “Registrant”) registered 1,646,134 shares of common stock, par value $0.0001 per share (the “Common Stock”), issuable under the Ardelyx, Inc. 2014 Equity Incentive Award Plan (the “2014 Plan”) and 202,762 shares of Common Stock issuable under the Ardelyx, Inc. 2014 Employee Stock Purchase Plan (the “ESPP”). The Original Registration Statement also registered 880,497 shares of Common Stock issuable under the Ardelyx, Inc. 2008 Stock Incentive Plan, as amended (the “2008 Plan”), which shares become available for issuance under the 2014 Plan to the extent awards under the 2008 Plan are forfeited or lapse unexercised and are not issued under the 2008 Plan. By a registration statement on Form S</w:t>
      </w:r>
      <w:r>
        <w:rPr>
          <w:rFonts w:ascii="MS PGothic" w:cs="MS PGothic" w:eastAsia="MS PGothic" w:hAnsi="MS PGothic"/>
          <w:sz w:val="16"/>
          <w:szCs w:val="16"/>
          <w:color w:val="auto"/>
        </w:rPr>
        <w:t>‑</w:t>
      </w:r>
      <w:r>
        <w:rPr>
          <w:rFonts w:ascii="Arial" w:cs="Arial" w:eastAsia="Arial" w:hAnsi="Arial"/>
          <w:sz w:val="16"/>
          <w:szCs w:val="16"/>
          <w:color w:val="auto"/>
        </w:rPr>
        <w:t>8 filed with the SEC on March 11, 2015, File No. 333</w:t>
      </w:r>
      <w:r>
        <w:rPr>
          <w:rFonts w:ascii="MS PGothic" w:cs="MS PGothic" w:eastAsia="MS PGothic" w:hAnsi="MS PGothic"/>
          <w:sz w:val="16"/>
          <w:szCs w:val="16"/>
          <w:color w:val="auto"/>
        </w:rPr>
        <w:t>‑</w:t>
      </w:r>
      <w:r>
        <w:rPr>
          <w:rFonts w:ascii="Arial" w:cs="Arial" w:eastAsia="Arial" w:hAnsi="Arial"/>
          <w:sz w:val="16"/>
          <w:szCs w:val="16"/>
          <w:color w:val="auto"/>
        </w:rPr>
        <w:t>202663 (the “2015 Registration Statement”), the Registrant registered an additional 743,569 shares of Common Stock issuable under the 2014 Plan and 185,892 shares of Common Stock issuable under the ESPP. By a registration statement on Form S</w:t>
      </w:r>
      <w:r>
        <w:rPr>
          <w:rFonts w:ascii="MS PGothic" w:cs="MS PGothic" w:eastAsia="MS PGothic" w:hAnsi="MS PGothic"/>
          <w:sz w:val="16"/>
          <w:szCs w:val="16"/>
          <w:color w:val="auto"/>
        </w:rPr>
        <w:t>‑</w:t>
      </w:r>
      <w:r>
        <w:rPr>
          <w:rFonts w:ascii="Arial" w:cs="Arial" w:eastAsia="Arial" w:hAnsi="Arial"/>
          <w:sz w:val="16"/>
          <w:szCs w:val="16"/>
          <w:color w:val="auto"/>
        </w:rPr>
        <w:t>8 filed with the SEC on March 10, 2016, File No. 333</w:t>
      </w:r>
      <w:r>
        <w:rPr>
          <w:rFonts w:ascii="MS PGothic" w:cs="MS PGothic" w:eastAsia="MS PGothic" w:hAnsi="MS PGothic"/>
          <w:sz w:val="16"/>
          <w:szCs w:val="16"/>
          <w:color w:val="auto"/>
        </w:rPr>
        <w:t>‑</w:t>
      </w:r>
      <w:r>
        <w:rPr>
          <w:rFonts w:ascii="Arial" w:cs="Arial" w:eastAsia="Arial" w:hAnsi="Arial"/>
          <w:sz w:val="16"/>
          <w:szCs w:val="16"/>
          <w:color w:val="auto"/>
        </w:rPr>
        <w:t>210079 (the “2016 Registration Statement”), the Registrant registered an additional 1,038,595 shares of Common Stock issuable under the 2014 Plan. By a registration statement on Form S</w:t>
      </w:r>
      <w:r>
        <w:rPr>
          <w:rFonts w:ascii="MS PGothic" w:cs="MS PGothic" w:eastAsia="MS PGothic" w:hAnsi="MS PGothic"/>
          <w:sz w:val="16"/>
          <w:szCs w:val="16"/>
          <w:color w:val="auto"/>
        </w:rPr>
        <w:t>‑</w:t>
      </w:r>
      <w:r>
        <w:rPr>
          <w:rFonts w:ascii="Arial" w:cs="Arial" w:eastAsia="Arial" w:hAnsi="Arial"/>
          <w:sz w:val="16"/>
          <w:szCs w:val="16"/>
          <w:color w:val="auto"/>
        </w:rPr>
        <w:t>8 filed with the SEC on February 21, 2017, File No. 333</w:t>
      </w:r>
      <w:r>
        <w:rPr>
          <w:rFonts w:ascii="MS PGothic" w:cs="MS PGothic" w:eastAsia="MS PGothic" w:hAnsi="MS PGothic"/>
          <w:sz w:val="16"/>
          <w:szCs w:val="16"/>
          <w:color w:val="auto"/>
        </w:rPr>
        <w:t>‑</w:t>
      </w:r>
      <w:r>
        <w:rPr>
          <w:rFonts w:ascii="Arial" w:cs="Arial" w:eastAsia="Arial" w:hAnsi="Arial"/>
          <w:sz w:val="16"/>
          <w:szCs w:val="16"/>
          <w:color w:val="auto"/>
        </w:rPr>
        <w:t>216154 (the “2017 Registration Statement”), the Registrant registered an additional 1,892,376 shares of Common Stock issuable under the 2014 Plan. By a registration statement on Form S</w:t>
      </w:r>
      <w:r>
        <w:rPr>
          <w:rFonts w:ascii="MS PGothic" w:cs="MS PGothic" w:eastAsia="MS PGothic" w:hAnsi="MS PGothic"/>
          <w:sz w:val="16"/>
          <w:szCs w:val="16"/>
          <w:color w:val="auto"/>
        </w:rPr>
        <w:t>‑</w:t>
      </w:r>
      <w:r>
        <w:rPr>
          <w:rFonts w:ascii="Arial" w:cs="Arial" w:eastAsia="Arial" w:hAnsi="Arial"/>
          <w:sz w:val="16"/>
          <w:szCs w:val="16"/>
          <w:color w:val="auto"/>
        </w:rPr>
        <w:t>8 filed with the SEC on March 16, 2018, File No. 333</w:t>
      </w:r>
      <w:r>
        <w:rPr>
          <w:rFonts w:ascii="MS PGothic" w:cs="MS PGothic" w:eastAsia="MS PGothic" w:hAnsi="MS PGothic"/>
          <w:sz w:val="16"/>
          <w:szCs w:val="16"/>
          <w:color w:val="auto"/>
        </w:rPr>
        <w:t>‑</w:t>
      </w:r>
      <w:r>
        <w:rPr>
          <w:rFonts w:ascii="Arial" w:cs="Arial" w:eastAsia="Arial" w:hAnsi="Arial"/>
          <w:sz w:val="16"/>
          <w:szCs w:val="16"/>
          <w:color w:val="auto"/>
        </w:rPr>
        <w:t>223694 (the “2018 Registration Statement”), the Registrant registered an additional 1,901,339 shares of Common Stock issuable under the 2014 Plan. The Registrant is hereby registering an additional 2,490,417 shares of Common Stock issuable under the 2014 Plan and 622,604 shares of Common Stock issuable under the ESPP, which shares are now available for grant due to automatic annual increase provisions in the 2014 Plan and ESPP.</w:t>
      </w:r>
    </w:p>
    <w:p>
      <w:pPr>
        <w:spacing w:after="0" w:line="213" w:lineRule="exact"/>
        <w:rPr>
          <w:sz w:val="20"/>
          <w:szCs w:val="20"/>
          <w:color w:val="auto"/>
        </w:rPr>
      </w:pPr>
    </w:p>
    <w:p>
      <w:pPr>
        <w:ind w:left="3" w:right="180"/>
        <w:spacing w:after="0" w:line="220" w:lineRule="exact"/>
        <w:rPr>
          <w:sz w:val="20"/>
          <w:szCs w:val="20"/>
          <w:color w:val="auto"/>
        </w:rPr>
      </w:pPr>
      <w:r>
        <w:rPr>
          <w:rFonts w:ascii="Arial" w:cs="Arial" w:eastAsia="Arial" w:hAnsi="Arial"/>
          <w:sz w:val="18"/>
          <w:szCs w:val="18"/>
          <w:color w:val="auto"/>
        </w:rPr>
        <w:t>Pursuant to Instruction E of Form S</w:t>
      </w:r>
      <w:r>
        <w:rPr>
          <w:rFonts w:ascii="MS PGothic" w:cs="MS PGothic" w:eastAsia="MS PGothic" w:hAnsi="MS PGothic"/>
          <w:sz w:val="18"/>
          <w:szCs w:val="18"/>
          <w:color w:val="auto"/>
        </w:rPr>
        <w:t>‑</w:t>
      </w:r>
      <w:r>
        <w:rPr>
          <w:rFonts w:ascii="Arial" w:cs="Arial" w:eastAsia="Arial" w:hAnsi="Arial"/>
          <w:sz w:val="18"/>
          <w:szCs w:val="18"/>
          <w:color w:val="auto"/>
        </w:rPr>
        <w:t>8, the contents of the Original Registration Statement, the 2015 Registration Statement, the 2016 Registration Statement, the 2017 Registration Statement and the 2018 Registration Statement are incorporated by reference in this registration statement on Form S</w:t>
      </w:r>
      <w:r>
        <w:rPr>
          <w:rFonts w:ascii="MS PGothic" w:cs="MS PGothic" w:eastAsia="MS PGothic" w:hAnsi="MS PGothic"/>
          <w:sz w:val="18"/>
          <w:szCs w:val="18"/>
          <w:color w:val="auto"/>
        </w:rPr>
        <w:t>‑</w:t>
      </w:r>
      <w:r>
        <w:rPr>
          <w:rFonts w:ascii="Arial" w:cs="Arial" w:eastAsia="Arial" w:hAnsi="Arial"/>
          <w:sz w:val="18"/>
          <w:szCs w:val="18"/>
          <w:color w:val="auto"/>
        </w:rPr>
        <w:t>8.</w:t>
      </w:r>
    </w:p>
    <w:p>
      <w:pPr>
        <w:spacing w:after="0" w:line="200" w:lineRule="exact"/>
        <w:rPr>
          <w:sz w:val="20"/>
          <w:szCs w:val="20"/>
          <w:color w:val="auto"/>
        </w:rPr>
      </w:pPr>
    </w:p>
    <w:p>
      <w:pPr>
        <w:jc w:val="center"/>
        <w:ind w:right="-62"/>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62"/>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9" w:lineRule="exact"/>
        <w:rPr>
          <w:sz w:val="20"/>
          <w:szCs w:val="20"/>
          <w:color w:val="auto"/>
        </w:rPr>
      </w:pPr>
    </w:p>
    <w:p>
      <w:pPr>
        <w:ind w:left="3" w:right="420"/>
        <w:spacing w:after="0" w:line="223" w:lineRule="exact"/>
        <w:rPr>
          <w:sz w:val="20"/>
          <w:szCs w:val="20"/>
          <w:color w:val="auto"/>
        </w:rPr>
      </w:pPr>
      <w:r>
        <w:rPr>
          <w:rFonts w:ascii="Arial" w:cs="Arial" w:eastAsia="Arial" w:hAnsi="Arial"/>
          <w:sz w:val="18"/>
          <w:szCs w:val="18"/>
          <w:color w:val="auto"/>
        </w:rPr>
        <w:t>The information called for in Part I of Form S</w:t>
      </w:r>
      <w:r>
        <w:rPr>
          <w:rFonts w:ascii="MS PGothic" w:cs="MS PGothic" w:eastAsia="MS PGothic" w:hAnsi="MS PGothic"/>
          <w:sz w:val="18"/>
          <w:szCs w:val="18"/>
          <w:color w:val="auto"/>
        </w:rPr>
        <w:t>‑</w:t>
      </w:r>
      <w:r>
        <w:rPr>
          <w:rFonts w:ascii="Arial" w:cs="Arial" w:eastAsia="Arial" w:hAnsi="Arial"/>
          <w:sz w:val="18"/>
          <w:szCs w:val="18"/>
          <w:color w:val="auto"/>
        </w:rPr>
        <w:t>8 is not being filed with or included in this Form S</w:t>
      </w:r>
      <w:r>
        <w:rPr>
          <w:rFonts w:ascii="MS PGothic" w:cs="MS PGothic" w:eastAsia="MS PGothic" w:hAnsi="MS PGothic"/>
          <w:sz w:val="18"/>
          <w:szCs w:val="18"/>
          <w:color w:val="auto"/>
        </w:rPr>
        <w:t>‑</w:t>
      </w:r>
      <w:r>
        <w:rPr>
          <w:rFonts w:ascii="Arial" w:cs="Arial" w:eastAsia="Arial" w:hAnsi="Arial"/>
          <w:sz w:val="18"/>
          <w:szCs w:val="18"/>
          <w:color w:val="auto"/>
        </w:rPr>
        <w:t>8 (by incorporation by reference or otherwise) in accordance with the rules and regulations of the SEC.</w:t>
      </w:r>
    </w:p>
    <w:p>
      <w:pPr>
        <w:spacing w:after="0" w:line="199" w:lineRule="exact"/>
        <w:rPr>
          <w:sz w:val="20"/>
          <w:szCs w:val="20"/>
          <w:color w:val="auto"/>
        </w:rPr>
      </w:pPr>
    </w:p>
    <w:p>
      <w:pPr>
        <w:jc w:val="center"/>
        <w:ind w:right="-62"/>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right="-62"/>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9" w:lineRule="exact"/>
        <w:rPr>
          <w:sz w:val="20"/>
          <w:szCs w:val="20"/>
          <w:color w:val="auto"/>
        </w:rPr>
      </w:pPr>
    </w:p>
    <w:p>
      <w:pPr>
        <w:ind w:left="723"/>
        <w:spacing w:after="0"/>
        <w:rPr>
          <w:sz w:val="20"/>
          <w:szCs w:val="20"/>
          <w:color w:val="auto"/>
        </w:rPr>
      </w:pPr>
      <w:r>
        <w:rPr>
          <w:rFonts w:ascii="Arial" w:cs="Arial" w:eastAsia="Arial" w:hAnsi="Arial"/>
          <w:sz w:val="18"/>
          <w:szCs w:val="18"/>
          <w:i w:val="1"/>
          <w:iCs w:val="1"/>
          <w:color w:val="auto"/>
        </w:rPr>
        <w:t>In this registration statement, Ardelyx, Inc. is sometimes referred to as “Registrant,” “we,” “us” or “our.”</w:t>
      </w:r>
    </w:p>
    <w:p>
      <w:pPr>
        <w:spacing w:after="0" w:line="221"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Incorporation of Documents by Reference</w:t>
      </w:r>
      <w:r>
        <w:rPr>
          <w:rFonts w:ascii="Arial" w:cs="Arial" w:eastAsia="Arial" w:hAnsi="Arial"/>
          <w:sz w:val="18"/>
          <w:szCs w:val="18"/>
          <w:b w:val="1"/>
          <w:bCs w:val="1"/>
          <w:color w:val="auto"/>
        </w:rPr>
        <w:t>.</w:t>
      </w:r>
    </w:p>
    <w:p>
      <w:pPr>
        <w:spacing w:after="0" w:line="229" w:lineRule="exact"/>
        <w:rPr>
          <w:sz w:val="20"/>
          <w:szCs w:val="20"/>
          <w:color w:val="auto"/>
        </w:rPr>
      </w:pPr>
    </w:p>
    <w:p>
      <w:pPr>
        <w:ind w:left="3" w:right="120"/>
        <w:spacing w:after="0" w:line="301" w:lineRule="auto"/>
        <w:rPr>
          <w:sz w:val="20"/>
          <w:szCs w:val="20"/>
          <w:color w:val="auto"/>
        </w:rPr>
      </w:pPr>
      <w:r>
        <w:rPr>
          <w:rFonts w:ascii="Arial" w:cs="Arial" w:eastAsia="Arial" w:hAnsi="Arial"/>
          <w:sz w:val="16"/>
          <w:szCs w:val="16"/>
          <w:color w:val="auto"/>
        </w:rPr>
        <w:t>The SEC allows us to “incorporate by reference” the information we file with them, which means that we can disclose important information to you by referring to those documents. The information incorporated by reference is considered to be part of this registration statement, and later information filed with the SEC will update and supersede this information. We hereby incorporate by reference into this registration statement the following documents previously filed with the SEC:</w:t>
      </w:r>
    </w:p>
    <w:p>
      <w:pPr>
        <w:spacing w:after="0" w:line="157" w:lineRule="exact"/>
        <w:rPr>
          <w:sz w:val="20"/>
          <w:szCs w:val="20"/>
          <w:color w:val="auto"/>
        </w:rPr>
      </w:pPr>
    </w:p>
    <w:p>
      <w:pPr>
        <w:ind w:left="323" w:right="320" w:hanging="323"/>
        <w:spacing w:after="0" w:line="223" w:lineRule="exact"/>
        <w:tabs>
          <w:tab w:leader="none" w:pos="323"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December 31, 2018, as filed with the SEC on March 6, 2019 (File No. 001</w:t>
      </w:r>
      <w:r>
        <w:rPr>
          <w:rFonts w:ascii="MS PGothic" w:cs="MS PGothic" w:eastAsia="MS PGothic" w:hAnsi="MS PGothic"/>
          <w:sz w:val="18"/>
          <w:szCs w:val="18"/>
          <w:color w:val="auto"/>
        </w:rPr>
        <w:t>‑</w:t>
      </w:r>
      <w:r>
        <w:rPr>
          <w:rFonts w:ascii="Arial" w:cs="Arial" w:eastAsia="Arial" w:hAnsi="Arial"/>
          <w:sz w:val="18"/>
          <w:szCs w:val="18"/>
          <w:color w:val="auto"/>
        </w:rPr>
        <w:t>36485); and</w:t>
      </w:r>
    </w:p>
    <w:p>
      <w:pPr>
        <w:spacing w:after="0" w:line="202" w:lineRule="exact"/>
        <w:rPr>
          <w:rFonts w:ascii="Arial" w:cs="Arial" w:eastAsia="Arial" w:hAnsi="Arial"/>
          <w:sz w:val="18"/>
          <w:szCs w:val="18"/>
          <w:color w:val="auto"/>
        </w:rPr>
      </w:pPr>
    </w:p>
    <w:p>
      <w:pPr>
        <w:ind w:left="323" w:right="60" w:hanging="323"/>
        <w:spacing w:after="0" w:line="220" w:lineRule="exact"/>
        <w:tabs>
          <w:tab w:leader="none" w:pos="323"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Registrant’s Common Stock contained in the Registrant’s registration statement on Form 8</w:t>
      </w:r>
      <w:r>
        <w:rPr>
          <w:rFonts w:ascii="MS PGothic" w:cs="MS PGothic" w:eastAsia="MS PGothic" w:hAnsi="MS PGothic"/>
          <w:sz w:val="18"/>
          <w:szCs w:val="18"/>
          <w:color w:val="auto"/>
        </w:rPr>
        <w:t>‑</w:t>
      </w:r>
      <w:r>
        <w:rPr>
          <w:rFonts w:ascii="Arial" w:cs="Arial" w:eastAsia="Arial" w:hAnsi="Arial"/>
          <w:sz w:val="18"/>
          <w:szCs w:val="18"/>
          <w:color w:val="auto"/>
        </w:rPr>
        <w:t>A (File No. 001</w:t>
      </w:r>
      <w:r>
        <w:rPr>
          <w:rFonts w:ascii="MS PGothic" w:cs="MS PGothic" w:eastAsia="MS PGothic" w:hAnsi="MS PGothic"/>
          <w:sz w:val="18"/>
          <w:szCs w:val="18"/>
          <w:color w:val="auto"/>
        </w:rPr>
        <w:t>‑</w:t>
      </w:r>
      <w:r>
        <w:rPr>
          <w:rFonts w:ascii="Arial" w:cs="Arial" w:eastAsia="Arial" w:hAnsi="Arial"/>
          <w:sz w:val="18"/>
          <w:szCs w:val="18"/>
          <w:color w:val="auto"/>
        </w:rPr>
        <w:t>36485), filed by the Registrant with the SEC under Section 12(b) of the Securities Exchange Act of 1934, as amended (the “Exchange Act”), on June 9, 2014, including any amendments or reports filed for the purpose of updating such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275590</wp:posOffset>
            </wp:positionV>
            <wp:extent cx="582930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29300" cy="26035"/>
                    </a:xfrm>
                    <a:prstGeom prst="rect">
                      <a:avLst/>
                    </a:prstGeom>
                    <a:noFill/>
                  </pic:spPr>
                </pic:pic>
              </a:graphicData>
            </a:graphic>
          </wp:anchor>
        </w:drawing>
      </w:r>
    </w:p>
    <w:p>
      <w:pPr>
        <w:sectPr>
          <w:pgSz w:w="11900" w:h="16838" w:orient="portrait"/>
          <w:cols w:equalWidth="0" w:num="1">
            <w:col w:w="9103"/>
          </w:cols>
          <w:pgMar w:left="1357" w:top="41" w:right="1439" w:bottom="1440" w:gutter="0" w:footer="0" w:header="0"/>
        </w:sectPr>
      </w:pPr>
    </w:p>
    <w:bookmarkStart w:id="2" w:name="page3"/>
    <w:bookmarkEnd w:id="2"/>
    <w:p>
      <w:pPr>
        <w:jc w:val="both"/>
        <w:ind w:right="20"/>
        <w:spacing w:after="0" w:line="286" w:lineRule="auto"/>
        <w:rPr>
          <w:sz w:val="20"/>
          <w:szCs w:val="20"/>
          <w:color w:val="auto"/>
        </w:rPr>
      </w:pPr>
      <w:r>
        <w:rPr>
          <w:rFonts w:ascii="Arial" w:cs="Arial" w:eastAsia="Arial" w:hAnsi="Arial"/>
          <w:sz w:val="17"/>
          <w:szCs w:val="17"/>
          <w:color w:val="auto"/>
        </w:rPr>
        <w:t>All documents that the Registrant subsequently files pursuant to Sections 13(a), 13(c), 14 and 15(d) of the Exchange Act prior to the filing of a post-effective amendment to the registration statement which indicates that all of the shares of Common Stock offered have been sold or which deregisters all of such shares then remaining unsold, shall</w:t>
      </w:r>
    </w:p>
    <w:p>
      <w:pPr>
        <w:spacing w:after="0" w:line="165" w:lineRule="exact"/>
        <w:rPr>
          <w:sz w:val="20"/>
          <w:szCs w:val="20"/>
          <w:color w:val="auto"/>
        </w:rPr>
      </w:pPr>
    </w:p>
    <w:p>
      <w:pPr>
        <w:ind w:right="60"/>
        <w:spacing w:after="0" w:line="218" w:lineRule="exact"/>
        <w:rPr>
          <w:sz w:val="20"/>
          <w:szCs w:val="20"/>
          <w:color w:val="auto"/>
        </w:rPr>
      </w:pPr>
      <w:r>
        <w:rPr>
          <w:rFonts w:ascii="Arial" w:cs="Arial" w:eastAsia="Arial" w:hAnsi="Arial"/>
          <w:sz w:val="17"/>
          <w:szCs w:val="17"/>
          <w:color w:val="auto"/>
        </w:rPr>
        <w:t>be deemed to be incorporated by reference in this registration statement and to be a part hereof from the date of the filing of such documents; except as to any portion of any future annual or quarterly report to stockholders, or document or current report furnished under any current or future items of Form 8</w:t>
      </w:r>
      <w:r>
        <w:rPr>
          <w:rFonts w:ascii="MS PGothic" w:cs="MS PGothic" w:eastAsia="MS PGothic" w:hAnsi="MS PGothic"/>
          <w:sz w:val="17"/>
          <w:szCs w:val="17"/>
          <w:color w:val="auto"/>
        </w:rPr>
        <w:t>‑</w:t>
      </w:r>
      <w:r>
        <w:rPr>
          <w:rFonts w:ascii="Arial" w:cs="Arial" w:eastAsia="Arial" w:hAnsi="Arial"/>
          <w:sz w:val="17"/>
          <w:szCs w:val="17"/>
          <w:color w:val="auto"/>
        </w:rPr>
        <w:t>K (including current Items 2.02 and 7.01, and exhibits furnished on such form that relate to such items), in each case, that is not deemed filed under such provisions. For the purposes of this registration statement, any statement contained in a document incorporated or deemed to be incorporated by reference herein shall be deemed to be modified or superseded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03" w:lineRule="exact"/>
        <w:rPr>
          <w:sz w:val="20"/>
          <w:szCs w:val="20"/>
          <w:color w:val="auto"/>
        </w:rPr>
      </w:pPr>
    </w:p>
    <w:p>
      <w:pPr>
        <w:jc w:val="both"/>
        <w:ind w:right="220"/>
        <w:spacing w:after="0" w:line="220" w:lineRule="exact"/>
        <w:rPr>
          <w:sz w:val="20"/>
          <w:szCs w:val="20"/>
          <w:color w:val="auto"/>
        </w:rPr>
      </w:pPr>
      <w:r>
        <w:rPr>
          <w:rFonts w:ascii="Arial" w:cs="Arial" w:eastAsia="Arial" w:hAnsi="Arial"/>
          <w:sz w:val="18"/>
          <w:szCs w:val="18"/>
          <w:color w:val="auto"/>
        </w:rPr>
        <w:t>Under no circumstances will any information filed under current Items 2.02 or 7.01 of Form 8</w:t>
      </w:r>
      <w:r>
        <w:rPr>
          <w:rFonts w:ascii="MS PGothic" w:cs="MS PGothic" w:eastAsia="MS PGothic" w:hAnsi="MS PGothic"/>
          <w:sz w:val="18"/>
          <w:szCs w:val="18"/>
          <w:color w:val="auto"/>
        </w:rPr>
        <w:t>‑</w:t>
      </w:r>
      <w:r>
        <w:rPr>
          <w:rFonts w:ascii="Arial" w:cs="Arial" w:eastAsia="Arial" w:hAnsi="Arial"/>
          <w:sz w:val="18"/>
          <w:szCs w:val="18"/>
          <w:color w:val="auto"/>
        </w:rPr>
        <w:t>K, and exhibits furnished on such form that relate to such items, be deemed incorporated herein by reference unless such Form 8</w:t>
      </w:r>
      <w:r>
        <w:rPr>
          <w:rFonts w:ascii="MS PGothic" w:cs="MS PGothic" w:eastAsia="MS PGothic" w:hAnsi="MS PGothic"/>
          <w:sz w:val="18"/>
          <w:szCs w:val="18"/>
          <w:color w:val="auto"/>
        </w:rPr>
        <w:t>‑</w:t>
      </w:r>
      <w:r>
        <w:rPr>
          <w:rFonts w:ascii="Arial" w:cs="Arial" w:eastAsia="Arial" w:hAnsi="Arial"/>
          <w:sz w:val="18"/>
          <w:szCs w:val="18"/>
          <w:color w:val="auto"/>
        </w:rPr>
        <w:t>K expressly provides to the contrary.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Description of Securities</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u w:val="single" w:color="auto"/>
          <w:color w:val="auto"/>
        </w:rPr>
        <w:t>Interests of Named Experts and Counsel</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u w:val="single" w:color="auto"/>
          <w:color w:val="auto"/>
        </w:rPr>
        <w:t>Indemnification of Directors and Officers</w:t>
      </w:r>
      <w:r>
        <w:rPr>
          <w:rFonts w:ascii="Arial" w:cs="Arial" w:eastAsia="Arial" w:hAnsi="Arial"/>
          <w:sz w:val="18"/>
          <w:szCs w:val="18"/>
          <w:b w:val="1"/>
          <w:bCs w:val="1"/>
          <w:color w:val="auto"/>
        </w:rPr>
        <w:t>.</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permitted by Section 102 of the Delaware General Corporation Law, we have adopted provisions in our amended and restated certificate of incorporation and bylaws that limit or eliminate the personal liability of our directors for a breach of their fiduciary duties of care as directors. The duty of care generally requires that, when acting on behalf of the corporation, directors exercise an informed business judgment based on all material information reasonably available to them. Consequently, a director will not be personally liable to us or our stockholders for monetary damages for breach of fiduciary duty as a director, except for liability for:</w:t>
      </w:r>
    </w:p>
    <w:p>
      <w:pPr>
        <w:spacing w:after="0" w:line="192" w:lineRule="exact"/>
        <w:rPr>
          <w:sz w:val="20"/>
          <w:szCs w:val="20"/>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225"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225"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any act related to unlawful stock repurchases, redemptions or other distributions or payment of dividends; or</w:t>
      </w:r>
    </w:p>
    <w:p>
      <w:pPr>
        <w:spacing w:after="0" w:line="236" w:lineRule="exact"/>
        <w:rPr>
          <w:rFonts w:ascii="Arial" w:cs="Arial" w:eastAsia="Arial" w:hAnsi="Arial"/>
          <w:sz w:val="17"/>
          <w:szCs w:val="17"/>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These limitations of liability do not affect the availability of equitable remedies such as injunctive relief or rescission. Our amended and restated certificate of incorporation also authorizes us to indemnify our officers, directors and other agents to the fullest extent permitted under Delaware law.</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As permitted by Section 145 of the Delaware General Corporation Law, our amended and restated bylaws provide that:</w:t>
      </w:r>
    </w:p>
    <w:p>
      <w:pPr>
        <w:spacing w:after="0" w:line="237" w:lineRule="exact"/>
        <w:rPr>
          <w:sz w:val="20"/>
          <w:szCs w:val="20"/>
          <w:color w:val="auto"/>
        </w:rPr>
      </w:pPr>
    </w:p>
    <w:p>
      <w:pPr>
        <w:ind w:left="640" w:right="440" w:hanging="319"/>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indemnify our directors, officers and employees to the fullest extent permitted by the Delaware General Corporation Law, subject to limited exceptions;</w:t>
      </w:r>
    </w:p>
    <w:p>
      <w:pPr>
        <w:spacing w:after="0" w:line="170" w:lineRule="exact"/>
        <w:rPr>
          <w:rFonts w:ascii="Arial" w:cs="Arial" w:eastAsia="Arial" w:hAnsi="Arial"/>
          <w:sz w:val="18"/>
          <w:szCs w:val="18"/>
          <w:color w:val="auto"/>
        </w:rPr>
      </w:pPr>
    </w:p>
    <w:p>
      <w:pPr>
        <w:ind w:left="640" w:right="20" w:hanging="319"/>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advance expenses to our directors, officers and employees in connection with a legal proceeding to the fullest extent permitted by the Delaware General Corporation Law, subject to limited exceptions; and</w:t>
      </w:r>
    </w:p>
    <w:p>
      <w:pPr>
        <w:spacing w:after="0" w:line="170" w:lineRule="exact"/>
        <w:rPr>
          <w:rFonts w:ascii="Arial" w:cs="Arial" w:eastAsia="Arial" w:hAnsi="Arial"/>
          <w:sz w:val="18"/>
          <w:szCs w:val="18"/>
          <w:color w:val="auto"/>
        </w:rPr>
      </w:pPr>
    </w:p>
    <w:p>
      <w:pPr>
        <w:ind w:left="640" w:hanging="319"/>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rights provided in our amended and restated bylaws are not exclusive.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288925</wp:posOffset>
            </wp:positionV>
            <wp:extent cx="582930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29300" cy="25400"/>
                    </a:xfrm>
                    <a:prstGeom prst="rect">
                      <a:avLst/>
                    </a:prstGeom>
                    <a:noFill/>
                  </pic:spPr>
                </pic:pic>
              </a:graphicData>
            </a:graphic>
          </wp:anchor>
        </w:drawing>
      </w:r>
    </w:p>
    <w:p>
      <w:pPr>
        <w:sectPr>
          <w:pgSz w:w="11900" w:h="16838" w:orient="portrait"/>
          <w:cols w:equalWidth="0" w:num="1">
            <w:col w:w="9160"/>
          </w:cols>
          <w:pgMar w:left="1360" w:top="45" w:right="1379" w:bottom="1440" w:gutter="0" w:footer="0" w:header="0"/>
        </w:sectPr>
      </w:pPr>
    </w:p>
    <w:bookmarkStart w:id="3" w:name="page4"/>
    <w:bookmarkEnd w:id="3"/>
    <w:p>
      <w:pPr>
        <w:ind w:left="3"/>
        <w:spacing w:after="0" w:line="269" w:lineRule="auto"/>
        <w:rPr>
          <w:sz w:val="20"/>
          <w:szCs w:val="20"/>
          <w:color w:val="auto"/>
        </w:rPr>
      </w:pPr>
      <w:r>
        <w:rPr>
          <w:rFonts w:ascii="Arial" w:cs="Arial" w:eastAsia="Arial" w:hAnsi="Arial"/>
          <w:sz w:val="17"/>
          <w:szCs w:val="17"/>
          <w:color w:val="auto"/>
        </w:rPr>
        <w:t>Our amended and restated certificate of incorporation and our amended and restated bylaws provide for the indemnification provisions described above and elsewhere herein. We have also entered into separate indemnification agreements with our directors and officers which may be broader than the specific indemnification provisions contained in the Delaware General Corporation Law. These indemnification agreements generally require us, among other things, to indemnify our officers and directors against liabilities that may arise by reason of their status or service as directors or officers, other than liabilities arising from willful misconduct. These indemnification agreements also generally require us to advance any expenses incurred by the directors or officers as a result of any proceeding against them as to which they could be indemnified. In addition, we have purchased a policy of directors’ and officers’ liability insurance that insures our directors and officers against the cost of defense, settlement or payment of a judgment in some circumstances. These indemnification provisions and the indemnification agreements may be sufficiently broad to permit indemnification of our officers and directors for liabilities, including reimbursement of expenses incurred, arising under the Securities Act.</w:t>
      </w:r>
    </w:p>
    <w:p>
      <w:pPr>
        <w:sectPr>
          <w:pgSz w:w="11900" w:h="16838" w:orient="portrait"/>
          <w:cols w:equalWidth="0" w:num="1">
            <w:col w:w="9123"/>
          </w:cols>
          <w:pgMar w:left="1357" w:top="45" w:right="1419" w:bottom="1440" w:gutter="0" w:footer="0" w:header="0"/>
        </w:sectPr>
      </w:pPr>
    </w:p>
    <w:p>
      <w:pPr>
        <w:spacing w:after="0" w:line="178"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u w:val="single" w:color="auto"/>
          <w:color w:val="auto"/>
        </w:rPr>
        <w:t>Exemption from Registration Claimed</w:t>
      </w:r>
      <w:r>
        <w:rPr>
          <w:rFonts w:ascii="Arial" w:cs="Arial" w:eastAsia="Arial" w:hAnsi="Arial"/>
          <w:sz w:val="18"/>
          <w:szCs w:val="18"/>
          <w:b w:val="1"/>
          <w:bCs w:val="1"/>
          <w:color w:val="auto"/>
        </w:rPr>
        <w:t>.</w:t>
      </w:r>
    </w:p>
    <w:p>
      <w:pPr>
        <w:spacing w:after="0" w:line="229" w:lineRule="exact"/>
        <w:rPr>
          <w:sz w:val="20"/>
          <w:szCs w:val="20"/>
          <w:color w:val="auto"/>
        </w:rPr>
      </w:pPr>
    </w:p>
    <w:p>
      <w:pPr>
        <w:ind w:left="3"/>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u w:val="single" w:color="auto"/>
          <w:color w:val="auto"/>
        </w:rPr>
        <w:t>Exhibits</w:t>
      </w:r>
      <w:r>
        <w:rPr>
          <w:rFonts w:ascii="Arial" w:cs="Arial" w:eastAsia="Arial" w:hAnsi="Arial"/>
          <w:sz w:val="18"/>
          <w:szCs w:val="18"/>
          <w:b w:val="1"/>
          <w:bCs w:val="1"/>
          <w:color w:val="auto"/>
        </w:rPr>
        <w:t>.</w:t>
      </w:r>
    </w:p>
    <w:p>
      <w:pPr>
        <w:spacing w:after="0" w:line="234" w:lineRule="exact"/>
        <w:rPr>
          <w:sz w:val="20"/>
          <w:szCs w:val="20"/>
          <w:color w:val="auto"/>
        </w:rPr>
      </w:pPr>
    </w:p>
    <w:tbl>
      <w:tblPr>
        <w:tblLayout w:type="fixed"/>
        <w:tblInd w:w="3" w:type="dxa"/>
        <w:tblCellMar>
          <w:top w:w="0" w:type="dxa"/>
          <w:left w:w="0" w:type="dxa"/>
          <w:bottom w:w="0" w:type="dxa"/>
          <w:right w:w="0" w:type="dxa"/>
        </w:tblCellMar>
      </w:tblPr>
      <w:tr>
        <w:trPr>
          <w:trHeight w:val="171"/>
        </w:trPr>
        <w:tc>
          <w:tcPr>
            <w:tcW w:w="1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1"/>
              </w:rPr>
              <w:t>Incorporated by Reference</w:t>
            </w: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6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560" w:type="dxa"/>
            <w:vAlign w:val="bottom"/>
            <w:gridSpan w:val="12"/>
            <w:vMerge w:val="restart"/>
          </w:tcPr>
          <w:p>
            <w:pPr>
              <w:ind w:left="160"/>
              <w:spacing w:after="0"/>
              <w:rPr>
                <w:sz w:val="20"/>
                <w:szCs w:val="20"/>
                <w:color w:val="auto"/>
              </w:rPr>
            </w:pPr>
            <w:r>
              <w:rPr>
                <w:rFonts w:ascii="Arial" w:cs="Arial" w:eastAsia="Arial" w:hAnsi="Arial"/>
                <w:sz w:val="14"/>
                <w:szCs w:val="14"/>
                <w:b w:val="1"/>
                <w:bCs w:val="1"/>
                <w:color w:val="auto"/>
              </w:rPr>
              <w:t>Exhibit Description</w:t>
            </w:r>
          </w:p>
        </w:tc>
        <w:tc>
          <w:tcPr>
            <w:tcW w:w="180" w:type="dxa"/>
            <w:vAlign w:val="bottom"/>
            <w:vMerge w:val="restart"/>
          </w:tcPr>
          <w:p>
            <w:pPr>
              <w:spacing w:after="0"/>
              <w:rPr>
                <w:sz w:val="10"/>
                <w:szCs w:val="10"/>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240" w:type="dxa"/>
            <w:vAlign w:val="bottom"/>
          </w:tcPr>
          <w:p>
            <w:pPr>
              <w:spacing w:after="0"/>
              <w:rPr>
                <w:sz w:val="10"/>
                <w:szCs w:val="10"/>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Date</w:t>
            </w:r>
          </w:p>
        </w:tc>
        <w:tc>
          <w:tcPr>
            <w:tcW w:w="180" w:type="dxa"/>
            <w:vAlign w:val="bottom"/>
            <w:vMerge w:val="restart"/>
          </w:tcPr>
          <w:p>
            <w:pPr>
              <w:spacing w:after="0"/>
              <w:rPr>
                <w:sz w:val="10"/>
                <w:szCs w:val="10"/>
                <w:color w:val="auto"/>
              </w:rPr>
            </w:pPr>
          </w:p>
        </w:tc>
        <w:tc>
          <w:tcPr>
            <w:tcW w:w="180" w:type="dxa"/>
            <w:vAlign w:val="bottom"/>
            <w:vMerge w:val="restart"/>
          </w:tcPr>
          <w:p>
            <w:pPr>
              <w:spacing w:after="0"/>
              <w:rPr>
                <w:sz w:val="10"/>
                <w:szCs w:val="10"/>
                <w:color w:val="auto"/>
              </w:rPr>
            </w:pPr>
          </w:p>
        </w:tc>
        <w:tc>
          <w:tcPr>
            <w:tcW w:w="720" w:type="dxa"/>
            <w:vAlign w:val="bottom"/>
          </w:tcPr>
          <w:p>
            <w:pPr>
              <w:jc w:val="center"/>
              <w:ind w:right="95"/>
              <w:spacing w:after="0" w:line="119" w:lineRule="exact"/>
              <w:rPr>
                <w:sz w:val="20"/>
                <w:szCs w:val="20"/>
                <w:color w:val="auto"/>
              </w:rPr>
            </w:pPr>
            <w:r>
              <w:rPr>
                <w:rFonts w:ascii="Arial" w:cs="Arial" w:eastAsia="Arial" w:hAnsi="Arial"/>
                <w:sz w:val="13"/>
                <w:szCs w:val="13"/>
                <w:b w:val="1"/>
                <w:bCs w:val="1"/>
                <w:color w:val="auto"/>
              </w:rPr>
              <w:t>Exhibit</w:t>
            </w:r>
          </w:p>
        </w:tc>
        <w:tc>
          <w:tcPr>
            <w:tcW w:w="0" w:type="dxa"/>
            <w:vAlign w:val="bottom"/>
          </w:tcPr>
          <w:p>
            <w:pPr>
              <w:spacing w:after="0"/>
              <w:rPr>
                <w:sz w:val="1"/>
                <w:szCs w:val="1"/>
                <w:color w:val="auto"/>
              </w:rPr>
            </w:pPr>
          </w:p>
        </w:tc>
      </w:tr>
      <w:tr>
        <w:trPr>
          <w:trHeight w:val="171"/>
        </w:trPr>
        <w:tc>
          <w:tcPr>
            <w:tcW w:w="1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12"/>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385"/>
        </w:trPr>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tcBorders>
              <w:bottom w:val="single" w:sz="8" w:color="0000EE"/>
            </w:tcBorders>
            <w:gridSpan w:val="10"/>
          </w:tcPr>
          <w:p>
            <w:pPr>
              <w:spacing w:after="0"/>
              <w:rPr>
                <w:rFonts w:ascii="Arial" w:cs="Arial" w:eastAsia="Arial" w:hAnsi="Arial"/>
                <w:sz w:val="18"/>
                <w:szCs w:val="18"/>
                <w:color w:val="0000EE"/>
                <w:w w:val="90"/>
              </w:rPr>
            </w:pPr>
            <w:hyperlink r:id="rId21">
              <w:r>
                <w:rPr>
                  <w:rFonts w:ascii="Arial" w:cs="Arial" w:eastAsia="Arial" w:hAnsi="Arial"/>
                  <w:sz w:val="18"/>
                  <w:szCs w:val="18"/>
                  <w:color w:val="0000EE"/>
                  <w:w w:val="90"/>
                </w:rPr>
                <w:t>Amended and Restated Certificate of</w:t>
              </w:r>
            </w:hyperlink>
          </w:p>
        </w:tc>
        <w:tc>
          <w:tcPr>
            <w:tcW w:w="1100" w:type="dxa"/>
            <w:vAlign w:val="bottom"/>
            <w:gridSpan w:val="8"/>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ind w:left="120"/>
              <w:spacing w:after="0" w:line="196" w:lineRule="exact"/>
              <w:rPr>
                <w:sz w:val="20"/>
                <w:szCs w:val="20"/>
                <w:color w:val="auto"/>
              </w:rPr>
            </w:pPr>
            <w:r>
              <w:rPr>
                <w:rFonts w:ascii="Arial" w:cs="Arial" w:eastAsia="Arial" w:hAnsi="Arial"/>
                <w:sz w:val="18"/>
                <w:szCs w:val="18"/>
                <w:color w:val="auto"/>
              </w:rPr>
              <w:t>4.1</w:t>
            </w:r>
          </w:p>
        </w:tc>
        <w:tc>
          <w:tcPr>
            <w:tcW w:w="240" w:type="dxa"/>
            <w:vAlign w:val="bottom"/>
          </w:tcPr>
          <w:p>
            <w:pPr>
              <w:spacing w:after="0"/>
              <w:rPr>
                <w:sz w:val="17"/>
                <w:szCs w:val="17"/>
                <w:color w:val="auto"/>
              </w:rPr>
            </w:pPr>
          </w:p>
        </w:tc>
        <w:tc>
          <w:tcPr>
            <w:tcW w:w="3780" w:type="dxa"/>
            <w:vAlign w:val="bottom"/>
            <w:gridSpan w:val="18"/>
          </w:tcPr>
          <w:p>
            <w:pPr>
              <w:spacing w:after="0" w:line="196" w:lineRule="exact"/>
              <w:rPr>
                <w:rFonts w:ascii="Arial" w:cs="Arial" w:eastAsia="Arial" w:hAnsi="Arial"/>
                <w:sz w:val="18"/>
                <w:szCs w:val="18"/>
                <w:color w:val="0000EE"/>
              </w:rPr>
            </w:pPr>
            <w:hyperlink r:id="rId21">
              <w:r>
                <w:rPr>
                  <w:rFonts w:ascii="Arial" w:cs="Arial" w:eastAsia="Arial" w:hAnsi="Arial"/>
                  <w:sz w:val="18"/>
                  <w:szCs w:val="18"/>
                  <w:color w:val="0000EE"/>
                </w:rPr>
                <w:t>Incorporation</w:t>
              </w:r>
              <w:r>
                <w:rPr>
                  <w:rFonts w:ascii="Arial" w:cs="Arial" w:eastAsia="Arial" w:hAnsi="Arial"/>
                  <w:sz w:val="18"/>
                  <w:szCs w:val="18"/>
                  <w:color w:val="000000"/>
                </w:rPr>
                <w:t>.</w:t>
              </w:r>
            </w:hyperlink>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rPr>
              <w:t>8</w:t>
            </w:r>
            <w:r>
              <w:rPr>
                <w:rFonts w:ascii="MS PGothic" w:cs="MS PGothic" w:eastAsia="MS PGothic" w:hAnsi="MS PGothic"/>
                <w:sz w:val="18"/>
                <w:szCs w:val="18"/>
                <w:color w:val="auto"/>
              </w:rPr>
              <w:t>‑</w:t>
            </w:r>
            <w:r>
              <w:rPr>
                <w:rFonts w:ascii="Arial" w:cs="Arial" w:eastAsia="Arial" w:hAnsi="Arial"/>
                <w:sz w:val="18"/>
                <w:szCs w:val="18"/>
                <w:color w:val="auto"/>
              </w:rPr>
              <w:t>K</w:t>
            </w:r>
          </w:p>
        </w:tc>
        <w:tc>
          <w:tcPr>
            <w:tcW w:w="240" w:type="dxa"/>
            <w:vAlign w:val="bottom"/>
          </w:tcPr>
          <w:p>
            <w:pPr>
              <w:spacing w:after="0"/>
              <w:rPr>
                <w:sz w:val="17"/>
                <w:szCs w:val="17"/>
                <w:color w:val="auto"/>
              </w:rPr>
            </w:pPr>
          </w:p>
        </w:tc>
        <w:tc>
          <w:tcPr>
            <w:tcW w:w="1480" w:type="dxa"/>
            <w:vAlign w:val="bottom"/>
            <w:gridSpan w:val="3"/>
          </w:tcPr>
          <w:p>
            <w:pPr>
              <w:jc w:val="center"/>
              <w:ind w:right="360"/>
              <w:spacing w:after="0" w:line="196" w:lineRule="exact"/>
              <w:rPr>
                <w:sz w:val="20"/>
                <w:szCs w:val="20"/>
                <w:color w:val="auto"/>
              </w:rPr>
            </w:pPr>
            <w:r>
              <w:rPr>
                <w:rFonts w:ascii="Arial" w:cs="Arial" w:eastAsia="Arial" w:hAnsi="Arial"/>
                <w:sz w:val="18"/>
                <w:szCs w:val="18"/>
                <w:color w:val="auto"/>
                <w:w w:val="87"/>
              </w:rPr>
              <w:t>June 24, 2014</w:t>
            </w:r>
          </w:p>
        </w:tc>
        <w:tc>
          <w:tcPr>
            <w:tcW w:w="720" w:type="dxa"/>
            <w:vAlign w:val="bottom"/>
          </w:tcPr>
          <w:p>
            <w:pPr>
              <w:jc w:val="center"/>
              <w:ind w:right="95"/>
              <w:spacing w:after="0" w:line="196" w:lineRule="exact"/>
              <w:rPr>
                <w:sz w:val="20"/>
                <w:szCs w:val="20"/>
                <w:color w:val="auto"/>
              </w:rPr>
            </w:pPr>
            <w:r>
              <w:rPr>
                <w:rFonts w:ascii="Arial" w:cs="Arial" w:eastAsia="Arial" w:hAnsi="Arial"/>
                <w:sz w:val="18"/>
                <w:szCs w:val="18"/>
                <w:color w:val="auto"/>
                <w:w w:val="87"/>
              </w:rPr>
              <w:t>3.1</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tcPr>
          <w:p>
            <w:pPr>
              <w:ind w:left="12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4"/>
                <w:szCs w:val="24"/>
                <w:color w:val="auto"/>
              </w:rPr>
            </w:pPr>
          </w:p>
        </w:tc>
        <w:tc>
          <w:tcPr>
            <w:tcW w:w="3780" w:type="dxa"/>
            <w:vAlign w:val="bottom"/>
            <w:gridSpan w:val="18"/>
          </w:tcPr>
          <w:p>
            <w:pPr>
              <w:spacing w:after="0"/>
              <w:rPr>
                <w:rFonts w:ascii="Arial" w:cs="Arial" w:eastAsia="Arial" w:hAnsi="Arial"/>
                <w:sz w:val="18"/>
                <w:szCs w:val="18"/>
                <w:color w:val="0000EE"/>
              </w:rPr>
            </w:pPr>
            <w:hyperlink r:id="rId22">
              <w:r>
                <w:rPr>
                  <w:rFonts w:ascii="Arial" w:cs="Arial" w:eastAsia="Arial" w:hAnsi="Arial"/>
                  <w:sz w:val="18"/>
                  <w:szCs w:val="18"/>
                  <w:color w:val="0000EE"/>
                </w:rPr>
                <w:t>Amended and Restated Bylaws</w:t>
              </w:r>
            </w:hyperlink>
            <w:r>
              <w:rPr>
                <w:rFonts w:ascii="Arial" w:cs="Arial" w:eastAsia="Arial" w:hAnsi="Arial"/>
                <w:sz w:val="18"/>
                <w:szCs w:val="18"/>
                <w:color w:val="000000"/>
              </w:rPr>
              <w:t>.</w:t>
            </w:r>
          </w:p>
        </w:tc>
        <w:tc>
          <w:tcPr>
            <w:tcW w:w="660" w:type="dxa"/>
            <w:vAlign w:val="bottom"/>
          </w:tcPr>
          <w:p>
            <w:pPr>
              <w:jc w:val="center"/>
              <w:spacing w:after="0" w:line="207" w:lineRule="exact"/>
              <w:rPr>
                <w:sz w:val="20"/>
                <w:szCs w:val="20"/>
                <w:color w:val="auto"/>
              </w:rPr>
            </w:pPr>
            <w:r>
              <w:rPr>
                <w:rFonts w:ascii="Arial" w:cs="Arial" w:eastAsia="Arial" w:hAnsi="Arial"/>
                <w:sz w:val="18"/>
                <w:szCs w:val="18"/>
                <w:color w:val="auto"/>
              </w:rPr>
              <w:t>8</w:t>
            </w:r>
            <w:r>
              <w:rPr>
                <w:rFonts w:ascii="MS PGothic" w:cs="MS PGothic" w:eastAsia="MS PGothic" w:hAnsi="MS PGothic"/>
                <w:sz w:val="18"/>
                <w:szCs w:val="18"/>
                <w:color w:val="auto"/>
              </w:rPr>
              <w:t>‑</w:t>
            </w:r>
            <w:r>
              <w:rPr>
                <w:rFonts w:ascii="Arial" w:cs="Arial" w:eastAsia="Arial" w:hAnsi="Arial"/>
                <w:sz w:val="18"/>
                <w:szCs w:val="18"/>
                <w:color w:val="auto"/>
              </w:rPr>
              <w:t>K</w:t>
            </w:r>
          </w:p>
        </w:tc>
        <w:tc>
          <w:tcPr>
            <w:tcW w:w="240" w:type="dxa"/>
            <w:vAlign w:val="bottom"/>
          </w:tcPr>
          <w:p>
            <w:pPr>
              <w:spacing w:after="0"/>
              <w:rPr>
                <w:sz w:val="24"/>
                <w:szCs w:val="24"/>
                <w:color w:val="auto"/>
              </w:rPr>
            </w:pPr>
          </w:p>
        </w:tc>
        <w:tc>
          <w:tcPr>
            <w:tcW w:w="1480" w:type="dxa"/>
            <w:vAlign w:val="bottom"/>
            <w:gridSpan w:val="3"/>
          </w:tcPr>
          <w:p>
            <w:pPr>
              <w:jc w:val="center"/>
              <w:ind w:right="360"/>
              <w:spacing w:after="0"/>
              <w:rPr>
                <w:sz w:val="20"/>
                <w:szCs w:val="20"/>
                <w:color w:val="auto"/>
              </w:rPr>
            </w:pPr>
            <w:r>
              <w:rPr>
                <w:rFonts w:ascii="Arial" w:cs="Arial" w:eastAsia="Arial" w:hAnsi="Arial"/>
                <w:sz w:val="18"/>
                <w:szCs w:val="18"/>
                <w:color w:val="auto"/>
                <w:w w:val="87"/>
              </w:rPr>
              <w:t>June 24, 2014</w:t>
            </w:r>
          </w:p>
        </w:tc>
        <w:tc>
          <w:tcPr>
            <w:tcW w:w="720" w:type="dxa"/>
            <w:vAlign w:val="bottom"/>
          </w:tcPr>
          <w:p>
            <w:pPr>
              <w:jc w:val="center"/>
              <w:ind w:right="95"/>
              <w:spacing w:after="0"/>
              <w:rPr>
                <w:sz w:val="20"/>
                <w:szCs w:val="20"/>
                <w:color w:val="auto"/>
              </w:rPr>
            </w:pPr>
            <w:r>
              <w:rPr>
                <w:rFonts w:ascii="Arial" w:cs="Arial" w:eastAsia="Arial" w:hAnsi="Arial"/>
                <w:sz w:val="18"/>
                <w:szCs w:val="18"/>
                <w:color w:val="auto"/>
                <w:w w:val="87"/>
              </w:rPr>
              <w:t>3.2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tcPr>
          <w:p>
            <w:pPr>
              <w:ind w:left="120"/>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24"/>
                <w:szCs w:val="24"/>
                <w:color w:val="auto"/>
              </w:rPr>
            </w:pPr>
          </w:p>
        </w:tc>
        <w:tc>
          <w:tcPr>
            <w:tcW w:w="3780" w:type="dxa"/>
            <w:vAlign w:val="bottom"/>
            <w:gridSpan w:val="18"/>
          </w:tcPr>
          <w:p>
            <w:pPr>
              <w:spacing w:after="0"/>
              <w:rPr>
                <w:rFonts w:ascii="Arial" w:cs="Arial" w:eastAsia="Arial" w:hAnsi="Arial"/>
                <w:sz w:val="18"/>
                <w:szCs w:val="18"/>
                <w:color w:val="0000EE"/>
              </w:rPr>
            </w:pPr>
            <w:hyperlink r:id="rId23">
              <w:r>
                <w:rPr>
                  <w:rFonts w:ascii="Arial" w:cs="Arial" w:eastAsia="Arial" w:hAnsi="Arial"/>
                  <w:sz w:val="18"/>
                  <w:szCs w:val="18"/>
                  <w:color w:val="0000EE"/>
                </w:rPr>
                <w:t>Form of Common Stock Certificate</w:t>
              </w:r>
            </w:hyperlink>
            <w:r>
              <w:rPr>
                <w:rFonts w:ascii="Arial" w:cs="Arial" w:eastAsia="Arial" w:hAnsi="Arial"/>
                <w:sz w:val="18"/>
                <w:szCs w:val="18"/>
                <w:color w:val="000000"/>
              </w:rPr>
              <w:t>.</w:t>
            </w:r>
          </w:p>
        </w:tc>
        <w:tc>
          <w:tcPr>
            <w:tcW w:w="660" w:type="dxa"/>
            <w:vAlign w:val="bottom"/>
          </w:tcPr>
          <w:p>
            <w:pPr>
              <w:jc w:val="center"/>
              <w:spacing w:after="0" w:line="207" w:lineRule="exact"/>
              <w:rPr>
                <w:sz w:val="20"/>
                <w:szCs w:val="20"/>
                <w:color w:val="auto"/>
              </w:rPr>
            </w:pPr>
            <w:r>
              <w:rPr>
                <w:rFonts w:ascii="Arial" w:cs="Arial" w:eastAsia="Arial" w:hAnsi="Arial"/>
                <w:sz w:val="18"/>
                <w:szCs w:val="18"/>
                <w:color w:val="auto"/>
                <w:w w:val="94"/>
              </w:rPr>
              <w:t>S</w:t>
            </w:r>
            <w:r>
              <w:rPr>
                <w:rFonts w:ascii="MS PGothic" w:cs="MS PGothic" w:eastAsia="MS PGothic" w:hAnsi="MS PGothic"/>
                <w:sz w:val="18"/>
                <w:szCs w:val="18"/>
                <w:color w:val="auto"/>
                <w:w w:val="94"/>
              </w:rPr>
              <w:t>‑</w:t>
            </w:r>
            <w:r>
              <w:rPr>
                <w:rFonts w:ascii="Arial" w:cs="Arial" w:eastAsia="Arial" w:hAnsi="Arial"/>
                <w:sz w:val="18"/>
                <w:szCs w:val="18"/>
                <w:color w:val="auto"/>
                <w:w w:val="94"/>
              </w:rPr>
              <w:t>1/A</w:t>
            </w:r>
          </w:p>
        </w:tc>
        <w:tc>
          <w:tcPr>
            <w:tcW w:w="240" w:type="dxa"/>
            <w:vAlign w:val="bottom"/>
          </w:tcPr>
          <w:p>
            <w:pPr>
              <w:spacing w:after="0"/>
              <w:rPr>
                <w:sz w:val="24"/>
                <w:szCs w:val="24"/>
                <w:color w:val="auto"/>
              </w:rPr>
            </w:pPr>
          </w:p>
        </w:tc>
        <w:tc>
          <w:tcPr>
            <w:tcW w:w="1480" w:type="dxa"/>
            <w:vAlign w:val="bottom"/>
            <w:gridSpan w:val="3"/>
          </w:tcPr>
          <w:p>
            <w:pPr>
              <w:jc w:val="center"/>
              <w:ind w:right="360"/>
              <w:spacing w:after="0"/>
              <w:rPr>
                <w:sz w:val="20"/>
                <w:szCs w:val="20"/>
                <w:color w:val="auto"/>
              </w:rPr>
            </w:pPr>
            <w:r>
              <w:rPr>
                <w:rFonts w:ascii="Arial" w:cs="Arial" w:eastAsia="Arial" w:hAnsi="Arial"/>
                <w:sz w:val="18"/>
                <w:szCs w:val="18"/>
                <w:color w:val="auto"/>
                <w:w w:val="87"/>
              </w:rPr>
              <w:t>June 18, 2014</w:t>
            </w:r>
          </w:p>
        </w:tc>
        <w:tc>
          <w:tcPr>
            <w:tcW w:w="720" w:type="dxa"/>
            <w:vAlign w:val="bottom"/>
          </w:tcPr>
          <w:p>
            <w:pPr>
              <w:jc w:val="center"/>
              <w:ind w:right="95"/>
              <w:spacing w:after="0"/>
              <w:rPr>
                <w:sz w:val="20"/>
                <w:szCs w:val="20"/>
                <w:color w:val="auto"/>
              </w:rPr>
            </w:pPr>
            <w:r>
              <w:rPr>
                <w:rFonts w:ascii="Arial" w:cs="Arial" w:eastAsia="Arial" w:hAnsi="Arial"/>
                <w:sz w:val="18"/>
                <w:szCs w:val="18"/>
                <w:color w:val="auto"/>
                <w:w w:val="87"/>
              </w:rPr>
              <w:t>4.2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tcPr>
          <w:p>
            <w:pPr>
              <w:ind w:left="120"/>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24"/>
                <w:szCs w:val="24"/>
                <w:color w:val="auto"/>
              </w:rPr>
            </w:pPr>
          </w:p>
        </w:tc>
        <w:tc>
          <w:tcPr>
            <w:tcW w:w="3780" w:type="dxa"/>
            <w:vAlign w:val="bottom"/>
            <w:gridSpan w:val="18"/>
          </w:tcPr>
          <w:p>
            <w:pPr>
              <w:spacing w:after="0"/>
              <w:rPr>
                <w:sz w:val="20"/>
                <w:szCs w:val="20"/>
                <w:color w:val="auto"/>
              </w:rPr>
            </w:pPr>
            <w:r>
              <w:rPr>
                <w:rFonts w:ascii="Arial" w:cs="Arial" w:eastAsia="Arial" w:hAnsi="Arial"/>
                <w:sz w:val="18"/>
                <w:szCs w:val="18"/>
                <w:color w:val="0000EE"/>
              </w:rPr>
              <w:t>Opinion of Latham &amp; Watkins LLP</w:t>
            </w:r>
            <w:r>
              <w:rPr>
                <w:rFonts w:ascii="Arial" w:cs="Arial" w:eastAsia="Arial" w:hAnsi="Arial"/>
                <w:sz w:val="18"/>
                <w:szCs w:val="18"/>
                <w:color w:val="000000"/>
              </w:rPr>
              <w:t>.</w:t>
            </w: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80" w:type="dxa"/>
            <w:vAlign w:val="bottom"/>
            <w:gridSpan w:val="18"/>
          </w:tcPr>
          <w:p>
            <w:pPr>
              <w:spacing w:after="0"/>
              <w:rPr>
                <w:sz w:val="20"/>
                <w:szCs w:val="20"/>
                <w:color w:val="auto"/>
              </w:rPr>
            </w:pPr>
            <w:r>
              <w:rPr>
                <w:rFonts w:ascii="Arial" w:cs="Arial" w:eastAsia="Arial" w:hAnsi="Arial"/>
                <w:sz w:val="18"/>
                <w:szCs w:val="18"/>
                <w:color w:val="0000EE"/>
              </w:rPr>
              <w:t>Consent of Independent Registered Public</w:t>
            </w: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ind w:left="120"/>
              <w:spacing w:after="0" w:line="196" w:lineRule="exact"/>
              <w:rPr>
                <w:sz w:val="20"/>
                <w:szCs w:val="20"/>
                <w:color w:val="auto"/>
              </w:rPr>
            </w:pPr>
            <w:r>
              <w:rPr>
                <w:rFonts w:ascii="Arial" w:cs="Arial" w:eastAsia="Arial" w:hAnsi="Arial"/>
                <w:sz w:val="18"/>
                <w:szCs w:val="18"/>
                <w:color w:val="auto"/>
              </w:rPr>
              <w:t>23.1</w:t>
            </w:r>
          </w:p>
        </w:tc>
        <w:tc>
          <w:tcPr>
            <w:tcW w:w="240" w:type="dxa"/>
            <w:vAlign w:val="bottom"/>
          </w:tcPr>
          <w:p>
            <w:pPr>
              <w:spacing w:after="0"/>
              <w:rPr>
                <w:sz w:val="17"/>
                <w:szCs w:val="17"/>
                <w:color w:val="auto"/>
              </w:rPr>
            </w:pPr>
          </w:p>
        </w:tc>
        <w:tc>
          <w:tcPr>
            <w:tcW w:w="3040" w:type="dxa"/>
            <w:vAlign w:val="bottom"/>
            <w:tcBorders>
              <w:top w:val="single" w:sz="8" w:color="0000EE"/>
            </w:tcBorders>
            <w:gridSpan w:val="11"/>
          </w:tcPr>
          <w:p>
            <w:pPr>
              <w:spacing w:after="0" w:line="196" w:lineRule="exact"/>
              <w:rPr>
                <w:sz w:val="20"/>
                <w:szCs w:val="20"/>
                <w:color w:val="auto"/>
              </w:rPr>
            </w:pPr>
            <w:r>
              <w:rPr>
                <w:rFonts w:ascii="Arial" w:cs="Arial" w:eastAsia="Arial" w:hAnsi="Arial"/>
                <w:sz w:val="18"/>
                <w:szCs w:val="18"/>
                <w:color w:val="0000EE"/>
              </w:rPr>
              <w:t>Accounting Firm</w:t>
            </w:r>
            <w:r>
              <w:rPr>
                <w:rFonts w:ascii="Arial" w:cs="Arial" w:eastAsia="Arial" w:hAnsi="Arial"/>
                <w:sz w:val="18"/>
                <w:szCs w:val="18"/>
                <w:color w:val="000000"/>
              </w:rPr>
              <w:t>.</w:t>
            </w:r>
          </w:p>
        </w:tc>
        <w:tc>
          <w:tcPr>
            <w:tcW w:w="740" w:type="dxa"/>
            <w:vAlign w:val="bottom"/>
            <w:gridSpan w:val="7"/>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0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93"/>
              </w:rPr>
              <w:t>Consent of Latham &amp; Watkins LLP (included in</w:t>
            </w:r>
          </w:p>
        </w:tc>
        <w:tc>
          <w:tcPr>
            <w:tcW w:w="280" w:type="dxa"/>
            <w:vAlign w:val="bottom"/>
            <w:gridSpan w:val="2"/>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ind w:left="120"/>
              <w:spacing w:after="0" w:line="196" w:lineRule="exact"/>
              <w:rPr>
                <w:sz w:val="20"/>
                <w:szCs w:val="20"/>
                <w:color w:val="auto"/>
              </w:rPr>
            </w:pPr>
            <w:r>
              <w:rPr>
                <w:rFonts w:ascii="Arial" w:cs="Arial" w:eastAsia="Arial" w:hAnsi="Arial"/>
                <w:sz w:val="18"/>
                <w:szCs w:val="18"/>
                <w:color w:val="auto"/>
              </w:rPr>
              <w:t>23.2</w:t>
            </w:r>
          </w:p>
        </w:tc>
        <w:tc>
          <w:tcPr>
            <w:tcW w:w="240" w:type="dxa"/>
            <w:vAlign w:val="bottom"/>
          </w:tcPr>
          <w:p>
            <w:pPr>
              <w:spacing w:after="0"/>
              <w:rPr>
                <w:sz w:val="17"/>
                <w:szCs w:val="17"/>
                <w:color w:val="auto"/>
              </w:rPr>
            </w:pPr>
          </w:p>
        </w:tc>
        <w:tc>
          <w:tcPr>
            <w:tcW w:w="3780" w:type="dxa"/>
            <w:vAlign w:val="bottom"/>
            <w:gridSpan w:val="18"/>
          </w:tcPr>
          <w:p>
            <w:pPr>
              <w:spacing w:after="0" w:line="196" w:lineRule="exact"/>
              <w:rPr>
                <w:sz w:val="20"/>
                <w:szCs w:val="20"/>
                <w:color w:val="auto"/>
              </w:rPr>
            </w:pPr>
            <w:r>
              <w:rPr>
                <w:rFonts w:ascii="Arial" w:cs="Arial" w:eastAsia="Arial" w:hAnsi="Arial"/>
                <w:sz w:val="18"/>
                <w:szCs w:val="18"/>
                <w:color w:val="0000EE"/>
              </w:rPr>
              <w:t>Exhibit 5.1)</w:t>
            </w:r>
            <w:r>
              <w:rPr>
                <w:rFonts w:ascii="Arial" w:cs="Arial" w:eastAsia="Arial" w:hAnsi="Arial"/>
                <w:sz w:val="18"/>
                <w:szCs w:val="18"/>
                <w:color w:val="000000"/>
              </w:rPr>
              <w:t>.</w:t>
            </w: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80" w:type="dxa"/>
            <w:vAlign w:val="bottom"/>
            <w:gridSpan w:val="1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Power of Attorney (included on signature page</w:t>
              </w:r>
            </w:hyperlink>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ind w:left="120"/>
              <w:spacing w:after="0" w:line="196" w:lineRule="exact"/>
              <w:rPr>
                <w:sz w:val="20"/>
                <w:szCs w:val="20"/>
                <w:color w:val="auto"/>
              </w:rPr>
            </w:pPr>
            <w:r>
              <w:rPr>
                <w:rFonts w:ascii="Arial" w:cs="Arial" w:eastAsia="Arial" w:hAnsi="Arial"/>
                <w:sz w:val="18"/>
                <w:szCs w:val="18"/>
                <w:color w:val="auto"/>
              </w:rPr>
              <w:t>24.1</w:t>
            </w:r>
          </w:p>
        </w:tc>
        <w:tc>
          <w:tcPr>
            <w:tcW w:w="240" w:type="dxa"/>
            <w:vAlign w:val="bottom"/>
          </w:tcPr>
          <w:p>
            <w:pPr>
              <w:spacing w:after="0"/>
              <w:rPr>
                <w:sz w:val="17"/>
                <w:szCs w:val="17"/>
                <w:color w:val="auto"/>
              </w:rPr>
            </w:pPr>
          </w:p>
        </w:tc>
        <w:tc>
          <w:tcPr>
            <w:tcW w:w="33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hereto)</w:t>
              </w:r>
              <w:r>
                <w:rPr>
                  <w:rFonts w:ascii="Arial" w:cs="Arial" w:eastAsia="Arial" w:hAnsi="Arial"/>
                  <w:sz w:val="18"/>
                  <w:szCs w:val="18"/>
                  <w:color w:val="000000"/>
                </w:rPr>
                <w:t>.</w:t>
              </w:r>
            </w:hyperlink>
          </w:p>
        </w:tc>
        <w:tc>
          <w:tcPr>
            <w:tcW w:w="400" w:type="dxa"/>
            <w:vAlign w:val="bottom"/>
            <w:gridSpan w:val="4"/>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tcPr>
          <w:p>
            <w:pPr>
              <w:ind w:left="120"/>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24"/>
                <w:szCs w:val="24"/>
                <w:color w:val="auto"/>
              </w:rPr>
            </w:pPr>
          </w:p>
        </w:tc>
        <w:tc>
          <w:tcPr>
            <w:tcW w:w="3500" w:type="dxa"/>
            <w:vAlign w:val="bottom"/>
            <w:tcBorders>
              <w:bottom w:val="single" w:sz="8" w:color="0000EE"/>
            </w:tcBorders>
            <w:gridSpan w:val="16"/>
          </w:tcPr>
          <w:p>
            <w:pPr>
              <w:spacing w:after="0"/>
              <w:rPr>
                <w:rFonts w:ascii="Arial" w:cs="Arial" w:eastAsia="Arial" w:hAnsi="Arial"/>
                <w:sz w:val="18"/>
                <w:szCs w:val="18"/>
                <w:color w:val="0000EE"/>
                <w:w w:val="93"/>
              </w:rPr>
            </w:pPr>
            <w:hyperlink r:id="rId24">
              <w:r>
                <w:rPr>
                  <w:rFonts w:ascii="Arial" w:cs="Arial" w:eastAsia="Arial" w:hAnsi="Arial"/>
                  <w:sz w:val="18"/>
                  <w:szCs w:val="18"/>
                  <w:color w:val="0000EE"/>
                  <w:w w:val="93"/>
                </w:rPr>
                <w:t>Ardelyx, Inc. 2014 Equity Incentive Award Plan</w:t>
              </w:r>
            </w:hyperlink>
          </w:p>
        </w:tc>
        <w:tc>
          <w:tcPr>
            <w:tcW w:w="280" w:type="dxa"/>
            <w:vAlign w:val="bottom"/>
            <w:gridSpan w:val="2"/>
          </w:tcPr>
          <w:p>
            <w:pPr>
              <w:spacing w:after="0"/>
              <w:rPr>
                <w:sz w:val="24"/>
                <w:szCs w:val="24"/>
                <w:color w:val="auto"/>
              </w:rPr>
            </w:pPr>
          </w:p>
        </w:tc>
        <w:tc>
          <w:tcPr>
            <w:tcW w:w="660" w:type="dxa"/>
            <w:vAlign w:val="bottom"/>
          </w:tcPr>
          <w:p>
            <w:pPr>
              <w:jc w:val="center"/>
              <w:spacing w:after="0" w:line="207" w:lineRule="exact"/>
              <w:rPr>
                <w:sz w:val="20"/>
                <w:szCs w:val="20"/>
                <w:color w:val="auto"/>
              </w:rPr>
            </w:pPr>
            <w:r>
              <w:rPr>
                <w:rFonts w:ascii="Arial" w:cs="Arial" w:eastAsia="Arial" w:hAnsi="Arial"/>
                <w:sz w:val="18"/>
                <w:szCs w:val="18"/>
                <w:color w:val="auto"/>
                <w:w w:val="94"/>
              </w:rPr>
              <w:t>S</w:t>
            </w:r>
            <w:r>
              <w:rPr>
                <w:rFonts w:ascii="MS PGothic" w:cs="MS PGothic" w:eastAsia="MS PGothic" w:hAnsi="MS PGothic"/>
                <w:sz w:val="18"/>
                <w:szCs w:val="18"/>
                <w:color w:val="auto"/>
                <w:w w:val="94"/>
              </w:rPr>
              <w:t>‑</w:t>
            </w:r>
            <w:r>
              <w:rPr>
                <w:rFonts w:ascii="Arial" w:cs="Arial" w:eastAsia="Arial" w:hAnsi="Arial"/>
                <w:sz w:val="18"/>
                <w:szCs w:val="18"/>
                <w:color w:val="auto"/>
                <w:w w:val="94"/>
              </w:rPr>
              <w:t>8</w:t>
            </w:r>
          </w:p>
        </w:tc>
        <w:tc>
          <w:tcPr>
            <w:tcW w:w="240" w:type="dxa"/>
            <w:vAlign w:val="bottom"/>
          </w:tcPr>
          <w:p>
            <w:pPr>
              <w:spacing w:after="0"/>
              <w:rPr>
                <w:sz w:val="24"/>
                <w:szCs w:val="24"/>
                <w:color w:val="auto"/>
              </w:rPr>
            </w:pPr>
          </w:p>
        </w:tc>
        <w:tc>
          <w:tcPr>
            <w:tcW w:w="1480" w:type="dxa"/>
            <w:vAlign w:val="bottom"/>
            <w:gridSpan w:val="3"/>
          </w:tcPr>
          <w:p>
            <w:pPr>
              <w:jc w:val="center"/>
              <w:ind w:right="360"/>
              <w:spacing w:after="0"/>
              <w:rPr>
                <w:sz w:val="20"/>
                <w:szCs w:val="20"/>
                <w:color w:val="auto"/>
              </w:rPr>
            </w:pPr>
            <w:r>
              <w:rPr>
                <w:rFonts w:ascii="Arial" w:cs="Arial" w:eastAsia="Arial" w:hAnsi="Arial"/>
                <w:sz w:val="18"/>
                <w:szCs w:val="18"/>
                <w:color w:val="auto"/>
                <w:w w:val="89"/>
              </w:rPr>
              <w:t>July 14, 2014</w:t>
            </w:r>
          </w:p>
        </w:tc>
        <w:tc>
          <w:tcPr>
            <w:tcW w:w="720" w:type="dxa"/>
            <w:vAlign w:val="bottom"/>
          </w:tcPr>
          <w:p>
            <w:pPr>
              <w:jc w:val="center"/>
              <w:ind w:right="75"/>
              <w:spacing w:after="0"/>
              <w:rPr>
                <w:sz w:val="20"/>
                <w:szCs w:val="20"/>
                <w:color w:val="auto"/>
              </w:rPr>
            </w:pPr>
            <w:r>
              <w:rPr>
                <w:rFonts w:ascii="Arial" w:cs="Arial" w:eastAsia="Arial" w:hAnsi="Arial"/>
                <w:sz w:val="18"/>
                <w:szCs w:val="18"/>
                <w:color w:val="auto"/>
                <w:w w:val="91"/>
              </w:rPr>
              <w:t>99.3</w:t>
            </w:r>
          </w:p>
        </w:tc>
        <w:tc>
          <w:tcPr>
            <w:tcW w:w="0" w:type="dxa"/>
            <w:vAlign w:val="bottom"/>
          </w:tcPr>
          <w:p>
            <w:pPr>
              <w:spacing w:after="0"/>
              <w:rPr>
                <w:sz w:val="1"/>
                <w:szCs w:val="1"/>
                <w:color w:val="auto"/>
              </w:rPr>
            </w:pPr>
          </w:p>
        </w:tc>
      </w:tr>
      <w:tr>
        <w:trPr>
          <w:trHeight w:val="412"/>
        </w:trPr>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80" w:type="dxa"/>
            <w:vAlign w:val="bottom"/>
            <w:gridSpan w:val="18"/>
          </w:tcPr>
          <w:p>
            <w:pPr>
              <w:spacing w:after="0"/>
              <w:rPr>
                <w:rFonts w:ascii="Arial" w:cs="Arial" w:eastAsia="Arial" w:hAnsi="Arial"/>
                <w:sz w:val="18"/>
                <w:szCs w:val="18"/>
                <w:color w:val="0000EE"/>
              </w:rPr>
            </w:pPr>
            <w:hyperlink r:id="rId25">
              <w:r>
                <w:rPr>
                  <w:rFonts w:ascii="Arial" w:cs="Arial" w:eastAsia="Arial" w:hAnsi="Arial"/>
                  <w:sz w:val="18"/>
                  <w:szCs w:val="18"/>
                  <w:color w:val="0000EE"/>
                </w:rPr>
                <w:t>Form of Stock Option Grant Notice and Stock</w:t>
              </w:r>
            </w:hyperlink>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16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8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25">
              <w:r>
                <w:rPr>
                  <w:rFonts w:ascii="Arial" w:cs="Arial" w:eastAsia="Arial" w:hAnsi="Arial"/>
                  <w:sz w:val="18"/>
                  <w:szCs w:val="18"/>
                  <w:color w:val="0000EE"/>
                  <w:w w:val="91"/>
                </w:rPr>
                <w:t>Option Agreement under the Ardelyx, Inc. 2014</w:t>
              </w:r>
            </w:hyperlink>
          </w:p>
        </w:tc>
        <w:tc>
          <w:tcPr>
            <w:tcW w:w="300" w:type="dxa"/>
            <w:vAlign w:val="bottom"/>
            <w:gridSpan w:val="3"/>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ind w:left="120"/>
              <w:spacing w:after="0" w:line="196" w:lineRule="exact"/>
              <w:rPr>
                <w:sz w:val="20"/>
                <w:szCs w:val="20"/>
                <w:color w:val="auto"/>
              </w:rPr>
            </w:pPr>
            <w:r>
              <w:rPr>
                <w:rFonts w:ascii="Arial" w:cs="Arial" w:eastAsia="Arial" w:hAnsi="Arial"/>
                <w:sz w:val="18"/>
                <w:szCs w:val="18"/>
                <w:color w:val="auto"/>
              </w:rPr>
              <w:t>99.2(#)</w:t>
            </w:r>
          </w:p>
        </w:tc>
        <w:tc>
          <w:tcPr>
            <w:tcW w:w="240" w:type="dxa"/>
            <w:vAlign w:val="bottom"/>
          </w:tcPr>
          <w:p>
            <w:pPr>
              <w:spacing w:after="0"/>
              <w:rPr>
                <w:sz w:val="17"/>
                <w:szCs w:val="17"/>
                <w:color w:val="auto"/>
              </w:rPr>
            </w:pPr>
          </w:p>
        </w:tc>
        <w:tc>
          <w:tcPr>
            <w:tcW w:w="3780" w:type="dxa"/>
            <w:vAlign w:val="bottom"/>
            <w:gridSpan w:val="18"/>
          </w:tcPr>
          <w:p>
            <w:pPr>
              <w:spacing w:after="0" w:line="196" w:lineRule="exact"/>
              <w:rPr>
                <w:rFonts w:ascii="Arial" w:cs="Arial" w:eastAsia="Arial" w:hAnsi="Arial"/>
                <w:sz w:val="18"/>
                <w:szCs w:val="18"/>
                <w:color w:val="0000EE"/>
              </w:rPr>
            </w:pPr>
            <w:hyperlink r:id="rId25">
              <w:r>
                <w:rPr>
                  <w:rFonts w:ascii="Arial" w:cs="Arial" w:eastAsia="Arial" w:hAnsi="Arial"/>
                  <w:sz w:val="18"/>
                  <w:szCs w:val="18"/>
                  <w:color w:val="0000EE"/>
                </w:rPr>
                <w:t>Equity Incentive Award Plan</w:t>
              </w:r>
            </w:hyperlink>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94"/>
              </w:rPr>
              <w:t>S</w:t>
            </w:r>
            <w:r>
              <w:rPr>
                <w:rFonts w:ascii="MS PGothic" w:cs="MS PGothic" w:eastAsia="MS PGothic" w:hAnsi="MS PGothic"/>
                <w:sz w:val="18"/>
                <w:szCs w:val="18"/>
                <w:color w:val="auto"/>
                <w:w w:val="94"/>
              </w:rPr>
              <w:t>‑</w:t>
            </w:r>
            <w:r>
              <w:rPr>
                <w:rFonts w:ascii="Arial" w:cs="Arial" w:eastAsia="Arial" w:hAnsi="Arial"/>
                <w:sz w:val="18"/>
                <w:szCs w:val="18"/>
                <w:color w:val="auto"/>
                <w:w w:val="94"/>
              </w:rPr>
              <w:t>1/A</w:t>
            </w:r>
          </w:p>
        </w:tc>
        <w:tc>
          <w:tcPr>
            <w:tcW w:w="240" w:type="dxa"/>
            <w:vAlign w:val="bottom"/>
          </w:tcPr>
          <w:p>
            <w:pPr>
              <w:spacing w:after="0"/>
              <w:rPr>
                <w:sz w:val="17"/>
                <w:szCs w:val="17"/>
                <w:color w:val="auto"/>
              </w:rPr>
            </w:pPr>
          </w:p>
        </w:tc>
        <w:tc>
          <w:tcPr>
            <w:tcW w:w="1480" w:type="dxa"/>
            <w:vAlign w:val="bottom"/>
            <w:gridSpan w:val="3"/>
          </w:tcPr>
          <w:p>
            <w:pPr>
              <w:jc w:val="center"/>
              <w:ind w:right="360"/>
              <w:spacing w:after="0" w:line="196" w:lineRule="exact"/>
              <w:rPr>
                <w:sz w:val="20"/>
                <w:szCs w:val="20"/>
                <w:color w:val="auto"/>
              </w:rPr>
            </w:pPr>
            <w:r>
              <w:rPr>
                <w:rFonts w:ascii="Arial" w:cs="Arial" w:eastAsia="Arial" w:hAnsi="Arial"/>
                <w:sz w:val="18"/>
                <w:szCs w:val="18"/>
                <w:color w:val="auto"/>
                <w:w w:val="88"/>
              </w:rPr>
              <w:t>June 9, 2014</w:t>
            </w:r>
          </w:p>
        </w:tc>
        <w:tc>
          <w:tcPr>
            <w:tcW w:w="720" w:type="dxa"/>
            <w:vAlign w:val="bottom"/>
          </w:tcPr>
          <w:p>
            <w:pPr>
              <w:jc w:val="center"/>
              <w:ind w:right="75"/>
              <w:spacing w:after="0" w:line="196" w:lineRule="exact"/>
              <w:rPr>
                <w:sz w:val="20"/>
                <w:szCs w:val="20"/>
                <w:color w:val="auto"/>
              </w:rPr>
            </w:pPr>
            <w:r>
              <w:rPr>
                <w:rFonts w:ascii="Arial" w:cs="Arial" w:eastAsia="Arial" w:hAnsi="Arial"/>
                <w:sz w:val="18"/>
                <w:szCs w:val="18"/>
                <w:color w:val="auto"/>
                <w:w w:val="91"/>
              </w:rPr>
              <w:t>10.6(b)</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00" w:type="dxa"/>
            <w:vAlign w:val="bottom"/>
            <w:tcBorders>
              <w:bottom w:val="single" w:sz="8" w:color="0000EE"/>
            </w:tcBorders>
            <w:gridSpan w:val="16"/>
          </w:tcPr>
          <w:p>
            <w:pPr>
              <w:spacing w:after="0"/>
              <w:rPr>
                <w:rFonts w:ascii="Arial" w:cs="Arial" w:eastAsia="Arial" w:hAnsi="Arial"/>
                <w:sz w:val="18"/>
                <w:szCs w:val="18"/>
                <w:color w:val="0000EE"/>
                <w:w w:val="91"/>
              </w:rPr>
            </w:pPr>
            <w:hyperlink r:id="rId26">
              <w:r>
                <w:rPr>
                  <w:rFonts w:ascii="Arial" w:cs="Arial" w:eastAsia="Arial" w:hAnsi="Arial"/>
                  <w:sz w:val="18"/>
                  <w:szCs w:val="18"/>
                  <w:color w:val="0000EE"/>
                  <w:w w:val="91"/>
                </w:rPr>
                <w:t>Form of Restricted Stock Award Agreement and</w:t>
              </w:r>
            </w:hyperlink>
          </w:p>
        </w:tc>
        <w:tc>
          <w:tcPr>
            <w:tcW w:w="280" w:type="dxa"/>
            <w:vAlign w:val="bottom"/>
            <w:gridSpan w:val="2"/>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8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26">
              <w:r>
                <w:rPr>
                  <w:rFonts w:ascii="Arial" w:cs="Arial" w:eastAsia="Arial" w:hAnsi="Arial"/>
                  <w:sz w:val="18"/>
                  <w:szCs w:val="18"/>
                  <w:color w:val="0000EE"/>
                  <w:w w:val="91"/>
                </w:rPr>
                <w:t>Restricted Stock Unit Award Agreement under</w:t>
              </w:r>
            </w:hyperlink>
          </w:p>
        </w:tc>
        <w:tc>
          <w:tcPr>
            <w:tcW w:w="400" w:type="dxa"/>
            <w:vAlign w:val="bottom"/>
            <w:gridSpan w:val="4"/>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780" w:type="dxa"/>
            <w:vAlign w:val="bottom"/>
            <w:gridSpan w:val="18"/>
          </w:tcPr>
          <w:p>
            <w:pPr>
              <w:spacing w:after="0" w:line="196" w:lineRule="exact"/>
              <w:rPr>
                <w:rFonts w:ascii="Arial" w:cs="Arial" w:eastAsia="Arial" w:hAnsi="Arial"/>
                <w:sz w:val="18"/>
                <w:szCs w:val="18"/>
                <w:color w:val="0000EE"/>
              </w:rPr>
            </w:pPr>
            <w:hyperlink r:id="rId26">
              <w:r>
                <w:rPr>
                  <w:rFonts w:ascii="Arial" w:cs="Arial" w:eastAsia="Arial" w:hAnsi="Arial"/>
                  <w:sz w:val="18"/>
                  <w:szCs w:val="18"/>
                  <w:color w:val="0000EE"/>
                </w:rPr>
                <w:t>the Ardelyx, Inc. 2014 Equity Incentive Award</w:t>
              </w:r>
            </w:hyperlink>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ind w:left="120"/>
              <w:spacing w:after="0" w:line="196" w:lineRule="exact"/>
              <w:rPr>
                <w:sz w:val="20"/>
                <w:szCs w:val="20"/>
                <w:color w:val="auto"/>
              </w:rPr>
            </w:pPr>
            <w:r>
              <w:rPr>
                <w:rFonts w:ascii="Arial" w:cs="Arial" w:eastAsia="Arial" w:hAnsi="Arial"/>
                <w:sz w:val="18"/>
                <w:szCs w:val="18"/>
                <w:color w:val="auto"/>
              </w:rPr>
              <w:t>99.3(#)</w:t>
            </w:r>
          </w:p>
        </w:tc>
        <w:tc>
          <w:tcPr>
            <w:tcW w:w="240" w:type="dxa"/>
            <w:vAlign w:val="bottom"/>
          </w:tcPr>
          <w:p>
            <w:pPr>
              <w:spacing w:after="0"/>
              <w:rPr>
                <w:sz w:val="17"/>
                <w:szCs w:val="17"/>
                <w:color w:val="auto"/>
              </w:rPr>
            </w:pPr>
          </w:p>
        </w:tc>
        <w:tc>
          <w:tcPr>
            <w:tcW w:w="33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26">
              <w:r>
                <w:rPr>
                  <w:rFonts w:ascii="Arial" w:cs="Arial" w:eastAsia="Arial" w:hAnsi="Arial"/>
                  <w:sz w:val="18"/>
                  <w:szCs w:val="18"/>
                  <w:color w:val="0000EE"/>
                </w:rPr>
                <w:t>Plan</w:t>
              </w:r>
            </w:hyperlink>
          </w:p>
        </w:tc>
        <w:tc>
          <w:tcPr>
            <w:tcW w:w="400" w:type="dxa"/>
            <w:vAlign w:val="bottom"/>
            <w:gridSpan w:val="4"/>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94"/>
              </w:rPr>
              <w:t>S</w:t>
            </w:r>
            <w:r>
              <w:rPr>
                <w:rFonts w:ascii="MS PGothic" w:cs="MS PGothic" w:eastAsia="MS PGothic" w:hAnsi="MS PGothic"/>
                <w:sz w:val="18"/>
                <w:szCs w:val="18"/>
                <w:color w:val="auto"/>
                <w:w w:val="94"/>
              </w:rPr>
              <w:t>‑</w:t>
            </w:r>
            <w:r>
              <w:rPr>
                <w:rFonts w:ascii="Arial" w:cs="Arial" w:eastAsia="Arial" w:hAnsi="Arial"/>
                <w:sz w:val="18"/>
                <w:szCs w:val="18"/>
                <w:color w:val="auto"/>
                <w:w w:val="94"/>
              </w:rPr>
              <w:t>1/A</w:t>
            </w:r>
          </w:p>
        </w:tc>
        <w:tc>
          <w:tcPr>
            <w:tcW w:w="240" w:type="dxa"/>
            <w:vAlign w:val="bottom"/>
          </w:tcPr>
          <w:p>
            <w:pPr>
              <w:spacing w:after="0"/>
              <w:rPr>
                <w:sz w:val="17"/>
                <w:szCs w:val="17"/>
                <w:color w:val="auto"/>
              </w:rPr>
            </w:pPr>
          </w:p>
        </w:tc>
        <w:tc>
          <w:tcPr>
            <w:tcW w:w="1480" w:type="dxa"/>
            <w:vAlign w:val="bottom"/>
            <w:gridSpan w:val="3"/>
          </w:tcPr>
          <w:p>
            <w:pPr>
              <w:jc w:val="center"/>
              <w:ind w:right="360"/>
              <w:spacing w:after="0" w:line="196" w:lineRule="exact"/>
              <w:rPr>
                <w:sz w:val="20"/>
                <w:szCs w:val="20"/>
                <w:color w:val="auto"/>
              </w:rPr>
            </w:pPr>
            <w:r>
              <w:rPr>
                <w:rFonts w:ascii="Arial" w:cs="Arial" w:eastAsia="Arial" w:hAnsi="Arial"/>
                <w:sz w:val="18"/>
                <w:szCs w:val="18"/>
                <w:color w:val="auto"/>
                <w:w w:val="88"/>
              </w:rPr>
              <w:t>June 9, 2014</w:t>
            </w:r>
          </w:p>
        </w:tc>
        <w:tc>
          <w:tcPr>
            <w:tcW w:w="720" w:type="dxa"/>
            <w:vAlign w:val="bottom"/>
          </w:tcPr>
          <w:p>
            <w:pPr>
              <w:jc w:val="center"/>
              <w:ind w:right="95"/>
              <w:spacing w:after="0" w:line="196" w:lineRule="exact"/>
              <w:rPr>
                <w:sz w:val="20"/>
                <w:szCs w:val="20"/>
                <w:color w:val="auto"/>
              </w:rPr>
            </w:pPr>
            <w:r>
              <w:rPr>
                <w:rFonts w:ascii="Arial" w:cs="Arial" w:eastAsia="Arial" w:hAnsi="Arial"/>
                <w:sz w:val="18"/>
                <w:szCs w:val="18"/>
                <w:color w:val="auto"/>
                <w:w w:val="89"/>
              </w:rPr>
              <w:t>10.6(c)</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200" w:type="dxa"/>
            <w:vAlign w:val="bottom"/>
            <w:gridSpan w:val="7"/>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tcPr>
          <w:p>
            <w:pPr>
              <w:ind w:left="120"/>
              <w:spacing w:after="0"/>
              <w:rPr>
                <w:sz w:val="20"/>
                <w:szCs w:val="20"/>
                <w:color w:val="auto"/>
              </w:rPr>
            </w:pPr>
            <w:r>
              <w:rPr>
                <w:rFonts w:ascii="Arial" w:cs="Arial" w:eastAsia="Arial" w:hAnsi="Arial"/>
                <w:sz w:val="18"/>
                <w:szCs w:val="18"/>
                <w:color w:val="auto"/>
              </w:rPr>
              <w:t>99.4(#)</w:t>
            </w:r>
          </w:p>
        </w:tc>
        <w:tc>
          <w:tcPr>
            <w:tcW w:w="240" w:type="dxa"/>
            <w:vAlign w:val="bottom"/>
          </w:tcPr>
          <w:p>
            <w:pPr>
              <w:spacing w:after="0"/>
              <w:rPr>
                <w:sz w:val="24"/>
                <w:szCs w:val="24"/>
                <w:color w:val="auto"/>
              </w:rPr>
            </w:pPr>
          </w:p>
        </w:tc>
        <w:tc>
          <w:tcPr>
            <w:tcW w:w="3780" w:type="dxa"/>
            <w:vAlign w:val="bottom"/>
            <w:gridSpan w:val="18"/>
          </w:tcPr>
          <w:p>
            <w:pPr>
              <w:spacing w:after="0"/>
              <w:rPr>
                <w:rFonts w:ascii="Arial" w:cs="Arial" w:eastAsia="Arial" w:hAnsi="Arial"/>
                <w:sz w:val="18"/>
                <w:szCs w:val="18"/>
                <w:color w:val="0000EE"/>
              </w:rPr>
            </w:pPr>
            <w:hyperlink r:id="rId27">
              <w:r>
                <w:rPr>
                  <w:rFonts w:ascii="Arial" w:cs="Arial" w:eastAsia="Arial" w:hAnsi="Arial"/>
                  <w:sz w:val="18"/>
                  <w:szCs w:val="18"/>
                  <w:color w:val="0000EE"/>
                </w:rPr>
                <w:t>Ardelyx, Inc. Employee Stock Purchase Plan</w:t>
              </w:r>
            </w:hyperlink>
          </w:p>
        </w:tc>
        <w:tc>
          <w:tcPr>
            <w:tcW w:w="660" w:type="dxa"/>
            <w:vAlign w:val="bottom"/>
          </w:tcPr>
          <w:p>
            <w:pPr>
              <w:jc w:val="center"/>
              <w:spacing w:after="0" w:line="207" w:lineRule="exact"/>
              <w:rPr>
                <w:sz w:val="20"/>
                <w:szCs w:val="20"/>
                <w:color w:val="auto"/>
              </w:rPr>
            </w:pPr>
            <w:r>
              <w:rPr>
                <w:rFonts w:ascii="Arial" w:cs="Arial" w:eastAsia="Arial" w:hAnsi="Arial"/>
                <w:sz w:val="18"/>
                <w:szCs w:val="18"/>
                <w:color w:val="auto"/>
                <w:w w:val="94"/>
              </w:rPr>
              <w:t>S</w:t>
            </w:r>
            <w:r>
              <w:rPr>
                <w:rFonts w:ascii="MS PGothic" w:cs="MS PGothic" w:eastAsia="MS PGothic" w:hAnsi="MS PGothic"/>
                <w:sz w:val="18"/>
                <w:szCs w:val="18"/>
                <w:color w:val="auto"/>
                <w:w w:val="94"/>
              </w:rPr>
              <w:t>‑</w:t>
            </w:r>
            <w:r>
              <w:rPr>
                <w:rFonts w:ascii="Arial" w:cs="Arial" w:eastAsia="Arial" w:hAnsi="Arial"/>
                <w:sz w:val="18"/>
                <w:szCs w:val="18"/>
                <w:color w:val="auto"/>
                <w:w w:val="94"/>
              </w:rPr>
              <w:t>8</w:t>
            </w:r>
          </w:p>
        </w:tc>
        <w:tc>
          <w:tcPr>
            <w:tcW w:w="240" w:type="dxa"/>
            <w:vAlign w:val="bottom"/>
          </w:tcPr>
          <w:p>
            <w:pPr>
              <w:spacing w:after="0"/>
              <w:rPr>
                <w:sz w:val="24"/>
                <w:szCs w:val="24"/>
                <w:color w:val="auto"/>
              </w:rPr>
            </w:pPr>
          </w:p>
        </w:tc>
        <w:tc>
          <w:tcPr>
            <w:tcW w:w="1480" w:type="dxa"/>
            <w:vAlign w:val="bottom"/>
            <w:gridSpan w:val="3"/>
          </w:tcPr>
          <w:p>
            <w:pPr>
              <w:jc w:val="center"/>
              <w:ind w:right="360"/>
              <w:spacing w:after="0"/>
              <w:rPr>
                <w:sz w:val="20"/>
                <w:szCs w:val="20"/>
                <w:color w:val="auto"/>
              </w:rPr>
            </w:pPr>
            <w:r>
              <w:rPr>
                <w:rFonts w:ascii="Arial" w:cs="Arial" w:eastAsia="Arial" w:hAnsi="Arial"/>
                <w:sz w:val="18"/>
                <w:szCs w:val="18"/>
                <w:color w:val="auto"/>
                <w:w w:val="89"/>
              </w:rPr>
              <w:t>July 14, 2014</w:t>
            </w:r>
          </w:p>
        </w:tc>
        <w:tc>
          <w:tcPr>
            <w:tcW w:w="720" w:type="dxa"/>
            <w:vAlign w:val="bottom"/>
          </w:tcPr>
          <w:p>
            <w:pPr>
              <w:jc w:val="center"/>
              <w:ind w:right="75"/>
              <w:spacing w:after="0"/>
              <w:rPr>
                <w:sz w:val="20"/>
                <w:szCs w:val="20"/>
                <w:color w:val="auto"/>
              </w:rPr>
            </w:pPr>
            <w:r>
              <w:rPr>
                <w:rFonts w:ascii="Arial" w:cs="Arial" w:eastAsia="Arial" w:hAnsi="Arial"/>
                <w:sz w:val="18"/>
                <w:szCs w:val="18"/>
                <w:color w:val="auto"/>
                <w:w w:val="91"/>
              </w:rPr>
              <w:t>99.6</w:t>
            </w:r>
          </w:p>
        </w:tc>
        <w:tc>
          <w:tcPr>
            <w:tcW w:w="0" w:type="dxa"/>
            <w:vAlign w:val="bottom"/>
          </w:tcPr>
          <w:p>
            <w:pPr>
              <w:spacing w:after="0"/>
              <w:rPr>
                <w:sz w:val="1"/>
                <w:szCs w:val="1"/>
                <w:color w:val="auto"/>
              </w:rPr>
            </w:pPr>
          </w:p>
        </w:tc>
      </w:tr>
      <w:tr>
        <w:trPr>
          <w:trHeight w:val="128"/>
        </w:trPr>
        <w:tc>
          <w:tcPr>
            <w:tcW w:w="10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20" w:type="dxa"/>
            <w:vAlign w:val="bottom"/>
            <w:tcBorders>
              <w:top w:val="single" w:sz="8" w:color="0000EE"/>
              <w:bottom w:val="single" w:sz="8" w:color="auto"/>
            </w:tcBorders>
          </w:tcPr>
          <w:p>
            <w:pPr>
              <w:spacing w:after="0"/>
              <w:rPr>
                <w:sz w:val="11"/>
                <w:szCs w:val="11"/>
                <w:color w:val="auto"/>
              </w:rPr>
            </w:pPr>
          </w:p>
        </w:tc>
        <w:tc>
          <w:tcPr>
            <w:tcW w:w="200" w:type="dxa"/>
            <w:vAlign w:val="bottom"/>
            <w:tcBorders>
              <w:top w:val="single" w:sz="8" w:color="0000EE"/>
              <w:bottom w:val="single" w:sz="8" w:color="auto"/>
            </w:tcBorders>
          </w:tcPr>
          <w:p>
            <w:pPr>
              <w:spacing w:after="0"/>
              <w:rPr>
                <w:sz w:val="11"/>
                <w:szCs w:val="11"/>
                <w:color w:val="auto"/>
              </w:rPr>
            </w:pPr>
          </w:p>
        </w:tc>
        <w:tc>
          <w:tcPr>
            <w:tcW w:w="340" w:type="dxa"/>
            <w:vAlign w:val="bottom"/>
            <w:tcBorders>
              <w:top w:val="single" w:sz="8" w:color="0000EE"/>
              <w:bottom w:val="single" w:sz="8" w:color="auto"/>
            </w:tcBorders>
          </w:tcPr>
          <w:p>
            <w:pPr>
              <w:spacing w:after="0"/>
              <w:rPr>
                <w:sz w:val="11"/>
                <w:szCs w:val="11"/>
                <w:color w:val="auto"/>
              </w:rPr>
            </w:pPr>
          </w:p>
        </w:tc>
        <w:tc>
          <w:tcPr>
            <w:tcW w:w="120" w:type="dxa"/>
            <w:vAlign w:val="bottom"/>
            <w:tcBorders>
              <w:top w:val="single" w:sz="8" w:color="0000EE"/>
              <w:bottom w:val="single" w:sz="8" w:color="auto"/>
            </w:tcBorders>
          </w:tcPr>
          <w:p>
            <w:pPr>
              <w:spacing w:after="0"/>
              <w:rPr>
                <w:sz w:val="11"/>
                <w:szCs w:val="11"/>
                <w:color w:val="auto"/>
              </w:rPr>
            </w:pPr>
          </w:p>
        </w:tc>
        <w:tc>
          <w:tcPr>
            <w:tcW w:w="60" w:type="dxa"/>
            <w:vAlign w:val="bottom"/>
            <w:tcBorders>
              <w:top w:val="single" w:sz="8" w:color="0000EE"/>
              <w:bottom w:val="single" w:sz="8" w:color="auto"/>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84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30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36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23" w:hanging="323"/>
        <w:spacing w:after="0"/>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288925</wp:posOffset>
            </wp:positionV>
            <wp:extent cx="582930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5829300"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Filed</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12065</wp:posOffset>
            </wp:positionV>
            <wp:extent cx="4800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8143" w:space="360"/>
            <w:col w:w="620"/>
          </w:cols>
          <w:pgMar w:left="1357" w:top="45" w:right="1419" w:bottom="1440" w:gutter="0" w:footer="0" w:header="0"/>
          <w:type w:val="continuous"/>
        </w:sectPr>
      </w:pPr>
    </w:p>
    <w:bookmarkStart w:id="4" w:name="page5"/>
    <w:bookmarkEnd w:id="4"/>
    <w:p>
      <w:pPr>
        <w:ind w:left="3"/>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u w:val="single" w:color="auto"/>
          <w:color w:val="auto"/>
        </w:rPr>
        <w:t>Undertakings</w:t>
      </w:r>
      <w:r>
        <w:rPr>
          <w:rFonts w:ascii="Arial" w:cs="Arial" w:eastAsia="Arial" w:hAnsi="Arial"/>
          <w:sz w:val="18"/>
          <w:szCs w:val="18"/>
          <w:b w:val="1"/>
          <w:bCs w:val="1"/>
          <w:color w:val="auto"/>
        </w:rPr>
        <w:t>.</w:t>
      </w:r>
    </w:p>
    <w:p>
      <w:pPr>
        <w:spacing w:after="0" w:line="229" w:lineRule="exact"/>
        <w:rPr>
          <w:sz w:val="20"/>
          <w:szCs w:val="20"/>
          <w:color w:val="auto"/>
        </w:rPr>
      </w:pPr>
    </w:p>
    <w:p>
      <w:pPr>
        <w:ind w:left="323" w:hanging="323"/>
        <w:spacing w:after="0"/>
        <w:tabs>
          <w:tab w:leader="none" w:pos="32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 hereby undertakes:</w:t>
      </w:r>
    </w:p>
    <w:p>
      <w:pPr>
        <w:spacing w:after="0" w:line="225" w:lineRule="exact"/>
        <w:rPr>
          <w:rFonts w:ascii="Arial" w:cs="Arial" w:eastAsia="Arial" w:hAnsi="Arial"/>
          <w:sz w:val="18"/>
          <w:szCs w:val="18"/>
          <w:color w:val="auto"/>
        </w:rPr>
      </w:pPr>
    </w:p>
    <w:p>
      <w:pPr>
        <w:ind w:left="3" w:right="580" w:firstLine="645"/>
        <w:spacing w:after="0" w:line="277" w:lineRule="auto"/>
        <w:tabs>
          <w:tab w:leader="none" w:pos="1310"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70" w:lineRule="exact"/>
        <w:rPr>
          <w:rFonts w:ascii="Arial" w:cs="Arial" w:eastAsia="Arial" w:hAnsi="Arial"/>
          <w:sz w:val="18"/>
          <w:szCs w:val="18"/>
          <w:color w:val="auto"/>
        </w:rPr>
      </w:pPr>
    </w:p>
    <w:p>
      <w:pPr>
        <w:ind w:left="1963" w:hanging="667"/>
        <w:spacing w:after="0"/>
        <w:tabs>
          <w:tab w:leader="none" w:pos="1963" w:val="left"/>
        </w:tabs>
        <w:numPr>
          <w:ilvl w:val="2"/>
          <w:numId w:val="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ind w:left="3" w:right="100" w:firstLine="1293"/>
        <w:spacing w:after="0" w:line="271" w:lineRule="auto"/>
        <w:tabs>
          <w:tab w:leader="none" w:pos="2009" w:val="left"/>
        </w:tabs>
        <w:numPr>
          <w:ilvl w:val="2"/>
          <w:numId w:val="6"/>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78" w:lineRule="exact"/>
        <w:rPr>
          <w:rFonts w:ascii="Arial" w:cs="Arial" w:eastAsia="Arial" w:hAnsi="Arial"/>
          <w:sz w:val="17"/>
          <w:szCs w:val="17"/>
          <w:color w:val="auto"/>
        </w:rPr>
      </w:pPr>
    </w:p>
    <w:p>
      <w:pPr>
        <w:ind w:left="3" w:right="680" w:firstLine="1293"/>
        <w:spacing w:after="0" w:line="342" w:lineRule="auto"/>
        <w:tabs>
          <w:tab w:leader="none" w:pos="2018" w:val="left"/>
        </w:tabs>
        <w:numPr>
          <w:ilvl w:val="2"/>
          <w:numId w:val="6"/>
        </w:numPr>
        <w:rPr>
          <w:rFonts w:ascii="Arial" w:cs="Arial" w:eastAsia="Arial" w:hAnsi="Arial"/>
          <w:sz w:val="16"/>
          <w:szCs w:val="16"/>
          <w:color w:val="auto"/>
        </w:rPr>
      </w:pPr>
      <w:r>
        <w:rPr>
          <w:rFonts w:ascii="Arial" w:cs="Arial" w:eastAsia="Arial" w:hAnsi="Arial"/>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124" w:lineRule="exact"/>
        <w:rPr>
          <w:sz w:val="20"/>
          <w:szCs w:val="20"/>
          <w:color w:val="auto"/>
        </w:rPr>
      </w:pPr>
    </w:p>
    <w:p>
      <w:pPr>
        <w:ind w:left="3" w:right="60" w:firstLine="648"/>
        <w:spacing w:after="0" w:line="220" w:lineRule="exact"/>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and (a)(1)(ii) do not apply if the registration statement is on Form S</w:t>
      </w:r>
      <w:r>
        <w:rPr>
          <w:rFonts w:ascii="MS PGothic" w:cs="MS PGothic" w:eastAsia="MS PGothic" w:hAnsi="MS PGothic"/>
          <w:sz w:val="18"/>
          <w:szCs w:val="18"/>
          <w:color w:val="auto"/>
        </w:rPr>
        <w:t>‑</w:t>
      </w:r>
      <w:r>
        <w:rPr>
          <w:rFonts w:ascii="Arial" w:cs="Arial" w:eastAsia="Arial" w:hAnsi="Arial"/>
          <w:sz w:val="18"/>
          <w:szCs w:val="18"/>
          <w:color w:val="auto"/>
        </w:rPr>
        <w:t>8</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information required to be included in a post-effective amendment by those paragraphs is contained in periodic reports filed with or furnished to the SEC by the Registrant pursuant to Section 13 or 15(d) of the Exchange Act that are incorporated by reference in the registration statement.</w:t>
      </w:r>
    </w:p>
    <w:p>
      <w:pPr>
        <w:spacing w:after="0" w:line="204" w:lineRule="exact"/>
        <w:rPr>
          <w:sz w:val="20"/>
          <w:szCs w:val="20"/>
          <w:color w:val="auto"/>
        </w:rPr>
      </w:pPr>
    </w:p>
    <w:p>
      <w:pPr>
        <w:ind w:left="3" w:right="340" w:firstLine="645"/>
        <w:spacing w:after="0" w:line="286" w:lineRule="auto"/>
        <w:tabs>
          <w:tab w:leader="none" w:pos="1310" w:val="left"/>
        </w:tabs>
        <w:numPr>
          <w:ilvl w:val="1"/>
          <w:numId w:val="7"/>
        </w:numPr>
        <w:rPr>
          <w:rFonts w:ascii="Arial" w:cs="Arial" w:eastAsia="Arial" w:hAnsi="Arial"/>
          <w:sz w:val="17"/>
          <w:szCs w:val="17"/>
          <w:color w:val="auto"/>
        </w:rPr>
      </w:pPr>
      <w:r>
        <w:rPr>
          <w:rFonts w:ascii="Arial" w:cs="Arial" w:eastAsia="Arial" w:hAnsi="Arial"/>
          <w:sz w:val="17"/>
          <w:szCs w:val="17"/>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w:t>
      </w:r>
    </w:p>
    <w:p>
      <w:pPr>
        <w:spacing w:after="0" w:line="165" w:lineRule="exact"/>
        <w:rPr>
          <w:rFonts w:ascii="Arial" w:cs="Arial" w:eastAsia="Arial" w:hAnsi="Arial"/>
          <w:sz w:val="17"/>
          <w:szCs w:val="17"/>
          <w:color w:val="auto"/>
        </w:rPr>
      </w:pPr>
    </w:p>
    <w:p>
      <w:pPr>
        <w:ind w:left="3" w:right="180" w:firstLine="645"/>
        <w:spacing w:after="0" w:line="277" w:lineRule="auto"/>
        <w:tabs>
          <w:tab w:leader="none" w:pos="1310" w:val="left"/>
        </w:tabs>
        <w:numPr>
          <w:ilvl w:val="1"/>
          <w:numId w:val="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323" w:hanging="323"/>
        <w:spacing w:after="0" w:line="296" w:lineRule="auto"/>
        <w:tabs>
          <w:tab w:leader="none" w:pos="323"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The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161" w:lineRule="exact"/>
        <w:rPr>
          <w:rFonts w:ascii="Arial" w:cs="Arial" w:eastAsia="Arial" w:hAnsi="Arial"/>
          <w:sz w:val="16"/>
          <w:szCs w:val="16"/>
          <w:color w:val="auto"/>
        </w:rPr>
      </w:pPr>
    </w:p>
    <w:p>
      <w:pPr>
        <w:ind w:left="323" w:right="100" w:hanging="323"/>
        <w:spacing w:after="0" w:line="289" w:lineRule="auto"/>
        <w:tabs>
          <w:tab w:leader="none" w:pos="323" w:val="left"/>
        </w:tabs>
        <w:numPr>
          <w:ilvl w:val="0"/>
          <w:numId w:val="8"/>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251460</wp:posOffset>
            </wp:positionV>
            <wp:extent cx="582930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5829300" cy="25400"/>
                    </a:xfrm>
                    <a:prstGeom prst="rect">
                      <a:avLst/>
                    </a:prstGeom>
                    <a:noFill/>
                  </pic:spPr>
                </pic:pic>
              </a:graphicData>
            </a:graphic>
          </wp:anchor>
        </w:drawing>
      </w:r>
    </w:p>
    <w:p>
      <w:pPr>
        <w:sectPr>
          <w:pgSz w:w="11900" w:h="16838" w:orient="portrait"/>
          <w:cols w:equalWidth="0" w:num="1">
            <w:col w:w="9163"/>
          </w:cols>
          <w:pgMar w:left="1357" w:top="41" w:right="137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spacing w:after="0" w:line="221" w:lineRule="exact"/>
        <w:rPr>
          <w:sz w:val="20"/>
          <w:szCs w:val="20"/>
          <w:color w:val="auto"/>
        </w:rPr>
      </w:pPr>
      <w:r>
        <w:rPr>
          <w:rFonts w:ascii="Arial" w:cs="Arial" w:eastAsia="Arial" w:hAnsi="Arial"/>
          <w:sz w:val="16"/>
          <w:szCs w:val="16"/>
          <w:color w:val="auto"/>
        </w:rPr>
        <w:t>Pursuant to the requirements of the Securities Act of 1933, as amended, the Registrant certifies that it has reasonable grounds to believe that it meets all of the requirements for filing on Form S</w:t>
      </w:r>
      <w:r>
        <w:rPr>
          <w:rFonts w:ascii="MS PGothic" w:cs="MS PGothic" w:eastAsia="MS PGothic" w:hAnsi="MS PGothic"/>
          <w:sz w:val="16"/>
          <w:szCs w:val="16"/>
          <w:color w:val="auto"/>
        </w:rPr>
        <w:t>‑</w:t>
      </w:r>
      <w:r>
        <w:rPr>
          <w:rFonts w:ascii="Arial" w:cs="Arial" w:eastAsia="Arial" w:hAnsi="Arial"/>
          <w:sz w:val="16"/>
          <w:szCs w:val="16"/>
          <w:color w:val="auto"/>
        </w:rPr>
        <w:t>8 and has duly caused this Registration Statement to be signed on its behalf by the undersigned, thereunto duly authorized, in Fremont, California, on March 8, 2019.</w:t>
      </w:r>
    </w:p>
    <w:p>
      <w:pPr>
        <w:spacing w:after="0" w:line="21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RDELYX</w:t>
      </w:r>
      <w:r>
        <w:rPr>
          <w:rFonts w:ascii="Arial" w:cs="Arial" w:eastAsia="Arial" w:hAnsi="Arial"/>
          <w:sz w:val="18"/>
          <w:szCs w:val="18"/>
          <w:color w:val="auto"/>
        </w:rPr>
        <w:t>, INC.</w:t>
      </w:r>
    </w:p>
    <w:p>
      <w:pPr>
        <w:spacing w:after="0" w:line="279" w:lineRule="exact"/>
        <w:rPr>
          <w:sz w:val="20"/>
          <w:szCs w:val="20"/>
          <w:color w:val="auto"/>
        </w:rPr>
      </w:pPr>
    </w:p>
    <w:tbl>
      <w:tblPr>
        <w:tblLayout w:type="fixed"/>
        <w:tblInd w:w="4620" w:type="dxa"/>
        <w:tblCellMar>
          <w:top w:w="0" w:type="dxa"/>
          <w:left w:w="0" w:type="dxa"/>
          <w:bottom w:w="0" w:type="dxa"/>
          <w:right w:w="0" w:type="dxa"/>
        </w:tblCellMar>
      </w:tblPr>
      <w:tr>
        <w:trPr>
          <w:trHeight w:val="237"/>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Raab</w:t>
            </w:r>
          </w:p>
        </w:tc>
      </w:tr>
      <w:tr>
        <w:trPr>
          <w:trHeight w:val="215"/>
        </w:trPr>
        <w:tc>
          <w:tcPr>
            <w:tcW w:w="640" w:type="dxa"/>
            <w:vAlign w:val="bottom"/>
          </w:tcPr>
          <w:p>
            <w:pPr>
              <w:spacing w:after="0" w:line="203" w:lineRule="exact"/>
              <w:rPr>
                <w:sz w:val="20"/>
                <w:szCs w:val="20"/>
                <w:color w:val="auto"/>
              </w:rPr>
            </w:pPr>
            <w:r>
              <w:rPr>
                <w:rFonts w:ascii="Arial" w:cs="Arial" w:eastAsia="Arial" w:hAnsi="Arial"/>
                <w:sz w:val="18"/>
                <w:szCs w:val="18"/>
                <w:color w:val="auto"/>
              </w:rPr>
              <w:t>Name:</w:t>
            </w:r>
          </w:p>
        </w:tc>
        <w:tc>
          <w:tcPr>
            <w:tcW w:w="3900" w:type="dxa"/>
            <w:vAlign w:val="bottom"/>
          </w:tcPr>
          <w:p>
            <w:pPr>
              <w:spacing w:after="0"/>
              <w:rPr>
                <w:sz w:val="20"/>
                <w:szCs w:val="20"/>
                <w:color w:val="auto"/>
              </w:rPr>
            </w:pPr>
            <w:r>
              <w:rPr>
                <w:rFonts w:ascii="Arial" w:cs="Arial" w:eastAsia="Arial" w:hAnsi="Arial"/>
                <w:sz w:val="18"/>
                <w:szCs w:val="18"/>
                <w:color w:val="auto"/>
              </w:rPr>
              <w:t>Michael Raab</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9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KNOW ALL PERSONS BY THESE PRESENTS, that each individual whose signature appears below constitutes and appoints Michael Raab and Mark Kaufmann, and each of them, as attorneys-in-fact, each with the power of substitution, for him and in his name, place and stead, in any and all capacities, to sign any and all amendments (including post-effective amendments) to this Registration Statement, and to file the same, with all exhibits thereto and all documents in connection therewith, with the SEC, granting unto said attorneys-in-fact and agents, and each of them, full power and authority to do and perform each and every act and thing requisite and necessary to be done, as fully to all intents and purposes as he might or could do in person, hereby ratifying and confirming all that such attorneys-in-fact and agents or any of them, or their substitute or substitutes, may lawfully do or cause to be done by virtue hereof.</w:t>
      </w:r>
    </w:p>
    <w:p>
      <w:pPr>
        <w:spacing w:after="0" w:line="17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20" w:type="dxa"/>
            <w:vAlign w:val="bottom"/>
          </w:tcPr>
          <w:p>
            <w:pPr>
              <w:spacing w:after="0"/>
              <w:rPr>
                <w:sz w:val="14"/>
                <w:szCs w:val="14"/>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0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412"/>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Michael Raab</w:t>
            </w:r>
          </w:p>
        </w:tc>
        <w:tc>
          <w:tcPr>
            <w:tcW w:w="220" w:type="dxa"/>
            <w:vAlign w:val="bottom"/>
          </w:tcPr>
          <w:p>
            <w:pPr>
              <w:spacing w:after="0"/>
              <w:rPr>
                <w:sz w:val="24"/>
                <w:szCs w:val="24"/>
                <w:color w:val="auto"/>
              </w:rPr>
            </w:pPr>
          </w:p>
        </w:tc>
        <w:tc>
          <w:tcPr>
            <w:tcW w:w="39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President, Chief Executive Officer and Director</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March 8, 2019</w:t>
            </w:r>
          </w:p>
        </w:tc>
        <w:tc>
          <w:tcPr>
            <w:tcW w:w="0" w:type="dxa"/>
            <w:vAlign w:val="bottom"/>
          </w:tcPr>
          <w:p>
            <w:pPr>
              <w:spacing w:after="0"/>
              <w:rPr>
                <w:sz w:val="1"/>
                <w:szCs w:val="1"/>
                <w:color w:val="auto"/>
              </w:rPr>
            </w:pPr>
          </w:p>
        </w:tc>
      </w:tr>
      <w:tr>
        <w:trPr>
          <w:trHeight w:val="224"/>
        </w:trPr>
        <w:tc>
          <w:tcPr>
            <w:tcW w:w="3700" w:type="dxa"/>
            <w:vAlign w:val="bottom"/>
          </w:tcPr>
          <w:p>
            <w:pPr>
              <w:jc w:val="center"/>
              <w:spacing w:after="0"/>
              <w:rPr>
                <w:sz w:val="20"/>
                <w:szCs w:val="20"/>
                <w:color w:val="auto"/>
              </w:rPr>
            </w:pPr>
            <w:r>
              <w:rPr>
                <w:rFonts w:ascii="Arial" w:cs="Arial" w:eastAsia="Arial" w:hAnsi="Arial"/>
                <w:sz w:val="18"/>
                <w:szCs w:val="18"/>
                <w:color w:val="auto"/>
                <w:w w:val="90"/>
              </w:rPr>
              <w:t>Michael Raab</w:t>
            </w:r>
          </w:p>
        </w:tc>
        <w:tc>
          <w:tcPr>
            <w:tcW w:w="220" w:type="dxa"/>
            <w:vAlign w:val="bottom"/>
          </w:tcPr>
          <w:p>
            <w:pPr>
              <w:spacing w:after="0"/>
              <w:rPr>
                <w:sz w:val="19"/>
                <w:szCs w:val="19"/>
                <w:color w:val="auto"/>
              </w:rPr>
            </w:pPr>
          </w:p>
        </w:tc>
        <w:tc>
          <w:tcPr>
            <w:tcW w:w="390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3700" w:type="dxa"/>
            <w:vAlign w:val="bottom"/>
          </w:tcPr>
          <w:p>
            <w:pPr>
              <w:jc w:val="center"/>
              <w:spacing w:after="0"/>
              <w:rPr>
                <w:sz w:val="20"/>
                <w:szCs w:val="20"/>
                <w:color w:val="auto"/>
              </w:rPr>
            </w:pPr>
            <w:r>
              <w:rPr>
                <w:rFonts w:ascii="Arial" w:cs="Arial" w:eastAsia="Arial" w:hAnsi="Arial"/>
                <w:sz w:val="18"/>
                <w:szCs w:val="18"/>
                <w:color w:val="auto"/>
                <w:w w:val="93"/>
              </w:rPr>
              <w:t>/s/ Mark Kaufmann</w:t>
            </w:r>
          </w:p>
        </w:tc>
        <w:tc>
          <w:tcPr>
            <w:tcW w:w="22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Chief Financial Officer</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March 8, 2019</w:t>
            </w:r>
          </w:p>
        </w:tc>
        <w:tc>
          <w:tcPr>
            <w:tcW w:w="0" w:type="dxa"/>
            <w:vAlign w:val="bottom"/>
          </w:tcPr>
          <w:p>
            <w:pPr>
              <w:spacing w:after="0"/>
              <w:rPr>
                <w:sz w:val="1"/>
                <w:szCs w:val="1"/>
                <w:color w:val="auto"/>
              </w:rPr>
            </w:pPr>
          </w:p>
        </w:tc>
      </w:tr>
      <w:tr>
        <w:trPr>
          <w:trHeight w:val="108"/>
        </w:trPr>
        <w:tc>
          <w:tcPr>
            <w:tcW w:w="3700" w:type="dxa"/>
            <w:vAlign w:val="bottom"/>
            <w:tcBorders>
              <w:bottom w:val="single" w:sz="8" w:color="auto"/>
            </w:tcBorders>
          </w:tcPr>
          <w:p>
            <w:pPr>
              <w:spacing w:after="0"/>
              <w:rPr>
                <w:sz w:val="9"/>
                <w:szCs w:val="9"/>
                <w:color w:val="auto"/>
              </w:rPr>
            </w:pPr>
          </w:p>
        </w:tc>
        <w:tc>
          <w:tcPr>
            <w:tcW w:w="220" w:type="dxa"/>
            <w:vAlign w:val="bottom"/>
            <w:vMerge w:val="restart"/>
          </w:tcPr>
          <w:p>
            <w:pPr>
              <w:spacing w:after="0"/>
              <w:rPr>
                <w:sz w:val="9"/>
                <w:szCs w:val="9"/>
                <w:color w:val="auto"/>
              </w:rPr>
            </w:pPr>
          </w:p>
        </w:tc>
        <w:tc>
          <w:tcPr>
            <w:tcW w:w="390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6"/>
              </w:rPr>
              <w:t>(</w:t>
            </w:r>
            <w:r>
              <w:rPr>
                <w:rFonts w:ascii="Arial" w:cs="Arial" w:eastAsia="Arial" w:hAnsi="Arial"/>
                <w:sz w:val="18"/>
                <w:szCs w:val="18"/>
                <w:i w:val="1"/>
                <w:iCs w:val="1"/>
                <w:color w:val="auto"/>
                <w:w w:val="96"/>
              </w:rPr>
              <w:t>principal financial officer and principal</w:t>
            </w: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3700" w:type="dxa"/>
            <w:vAlign w:val="bottom"/>
            <w:vMerge w:val="restart"/>
          </w:tcPr>
          <w:p>
            <w:pPr>
              <w:jc w:val="center"/>
              <w:spacing w:after="0"/>
              <w:rPr>
                <w:sz w:val="20"/>
                <w:szCs w:val="20"/>
                <w:color w:val="auto"/>
              </w:rPr>
            </w:pPr>
            <w:r>
              <w:rPr>
                <w:rFonts w:ascii="Arial" w:cs="Arial" w:eastAsia="Arial" w:hAnsi="Arial"/>
                <w:sz w:val="18"/>
                <w:szCs w:val="18"/>
                <w:color w:val="auto"/>
                <w:w w:val="92"/>
              </w:rPr>
              <w:t>Mark Kaufmann</w:t>
            </w:r>
          </w:p>
        </w:tc>
        <w:tc>
          <w:tcPr>
            <w:tcW w:w="220" w:type="dxa"/>
            <w:vAlign w:val="bottom"/>
            <w:vMerge w:val="continue"/>
          </w:tcPr>
          <w:p>
            <w:pPr>
              <w:spacing w:after="0"/>
              <w:rPr>
                <w:sz w:val="7"/>
                <w:szCs w:val="7"/>
                <w:color w:val="auto"/>
              </w:rPr>
            </w:pPr>
          </w:p>
        </w:tc>
        <w:tc>
          <w:tcPr>
            <w:tcW w:w="3900" w:type="dxa"/>
            <w:vAlign w:val="bottom"/>
            <w:gridSpan w:val="2"/>
            <w:vMerge w:val="continue"/>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37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3900" w:type="dxa"/>
            <w:vAlign w:val="bottom"/>
            <w:gridSpan w:val="2"/>
            <w:vMerge w:val="restart"/>
          </w:tcPr>
          <w:p>
            <w:pPr>
              <w:jc w:val="center"/>
              <w:ind w:right="200"/>
              <w:spacing w:after="0"/>
              <w:rPr>
                <w:sz w:val="20"/>
                <w:szCs w:val="20"/>
                <w:color w:val="auto"/>
              </w:rPr>
            </w:pPr>
            <w:r>
              <w:rPr>
                <w:rFonts w:ascii="Arial" w:cs="Arial" w:eastAsia="Arial" w:hAnsi="Arial"/>
                <w:sz w:val="18"/>
                <w:szCs w:val="18"/>
                <w:i w:val="1"/>
                <w:iCs w:val="1"/>
                <w:color w:val="auto"/>
                <w:w w:val="93"/>
              </w:rPr>
              <w:t>accounting officer</w:t>
            </w:r>
            <w:r>
              <w:rPr>
                <w:rFonts w:ascii="Arial" w:cs="Arial" w:eastAsia="Arial" w:hAnsi="Arial"/>
                <w:sz w:val="18"/>
                <w:szCs w:val="18"/>
                <w:color w:val="auto"/>
                <w:w w:val="93"/>
              </w:rPr>
              <w:t>)</w:t>
            </w: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3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900" w:type="dxa"/>
            <w:vAlign w:val="bottom"/>
            <w:gridSpan w:val="2"/>
            <w:vMerge w:val="continue"/>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18"/>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David Mott</w:t>
            </w:r>
          </w:p>
        </w:tc>
        <w:tc>
          <w:tcPr>
            <w:tcW w:w="22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Chairman of the Board of Directors</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March 8, 2019</w:t>
            </w:r>
          </w:p>
        </w:tc>
        <w:tc>
          <w:tcPr>
            <w:tcW w:w="0" w:type="dxa"/>
            <w:vAlign w:val="bottom"/>
          </w:tcPr>
          <w:p>
            <w:pPr>
              <w:spacing w:after="0"/>
              <w:rPr>
                <w:sz w:val="1"/>
                <w:szCs w:val="1"/>
                <w:color w:val="auto"/>
              </w:rPr>
            </w:pPr>
          </w:p>
        </w:tc>
      </w:tr>
      <w:tr>
        <w:trPr>
          <w:trHeight w:val="224"/>
        </w:trPr>
        <w:tc>
          <w:tcPr>
            <w:tcW w:w="3700" w:type="dxa"/>
            <w:vAlign w:val="bottom"/>
          </w:tcPr>
          <w:p>
            <w:pPr>
              <w:jc w:val="center"/>
              <w:spacing w:after="0"/>
              <w:rPr>
                <w:sz w:val="20"/>
                <w:szCs w:val="20"/>
                <w:color w:val="auto"/>
              </w:rPr>
            </w:pPr>
            <w:r>
              <w:rPr>
                <w:rFonts w:ascii="Arial" w:cs="Arial" w:eastAsia="Arial" w:hAnsi="Arial"/>
                <w:sz w:val="18"/>
                <w:szCs w:val="18"/>
                <w:color w:val="auto"/>
                <w:w w:val="95"/>
              </w:rPr>
              <w:t>David Mott</w:t>
            </w:r>
          </w:p>
        </w:tc>
        <w:tc>
          <w:tcPr>
            <w:tcW w:w="2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Robert Bazemore</w:t>
            </w:r>
          </w:p>
        </w:tc>
        <w:tc>
          <w:tcPr>
            <w:tcW w:w="22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March 8, 2019</w:t>
            </w:r>
          </w:p>
        </w:tc>
        <w:tc>
          <w:tcPr>
            <w:tcW w:w="0" w:type="dxa"/>
            <w:vAlign w:val="bottom"/>
          </w:tcPr>
          <w:p>
            <w:pPr>
              <w:spacing w:after="0"/>
              <w:rPr>
                <w:sz w:val="1"/>
                <w:szCs w:val="1"/>
                <w:color w:val="auto"/>
              </w:rPr>
            </w:pPr>
          </w:p>
        </w:tc>
      </w:tr>
      <w:tr>
        <w:trPr>
          <w:trHeight w:val="224"/>
        </w:trPr>
        <w:tc>
          <w:tcPr>
            <w:tcW w:w="3700" w:type="dxa"/>
            <w:vAlign w:val="bottom"/>
          </w:tcPr>
          <w:p>
            <w:pPr>
              <w:jc w:val="center"/>
              <w:spacing w:after="0"/>
              <w:rPr>
                <w:sz w:val="20"/>
                <w:szCs w:val="20"/>
                <w:color w:val="auto"/>
              </w:rPr>
            </w:pPr>
            <w:r>
              <w:rPr>
                <w:rFonts w:ascii="Arial" w:cs="Arial" w:eastAsia="Arial" w:hAnsi="Arial"/>
                <w:sz w:val="18"/>
                <w:szCs w:val="18"/>
                <w:color w:val="auto"/>
                <w:w w:val="89"/>
              </w:rPr>
              <w:t>Robert Bazemore</w:t>
            </w:r>
          </w:p>
        </w:tc>
        <w:tc>
          <w:tcPr>
            <w:tcW w:w="2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William Bertrand, Jr.</w:t>
            </w:r>
          </w:p>
        </w:tc>
        <w:tc>
          <w:tcPr>
            <w:tcW w:w="22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March 8, 2019</w:t>
            </w:r>
          </w:p>
        </w:tc>
        <w:tc>
          <w:tcPr>
            <w:tcW w:w="0" w:type="dxa"/>
            <w:vAlign w:val="bottom"/>
          </w:tcPr>
          <w:p>
            <w:pPr>
              <w:spacing w:after="0"/>
              <w:rPr>
                <w:sz w:val="1"/>
                <w:szCs w:val="1"/>
                <w:color w:val="auto"/>
              </w:rPr>
            </w:pPr>
          </w:p>
        </w:tc>
      </w:tr>
      <w:tr>
        <w:trPr>
          <w:trHeight w:val="224"/>
        </w:trPr>
        <w:tc>
          <w:tcPr>
            <w:tcW w:w="3700" w:type="dxa"/>
            <w:vAlign w:val="bottom"/>
          </w:tcPr>
          <w:p>
            <w:pPr>
              <w:jc w:val="center"/>
              <w:spacing w:after="0"/>
              <w:rPr>
                <w:sz w:val="20"/>
                <w:szCs w:val="20"/>
                <w:color w:val="auto"/>
              </w:rPr>
            </w:pPr>
            <w:r>
              <w:rPr>
                <w:rFonts w:ascii="Arial" w:cs="Arial" w:eastAsia="Arial" w:hAnsi="Arial"/>
                <w:sz w:val="18"/>
                <w:szCs w:val="18"/>
                <w:color w:val="auto"/>
                <w:w w:val="92"/>
              </w:rPr>
              <w:t>William Bertrand, Jr.</w:t>
            </w:r>
          </w:p>
        </w:tc>
        <w:tc>
          <w:tcPr>
            <w:tcW w:w="2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Annalisa Jenkins</w:t>
            </w:r>
          </w:p>
        </w:tc>
        <w:tc>
          <w:tcPr>
            <w:tcW w:w="22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March 8, 2019</w:t>
            </w:r>
          </w:p>
        </w:tc>
        <w:tc>
          <w:tcPr>
            <w:tcW w:w="0" w:type="dxa"/>
            <w:vAlign w:val="bottom"/>
          </w:tcPr>
          <w:p>
            <w:pPr>
              <w:spacing w:after="0"/>
              <w:rPr>
                <w:sz w:val="1"/>
                <w:szCs w:val="1"/>
                <w:color w:val="auto"/>
              </w:rPr>
            </w:pPr>
          </w:p>
        </w:tc>
      </w:tr>
      <w:tr>
        <w:trPr>
          <w:trHeight w:val="224"/>
        </w:trPr>
        <w:tc>
          <w:tcPr>
            <w:tcW w:w="3700" w:type="dxa"/>
            <w:vAlign w:val="bottom"/>
          </w:tcPr>
          <w:p>
            <w:pPr>
              <w:jc w:val="center"/>
              <w:spacing w:after="0"/>
              <w:rPr>
                <w:sz w:val="20"/>
                <w:szCs w:val="20"/>
                <w:color w:val="auto"/>
              </w:rPr>
            </w:pPr>
            <w:r>
              <w:rPr>
                <w:rFonts w:ascii="Arial" w:cs="Arial" w:eastAsia="Arial" w:hAnsi="Arial"/>
                <w:sz w:val="18"/>
                <w:szCs w:val="18"/>
                <w:color w:val="auto"/>
                <w:w w:val="91"/>
              </w:rPr>
              <w:t>Annalisa Jenkins, MBBS, FRCP</w:t>
            </w:r>
          </w:p>
        </w:tc>
        <w:tc>
          <w:tcPr>
            <w:tcW w:w="2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Jan M. Lundberg</w:t>
            </w:r>
          </w:p>
        </w:tc>
        <w:tc>
          <w:tcPr>
            <w:tcW w:w="22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March 8, 2019</w:t>
            </w:r>
          </w:p>
        </w:tc>
        <w:tc>
          <w:tcPr>
            <w:tcW w:w="0" w:type="dxa"/>
            <w:vAlign w:val="bottom"/>
          </w:tcPr>
          <w:p>
            <w:pPr>
              <w:spacing w:after="0"/>
              <w:rPr>
                <w:sz w:val="1"/>
                <w:szCs w:val="1"/>
                <w:color w:val="auto"/>
              </w:rPr>
            </w:pPr>
          </w:p>
        </w:tc>
      </w:tr>
      <w:tr>
        <w:trPr>
          <w:trHeight w:val="224"/>
        </w:trPr>
        <w:tc>
          <w:tcPr>
            <w:tcW w:w="3700" w:type="dxa"/>
            <w:vAlign w:val="bottom"/>
          </w:tcPr>
          <w:p>
            <w:pPr>
              <w:jc w:val="center"/>
              <w:spacing w:after="0"/>
              <w:rPr>
                <w:sz w:val="20"/>
                <w:szCs w:val="20"/>
                <w:color w:val="auto"/>
              </w:rPr>
            </w:pPr>
            <w:r>
              <w:rPr>
                <w:rFonts w:ascii="Arial" w:cs="Arial" w:eastAsia="Arial" w:hAnsi="Arial"/>
                <w:sz w:val="18"/>
                <w:szCs w:val="18"/>
                <w:color w:val="auto"/>
                <w:w w:val="91"/>
              </w:rPr>
              <w:t>Jan M. Lundberg, Ph.D..</w:t>
            </w:r>
          </w:p>
        </w:tc>
        <w:tc>
          <w:tcPr>
            <w:tcW w:w="2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Gordon Ringold</w:t>
            </w:r>
          </w:p>
        </w:tc>
        <w:tc>
          <w:tcPr>
            <w:tcW w:w="22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March 8, 2019</w:t>
            </w:r>
          </w:p>
        </w:tc>
        <w:tc>
          <w:tcPr>
            <w:tcW w:w="0" w:type="dxa"/>
            <w:vAlign w:val="bottom"/>
          </w:tcPr>
          <w:p>
            <w:pPr>
              <w:spacing w:after="0"/>
              <w:rPr>
                <w:sz w:val="1"/>
                <w:szCs w:val="1"/>
                <w:color w:val="auto"/>
              </w:rPr>
            </w:pPr>
          </w:p>
        </w:tc>
      </w:tr>
      <w:tr>
        <w:trPr>
          <w:trHeight w:val="224"/>
        </w:trPr>
        <w:tc>
          <w:tcPr>
            <w:tcW w:w="3700" w:type="dxa"/>
            <w:vAlign w:val="bottom"/>
          </w:tcPr>
          <w:p>
            <w:pPr>
              <w:jc w:val="center"/>
              <w:spacing w:after="0"/>
              <w:rPr>
                <w:sz w:val="20"/>
                <w:szCs w:val="20"/>
                <w:color w:val="auto"/>
              </w:rPr>
            </w:pPr>
            <w:r>
              <w:rPr>
                <w:rFonts w:ascii="Arial" w:cs="Arial" w:eastAsia="Arial" w:hAnsi="Arial"/>
                <w:sz w:val="18"/>
                <w:szCs w:val="18"/>
                <w:color w:val="auto"/>
                <w:w w:val="91"/>
              </w:rPr>
              <w:t>Gordon Ringold, Ph.D.</w:t>
            </w:r>
          </w:p>
        </w:tc>
        <w:tc>
          <w:tcPr>
            <w:tcW w:w="2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Richard Rodgers</w:t>
            </w:r>
          </w:p>
        </w:tc>
        <w:tc>
          <w:tcPr>
            <w:tcW w:w="22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March 8, 2019</w:t>
            </w:r>
          </w:p>
        </w:tc>
        <w:tc>
          <w:tcPr>
            <w:tcW w:w="0" w:type="dxa"/>
            <w:vAlign w:val="bottom"/>
          </w:tcPr>
          <w:p>
            <w:pPr>
              <w:spacing w:after="0"/>
              <w:rPr>
                <w:sz w:val="1"/>
                <w:szCs w:val="1"/>
                <w:color w:val="auto"/>
              </w:rPr>
            </w:pPr>
          </w:p>
        </w:tc>
      </w:tr>
      <w:tr>
        <w:trPr>
          <w:trHeight w:val="224"/>
        </w:trPr>
        <w:tc>
          <w:tcPr>
            <w:tcW w:w="3700" w:type="dxa"/>
            <w:vAlign w:val="bottom"/>
          </w:tcPr>
          <w:p>
            <w:pPr>
              <w:jc w:val="center"/>
              <w:spacing w:after="0"/>
              <w:rPr>
                <w:sz w:val="20"/>
                <w:szCs w:val="20"/>
                <w:color w:val="auto"/>
              </w:rPr>
            </w:pPr>
            <w:r>
              <w:rPr>
                <w:rFonts w:ascii="Arial" w:cs="Arial" w:eastAsia="Arial" w:hAnsi="Arial"/>
                <w:sz w:val="18"/>
                <w:szCs w:val="18"/>
                <w:color w:val="auto"/>
                <w:w w:val="89"/>
              </w:rPr>
              <w:t>Richard Rodgers.</w:t>
            </w:r>
          </w:p>
        </w:tc>
        <w:tc>
          <w:tcPr>
            <w:tcW w:w="2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9"/>
        </w:trPr>
        <w:tc>
          <w:tcPr>
            <w:tcW w:w="3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180"/>
          </w:cols>
          <w:pgMar w:left="1360" w:top="41" w:right="1359" w:bottom="1440" w:gutter="0" w:footer="0" w:header="0"/>
        </w:sectPr>
      </w:pPr>
    </w:p>
    <w:bookmarkStart w:id="6" w:name="page7"/>
    <w:bookmarkEnd w:id="6"/>
    <w:p>
      <w:pPr>
        <w:ind w:left="9200"/>
        <w:spacing w:after="0"/>
        <w:rPr>
          <w:sz w:val="20"/>
          <w:szCs w:val="20"/>
          <w:color w:val="auto"/>
        </w:rPr>
      </w:pPr>
      <w:r>
        <w:rPr>
          <w:rFonts w:ascii="Arial" w:cs="Arial" w:eastAsia="Arial" w:hAnsi="Arial"/>
          <w:sz w:val="19"/>
          <w:szCs w:val="19"/>
          <w:b w:val="1"/>
          <w:bCs w:val="1"/>
          <w:color w:val="auto"/>
        </w:rPr>
        <w:t>Exhibit 5.1</w:t>
      </w:r>
    </w:p>
    <w:p>
      <w:pPr>
        <w:sectPr>
          <w:pgSz w:w="11900" w:h="16838" w:orient="portrait"/>
          <w:cols w:equalWidth="0" w:num="1">
            <w:col w:w="10200"/>
          </w:cols>
          <w:pgMar w:left="840" w:top="31"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color w:val="auto"/>
        </w:rPr>
        <w:t>March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-1063625</wp:posOffset>
            </wp:positionV>
            <wp:extent cx="2143125"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214312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2"/>
          <w:szCs w:val="22"/>
          <w:color w:val="auto"/>
        </w:rPr>
        <w:t>Ardelyx, Inc.</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34175 Ardenwood Blvd.</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Fremont, CA 94555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3"/>
          <w:szCs w:val="13"/>
          <w:color w:val="auto"/>
        </w:rPr>
        <w:t>140 Scott Drive</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Menlo Park, California 94025</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color w:val="auto"/>
        </w:rPr>
        <w:t>Tel: +1.650.328.4600 Fax: +1.650.463.2600</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www.lw.com</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FIRM / AFFILIATE OFFICES</w:t>
      </w:r>
    </w:p>
    <w:p>
      <w:pPr>
        <w:spacing w:after="0" w:line="40"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color w:val="auto"/>
        </w:rPr>
        <w:t>Beijing</w:t>
      </w:r>
      <w:r>
        <w:rPr>
          <w:sz w:val="20"/>
          <w:szCs w:val="20"/>
          <w:color w:val="auto"/>
        </w:rPr>
        <w:tab/>
      </w:r>
      <w:r>
        <w:rPr>
          <w:rFonts w:ascii="Arial" w:cs="Arial" w:eastAsia="Arial" w:hAnsi="Arial"/>
          <w:sz w:val="13"/>
          <w:szCs w:val="13"/>
          <w:color w:val="auto"/>
        </w:rPr>
        <w:t>Moscow</w:t>
      </w:r>
    </w:p>
    <w:p>
      <w:pPr>
        <w:spacing w:after="0" w:line="40"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color w:val="auto"/>
        </w:rPr>
        <w:t>Boston</w:t>
      </w:r>
      <w:r>
        <w:rPr>
          <w:sz w:val="20"/>
          <w:szCs w:val="20"/>
          <w:color w:val="auto"/>
        </w:rPr>
        <w:tab/>
      </w:r>
      <w:r>
        <w:rPr>
          <w:rFonts w:ascii="Arial" w:cs="Arial" w:eastAsia="Arial" w:hAnsi="Arial"/>
          <w:sz w:val="13"/>
          <w:szCs w:val="13"/>
          <w:color w:val="auto"/>
        </w:rPr>
        <w:t>Munich</w:t>
      </w:r>
    </w:p>
    <w:p>
      <w:pPr>
        <w:spacing w:after="0" w:line="40"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color w:val="auto"/>
        </w:rPr>
        <w:t>Brussels</w:t>
      </w:r>
      <w:r>
        <w:rPr>
          <w:sz w:val="20"/>
          <w:szCs w:val="20"/>
          <w:color w:val="auto"/>
        </w:rPr>
        <w:tab/>
      </w:r>
      <w:r>
        <w:rPr>
          <w:rFonts w:ascii="Arial" w:cs="Arial" w:eastAsia="Arial" w:hAnsi="Arial"/>
          <w:sz w:val="13"/>
          <w:szCs w:val="13"/>
          <w:color w:val="auto"/>
        </w:rPr>
        <w:t>New York</w:t>
      </w:r>
    </w:p>
    <w:p>
      <w:pPr>
        <w:spacing w:after="0" w:line="40"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color w:val="auto"/>
        </w:rPr>
        <w:t>Century City</w:t>
      </w:r>
      <w:r>
        <w:rPr>
          <w:sz w:val="20"/>
          <w:szCs w:val="20"/>
          <w:color w:val="auto"/>
        </w:rPr>
        <w:tab/>
      </w:r>
      <w:r>
        <w:rPr>
          <w:rFonts w:ascii="Arial" w:cs="Arial" w:eastAsia="Arial" w:hAnsi="Arial"/>
          <w:sz w:val="12"/>
          <w:szCs w:val="12"/>
          <w:color w:val="auto"/>
        </w:rPr>
        <w:t>Orange County</w:t>
      </w:r>
    </w:p>
    <w:p>
      <w:pPr>
        <w:spacing w:after="0" w:line="40"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color w:val="auto"/>
        </w:rPr>
        <w:t>Chicago</w:t>
      </w:r>
      <w:r>
        <w:rPr>
          <w:sz w:val="20"/>
          <w:szCs w:val="20"/>
          <w:color w:val="auto"/>
        </w:rPr>
        <w:tab/>
      </w:r>
      <w:r>
        <w:rPr>
          <w:rFonts w:ascii="Arial" w:cs="Arial" w:eastAsia="Arial" w:hAnsi="Arial"/>
          <w:sz w:val="13"/>
          <w:szCs w:val="13"/>
          <w:color w:val="auto"/>
        </w:rPr>
        <w:t>Paris</w:t>
      </w:r>
    </w:p>
    <w:p>
      <w:pPr>
        <w:spacing w:after="0" w:line="40"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color w:val="auto"/>
        </w:rPr>
        <w:t>Dubai</w:t>
      </w:r>
      <w:r>
        <w:rPr>
          <w:sz w:val="20"/>
          <w:szCs w:val="20"/>
          <w:color w:val="auto"/>
        </w:rPr>
        <w:tab/>
      </w:r>
      <w:r>
        <w:rPr>
          <w:rFonts w:ascii="Arial" w:cs="Arial" w:eastAsia="Arial" w:hAnsi="Arial"/>
          <w:sz w:val="13"/>
          <w:szCs w:val="13"/>
          <w:color w:val="auto"/>
        </w:rPr>
        <w:t>Riyadh</w:t>
      </w:r>
    </w:p>
    <w:p>
      <w:pPr>
        <w:spacing w:after="0" w:line="40"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color w:val="auto"/>
        </w:rPr>
        <w:t>Düsseldorf</w:t>
      </w:r>
      <w:r>
        <w:rPr>
          <w:sz w:val="20"/>
          <w:szCs w:val="20"/>
          <w:color w:val="auto"/>
        </w:rPr>
        <w:tab/>
      </w:r>
      <w:r>
        <w:rPr>
          <w:rFonts w:ascii="Arial" w:cs="Arial" w:eastAsia="Arial" w:hAnsi="Arial"/>
          <w:sz w:val="13"/>
          <w:szCs w:val="13"/>
          <w:color w:val="auto"/>
        </w:rPr>
        <w:t>Rome</w:t>
      </w:r>
    </w:p>
    <w:p>
      <w:pPr>
        <w:spacing w:after="0" w:line="40"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color w:val="auto"/>
        </w:rPr>
        <w:t>Frankfurt</w:t>
      </w:r>
      <w:r>
        <w:rPr>
          <w:sz w:val="20"/>
          <w:szCs w:val="20"/>
          <w:color w:val="auto"/>
        </w:rPr>
        <w:tab/>
      </w:r>
      <w:r>
        <w:rPr>
          <w:rFonts w:ascii="Arial" w:cs="Arial" w:eastAsia="Arial" w:hAnsi="Arial"/>
          <w:sz w:val="13"/>
          <w:szCs w:val="13"/>
          <w:color w:val="auto"/>
        </w:rPr>
        <w:t>San Diego</w:t>
      </w:r>
    </w:p>
    <w:p>
      <w:pPr>
        <w:spacing w:after="0" w:line="40"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color w:val="auto"/>
        </w:rPr>
        <w:t>Hamburg</w:t>
      </w:r>
      <w:r>
        <w:rPr>
          <w:sz w:val="20"/>
          <w:szCs w:val="20"/>
          <w:color w:val="auto"/>
        </w:rPr>
        <w:tab/>
      </w:r>
      <w:r>
        <w:rPr>
          <w:rFonts w:ascii="Arial" w:cs="Arial" w:eastAsia="Arial" w:hAnsi="Arial"/>
          <w:sz w:val="13"/>
          <w:szCs w:val="13"/>
          <w:color w:val="auto"/>
        </w:rPr>
        <w:t>San Francisco</w:t>
      </w:r>
    </w:p>
    <w:p>
      <w:pPr>
        <w:spacing w:after="0" w:line="40"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color w:val="auto"/>
        </w:rPr>
        <w:t>Hong Kong</w:t>
      </w:r>
      <w:r>
        <w:rPr>
          <w:sz w:val="20"/>
          <w:szCs w:val="20"/>
          <w:color w:val="auto"/>
        </w:rPr>
        <w:tab/>
      </w:r>
      <w:r>
        <w:rPr>
          <w:rFonts w:ascii="Arial" w:cs="Arial" w:eastAsia="Arial" w:hAnsi="Arial"/>
          <w:sz w:val="12"/>
          <w:szCs w:val="12"/>
          <w:color w:val="auto"/>
        </w:rPr>
        <w:t>Seoul</w:t>
      </w:r>
    </w:p>
    <w:p>
      <w:pPr>
        <w:spacing w:after="0" w:line="40"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color w:val="auto"/>
        </w:rPr>
        <w:t>Houston</w:t>
      </w:r>
      <w:r>
        <w:rPr>
          <w:sz w:val="20"/>
          <w:szCs w:val="20"/>
          <w:color w:val="auto"/>
        </w:rPr>
        <w:tab/>
      </w:r>
      <w:r>
        <w:rPr>
          <w:rFonts w:ascii="Arial" w:cs="Arial" w:eastAsia="Arial" w:hAnsi="Arial"/>
          <w:sz w:val="13"/>
          <w:szCs w:val="13"/>
          <w:color w:val="auto"/>
        </w:rPr>
        <w:t>Shanghai</w:t>
      </w:r>
    </w:p>
    <w:p>
      <w:pPr>
        <w:spacing w:after="0" w:line="40"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color w:val="auto"/>
        </w:rPr>
        <w:t>London</w:t>
      </w:r>
      <w:r>
        <w:rPr>
          <w:sz w:val="20"/>
          <w:szCs w:val="20"/>
          <w:color w:val="auto"/>
        </w:rPr>
        <w:tab/>
      </w:r>
      <w:r>
        <w:rPr>
          <w:rFonts w:ascii="Arial" w:cs="Arial" w:eastAsia="Arial" w:hAnsi="Arial"/>
          <w:sz w:val="13"/>
          <w:szCs w:val="13"/>
          <w:color w:val="auto"/>
        </w:rPr>
        <w:t>Silicon Valley</w:t>
      </w:r>
    </w:p>
    <w:p>
      <w:pPr>
        <w:spacing w:after="0" w:line="40"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color w:val="auto"/>
        </w:rPr>
        <w:t>Los Angeles</w:t>
      </w:r>
      <w:r>
        <w:rPr>
          <w:sz w:val="20"/>
          <w:szCs w:val="20"/>
          <w:color w:val="auto"/>
        </w:rPr>
        <w:tab/>
      </w:r>
      <w:r>
        <w:rPr>
          <w:rFonts w:ascii="Arial" w:cs="Arial" w:eastAsia="Arial" w:hAnsi="Arial"/>
          <w:sz w:val="12"/>
          <w:szCs w:val="12"/>
          <w:color w:val="auto"/>
        </w:rPr>
        <w:t>Singapore</w:t>
      </w:r>
    </w:p>
    <w:p>
      <w:pPr>
        <w:spacing w:after="0" w:line="40"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color w:val="auto"/>
        </w:rPr>
        <w:t>Madrid</w:t>
      </w:r>
      <w:r>
        <w:rPr>
          <w:sz w:val="20"/>
          <w:szCs w:val="20"/>
          <w:color w:val="auto"/>
        </w:rPr>
        <w:tab/>
      </w:r>
      <w:r>
        <w:rPr>
          <w:rFonts w:ascii="Arial" w:cs="Arial" w:eastAsia="Arial" w:hAnsi="Arial"/>
          <w:sz w:val="13"/>
          <w:szCs w:val="13"/>
          <w:color w:val="auto"/>
        </w:rPr>
        <w:t>Tokyo</w:t>
      </w:r>
    </w:p>
    <w:p>
      <w:pPr>
        <w:spacing w:after="0" w:line="40"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color w:val="auto"/>
        </w:rPr>
        <w:t>Milan</w:t>
      </w:r>
      <w:r>
        <w:rPr>
          <w:sz w:val="20"/>
          <w:szCs w:val="20"/>
          <w:color w:val="auto"/>
        </w:rPr>
        <w:tab/>
      </w:r>
      <w:r>
        <w:rPr>
          <w:rFonts w:ascii="Arial" w:cs="Arial" w:eastAsia="Arial" w:hAnsi="Arial"/>
          <w:sz w:val="13"/>
          <w:szCs w:val="13"/>
          <w:color w:val="auto"/>
        </w:rPr>
        <w:t>Washington, D.C.</w:t>
      </w:r>
    </w:p>
    <w:p>
      <w:pPr>
        <w:spacing w:after="0" w:line="1170" w:lineRule="exact"/>
        <w:rPr>
          <w:sz w:val="20"/>
          <w:szCs w:val="20"/>
          <w:color w:val="auto"/>
        </w:rPr>
      </w:pPr>
    </w:p>
    <w:p>
      <w:pPr>
        <w:sectPr>
          <w:pgSz w:w="11900" w:h="16838" w:orient="portrait"/>
          <w:cols w:equalWidth="0" w:num="2">
            <w:col w:w="6760" w:space="720"/>
            <w:col w:w="2720"/>
          </w:cols>
          <w:pgMar w:left="840" w:top="31" w:right="859" w:bottom="1440" w:gutter="0" w:footer="0" w:header="0"/>
          <w:type w:val="continuous"/>
        </w:sectPr>
      </w:pPr>
    </w:p>
    <w:p>
      <w:pPr>
        <w:spacing w:after="0" w:line="225" w:lineRule="exact"/>
        <w:rPr>
          <w:sz w:val="20"/>
          <w:szCs w:val="20"/>
          <w:color w:val="auto"/>
        </w:rPr>
      </w:pPr>
    </w:p>
    <w:p>
      <w:pPr>
        <w:ind w:left="1960" w:right="40" w:hanging="659"/>
        <w:spacing w:after="0" w:line="256" w:lineRule="auto"/>
        <w:tabs>
          <w:tab w:leader="none" w:pos="1940" w:val="left"/>
        </w:tabs>
        <w:rPr>
          <w:sz w:val="20"/>
          <w:szCs w:val="20"/>
          <w:color w:val="auto"/>
        </w:rPr>
      </w:pPr>
      <w:r>
        <w:rPr>
          <w:rFonts w:ascii="Arial" w:cs="Arial" w:eastAsia="Arial" w:hAnsi="Arial"/>
          <w:sz w:val="22"/>
          <w:szCs w:val="22"/>
          <w:b w:val="1"/>
          <w:bCs w:val="1"/>
          <w:color w:val="auto"/>
        </w:rPr>
        <w:t>Re:</w:t>
      </w:r>
      <w:r>
        <w:rPr>
          <w:sz w:val="20"/>
          <w:szCs w:val="20"/>
          <w:color w:val="auto"/>
        </w:rPr>
        <w:tab/>
      </w:r>
      <w:r>
        <w:rPr>
          <w:rFonts w:ascii="Arial" w:cs="Arial" w:eastAsia="Arial" w:hAnsi="Arial"/>
          <w:sz w:val="22"/>
          <w:szCs w:val="22"/>
          <w:b w:val="1"/>
          <w:bCs w:val="1"/>
          <w:u w:val="single" w:color="auto"/>
          <w:color w:val="auto"/>
        </w:rPr>
        <w:t>Registration Statement on Form S-8; 3,113,021 shares of Common Stock of Ardelyx, Inc., par value $0.0001 per share</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We have acted as special counsel to Ardelyx, Inc., a Delaware corporation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in connection with the registration by the Company of 3,113,021 shares of common stock of the Company, par value $0.0001 per share (the “</w:t>
      </w:r>
      <w:r>
        <w:rPr>
          <w:rFonts w:ascii="Arial" w:cs="Arial" w:eastAsia="Arial" w:hAnsi="Arial"/>
          <w:sz w:val="22"/>
          <w:szCs w:val="22"/>
          <w:b w:val="1"/>
          <w:bCs w:val="1"/>
          <w:i w:val="1"/>
          <w:iCs w:val="1"/>
          <w:color w:val="auto"/>
        </w:rPr>
        <w:t>Shares</w:t>
      </w:r>
      <w:r>
        <w:rPr>
          <w:rFonts w:ascii="Arial" w:cs="Arial" w:eastAsia="Arial" w:hAnsi="Arial"/>
          <w:sz w:val="22"/>
          <w:szCs w:val="22"/>
          <w:color w:val="auto"/>
        </w:rPr>
        <w:t>”), issuable under the Company’s 2014 Equity Incentive Award Plan (the “</w:t>
      </w:r>
      <w:r>
        <w:rPr>
          <w:rFonts w:ascii="Arial" w:cs="Arial" w:eastAsia="Arial" w:hAnsi="Arial"/>
          <w:sz w:val="22"/>
          <w:szCs w:val="22"/>
          <w:b w:val="1"/>
          <w:bCs w:val="1"/>
          <w:i w:val="1"/>
          <w:iCs w:val="1"/>
          <w:color w:val="auto"/>
        </w:rPr>
        <w:t>2014 Plan</w:t>
      </w:r>
      <w:r>
        <w:rPr>
          <w:rFonts w:ascii="Arial" w:cs="Arial" w:eastAsia="Arial" w:hAnsi="Arial"/>
          <w:sz w:val="22"/>
          <w:szCs w:val="22"/>
          <w:color w:val="auto"/>
        </w:rPr>
        <w:t>”) and the Company’s 2014 Employee Stock Purchase Plan (the “</w:t>
      </w:r>
      <w:r>
        <w:rPr>
          <w:rFonts w:ascii="Arial" w:cs="Arial" w:eastAsia="Arial" w:hAnsi="Arial"/>
          <w:sz w:val="22"/>
          <w:szCs w:val="22"/>
          <w:b w:val="1"/>
          <w:bCs w:val="1"/>
          <w:i w:val="1"/>
          <w:iCs w:val="1"/>
          <w:color w:val="auto"/>
        </w:rPr>
        <w:t>ESPP</w:t>
      </w:r>
      <w:r>
        <w:rPr>
          <w:rFonts w:ascii="Arial" w:cs="Arial" w:eastAsia="Arial" w:hAnsi="Arial"/>
          <w:sz w:val="22"/>
          <w:szCs w:val="22"/>
          <w:color w:val="auto"/>
        </w:rPr>
        <w:t>”).</w:t>
      </w:r>
    </w:p>
    <w:p>
      <w:pPr>
        <w:spacing w:after="0" w:line="18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The Shares are included in a registration statement on Form S-8 under the Securities Act of 1933, as amended (the “</w:t>
      </w:r>
      <w:r>
        <w:rPr>
          <w:rFonts w:ascii="Arial" w:cs="Arial" w:eastAsia="Arial" w:hAnsi="Arial"/>
          <w:sz w:val="22"/>
          <w:szCs w:val="22"/>
          <w:b w:val="1"/>
          <w:bCs w:val="1"/>
          <w:i w:val="1"/>
          <w:iCs w:val="1"/>
          <w:color w:val="auto"/>
        </w:rPr>
        <w:t>Act</w:t>
      </w:r>
      <w:r>
        <w:rPr>
          <w:rFonts w:ascii="Arial" w:cs="Arial" w:eastAsia="Arial" w:hAnsi="Arial"/>
          <w:sz w:val="22"/>
          <w:szCs w:val="22"/>
          <w:color w:val="auto"/>
        </w:rPr>
        <w:t>”), filed with the Securities and Exchange Commission (the “</w:t>
      </w:r>
      <w:r>
        <w:rPr>
          <w:rFonts w:ascii="Arial" w:cs="Arial" w:eastAsia="Arial" w:hAnsi="Arial"/>
          <w:sz w:val="22"/>
          <w:szCs w:val="22"/>
          <w:b w:val="1"/>
          <w:bCs w:val="1"/>
          <w:i w:val="1"/>
          <w:iCs w:val="1"/>
          <w:color w:val="auto"/>
        </w:rPr>
        <w:t>Commission</w:t>
      </w:r>
      <w:r>
        <w:rPr>
          <w:rFonts w:ascii="Arial" w:cs="Arial" w:eastAsia="Arial" w:hAnsi="Arial"/>
          <w:sz w:val="22"/>
          <w:szCs w:val="22"/>
          <w:color w:val="auto"/>
        </w:rPr>
        <w:t>”) on March 6, 2019 (the “</w:t>
      </w:r>
      <w:r>
        <w:rPr>
          <w:rFonts w:ascii="Arial" w:cs="Arial" w:eastAsia="Arial" w:hAnsi="Arial"/>
          <w:sz w:val="22"/>
          <w:szCs w:val="22"/>
          <w:b w:val="1"/>
          <w:bCs w:val="1"/>
          <w:i w:val="1"/>
          <w:iCs w:val="1"/>
          <w:color w:val="auto"/>
        </w:rPr>
        <w:t>Registration Statement</w:t>
      </w:r>
      <w:r>
        <w:rPr>
          <w:rFonts w:ascii="Arial" w:cs="Arial" w:eastAsia="Arial" w:hAnsi="Arial"/>
          <w:sz w:val="22"/>
          <w:szCs w:val="22"/>
          <w:color w:val="auto"/>
        </w:rPr>
        <w:t>”). This opinion is being furnished in connection with the requirements of Item 601(b)(5) of Regulation S-K under the Act, and no opinion is expressed herein as to any matter pertaining to the contents of the Registration Statement or the related prospectus, other than as expressly stated herein with respect to the issue of the Shares.</w:t>
      </w:r>
    </w:p>
    <w:p>
      <w:pPr>
        <w:spacing w:after="0" w:line="18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Arial" w:cs="Arial" w:eastAsia="Arial" w:hAnsi="Arial"/>
          <w:sz w:val="22"/>
          <w:szCs w:val="22"/>
          <w:b w:val="1"/>
          <w:bCs w:val="1"/>
          <w:i w:val="1"/>
          <w:iCs w:val="1"/>
          <w:color w:val="auto"/>
        </w:rPr>
        <w:t>DGCL</w:t>
      </w:r>
      <w:r>
        <w:rPr>
          <w:rFonts w:ascii="Arial" w:cs="Arial" w:eastAsia="Arial" w:hAnsi="Arial"/>
          <w:sz w:val="22"/>
          <w:szCs w:val="22"/>
          <w:color w:val="auto"/>
        </w:rPr>
        <w:t>”), and we express no opinion with respect to any other laws.</w:t>
      </w:r>
    </w:p>
    <w:p>
      <w:pPr>
        <w:spacing w:after="0" w:line="18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Subject to the foregoing and the other matters set forth herein, it is our opinion that, as of the date hereof, when the Shares shall have been duly registered on the books of the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398780</wp:posOffset>
            </wp:positionV>
            <wp:extent cx="648081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6480810" cy="25400"/>
                    </a:xfrm>
                    <a:prstGeom prst="rect">
                      <a:avLst/>
                    </a:prstGeom>
                    <a:noFill/>
                  </pic:spPr>
                </pic:pic>
              </a:graphicData>
            </a:graphic>
          </wp:anchor>
        </w:drawing>
      </w:r>
    </w:p>
    <w:p>
      <w:pPr>
        <w:sectPr>
          <w:pgSz w:w="11900" w:h="16838" w:orient="portrait"/>
          <w:cols w:equalWidth="0" w:num="1">
            <w:col w:w="10200"/>
          </w:cols>
          <w:pgMar w:left="840" w:top="31" w:right="85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3"/>
          <w:szCs w:val="13"/>
          <w:b w:val="1"/>
          <w:bCs w:val="1"/>
          <w:color w:val="auto"/>
        </w:rPr>
        <w:t>March 8, 2019</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165735</wp:posOffset>
            </wp:positionV>
            <wp:extent cx="1568450" cy="1028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568450" cy="102870"/>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agent and registrar therefor in the name or on behalf of the purchasers and have been issued by the Company against payment therefor (not less than par value) in the circumstances contemplated by the 2014 Plan and ESPP, assuming in each case that the individual issuances, grants or awards under the 2014 Plan and ESPP are duly authorized by all necessary corporate action and duly issued, granted or awarded and exercised in accordance with the requirements of law, the ESPP and the 2014 Plan (and the agreements and awards duly adopted thereunder and in accordance therewith), the issue and sale of the Shares will have been duly authorized by all necessary corporate action of the Company, and the Shares will be validly issued, fully paid and nonassessable. In rendering the foregoing opinion, we have assumed that the Company will comply with all applicable notice requirements regarding uncertificated shares provided in the DGCL.</w:t>
      </w:r>
    </w:p>
    <w:p>
      <w:pPr>
        <w:spacing w:after="0" w:line="18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In giving such consent, we do not thereby admit that we are in the category of persons whose consent is required under Section 7 of the Act or the rules and regulations of the Commission thereunder.</w:t>
      </w:r>
    </w:p>
    <w:p>
      <w:pPr>
        <w:spacing w:after="0" w:line="194"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/S/ Latham &amp;Watkins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306070</wp:posOffset>
            </wp:positionV>
            <wp:extent cx="648081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6480810" cy="25400"/>
                    </a:xfrm>
                    <a:prstGeom prst="rect">
                      <a:avLst/>
                    </a:prstGeom>
                    <a:noFill/>
                  </pic:spPr>
                </pic:pic>
              </a:graphicData>
            </a:graphic>
          </wp:anchor>
        </w:drawing>
      </w:r>
    </w:p>
    <w:p>
      <w:pPr>
        <w:sectPr>
          <w:pgSz w:w="11900" w:h="16838" w:orient="portrait"/>
          <w:cols w:equalWidth="0" w:num="1">
            <w:col w:w="10200"/>
          </w:cols>
          <w:pgMar w:left="840" w:top="38" w:right="85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2014 Equity Incentive Award Plan and the 2014 Employee Stock Purchase Plan of Ardelyx, Inc. of our report dated March 6, 2019, with respect to the consolidated financial statements of Ardelyx, Inc. included in its Annual Report (Form 10-K) for the year ended December 31, 2018, filed with the Securities and Exchange Commission.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648081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6480810" cy="25400"/>
                    </a:xfrm>
                    <a:prstGeom prst="rect">
                      <a:avLst/>
                    </a:prstGeom>
                    <a:noFill/>
                  </pic:spPr>
                </pic:pic>
              </a:graphicData>
            </a:graphic>
          </wp:anchor>
        </w:drawing>
      </w:r>
    </w:p>
    <w:sectPr>
      <w:pgSz w:w="11900" w:h="16838" w:orient="portrait"/>
      <w:cols w:equalWidth="0" w:num="1">
        <w:col w:w="10200"/>
      </w:cols>
      <w:pgMar w:left="840" w:top="41"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6">
    <w:nsid w:val="79E2A9E3"/>
    <w:multiLevelType w:val="hybridMultilevel"/>
    <w:lvl w:ilvl="0">
      <w:lvlJc w:val="left"/>
      <w:lvlText w:val="%1"/>
      <w:numFmt w:val="lowerLetter"/>
      <w:start w:val="1"/>
    </w:lvl>
    <w:lvl w:ilvl="1">
      <w:lvlJc w:val="left"/>
      <w:lvlText w:val="(%2)"/>
      <w:numFmt w:val="decimal"/>
      <w:start w:val="1"/>
    </w:lvl>
  </w:abstractNum>
  <w:abstractNum w:abstractNumId="7">
    <w:nsid w:val="7545E146"/>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jpeg"/><Relationship Id="rId32" Type="http://schemas.openxmlformats.org/officeDocument/2006/relationships/image" Target="media/image18.png"/><Relationship Id="rId33" Type="http://schemas.openxmlformats.org/officeDocument/2006/relationships/image" Target="media/image19.jpeg"/><Relationship Id="rId34" Type="http://schemas.openxmlformats.org/officeDocument/2006/relationships/image" Target="media/image20.png"/><Relationship Id="rId35" Type="http://schemas.openxmlformats.org/officeDocument/2006/relationships/image" Target="media/image21.png"/><Relationship Id="rId21" Type="http://schemas.openxmlformats.org/officeDocument/2006/relationships/hyperlink" Target="http://www.sec.gov/Archives/edgar/data/1437402/000119312514247380/d748616dex31.htm" TargetMode="External"/><Relationship Id="rId22" Type="http://schemas.openxmlformats.org/officeDocument/2006/relationships/hyperlink" Target="http://www.sec.gov/Archives/edgar/data/1437402/000119312514247380/d748616dex32.htm" TargetMode="External"/><Relationship Id="rId23" Type="http://schemas.openxmlformats.org/officeDocument/2006/relationships/hyperlink" Target="http://www.sec.gov/Archives/edgar/data/1437402/000119312514240520/d704770dex42.htm" TargetMode="External"/><Relationship Id="rId24" Type="http://schemas.openxmlformats.org/officeDocument/2006/relationships/hyperlink" Target="http://www.sec.gov/Archives/edgar/data/1437402/000119312514267896/d758186dex993.htm" TargetMode="External"/><Relationship Id="rId25" Type="http://schemas.openxmlformats.org/officeDocument/2006/relationships/hyperlink" Target="http://www.sec.gov/Archives/edgar/data/1437402/000119312514229371/d704770dex106b.htm" TargetMode="External"/><Relationship Id="rId26" Type="http://schemas.openxmlformats.org/officeDocument/2006/relationships/hyperlink" Target="http://www.sec.gov/Archives/edgar/data/1437402/000119312514229371/d704770dex106c.htm" TargetMode="External"/><Relationship Id="rId27" Type="http://schemas.openxmlformats.org/officeDocument/2006/relationships/hyperlink" Target="http://www.sec.gov/Archives/edgar/data/1437402/000119312514267896/d758186dex99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2019-11-24T04:56:19Z</dcterms:created>
  <dcterms:modified xsi:type="dcterms:W3CDTF">2019-11-24T04:56:19Z</dcterms:modified>
</cp:coreProperties>
</file>