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8"/>
              </w:rPr>
              <w:t>34175 ARDENWOOD BLVD., FREMONT, CALIFORNIA 94555</w:t>
            </w:r>
          </w:p>
        </w:tc>
        <w:tc>
          <w:tcPr>
            <w:tcW w:w="2740" w:type="dxa"/>
            <w:vAlign w:val="bottom"/>
          </w:tcPr>
          <w:p>
            <w:pPr>
              <w:spacing w:after="0"/>
              <w:rPr>
                <w:sz w:val="24"/>
                <w:szCs w:val="24"/>
                <w:color w:val="auto"/>
              </w:rPr>
            </w:pPr>
          </w:p>
        </w:tc>
      </w:tr>
      <w:tr>
        <w:trPr>
          <w:trHeight w:val="212"/>
        </w:trPr>
        <w:tc>
          <w:tcPr>
            <w:tcW w:w="28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4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July 29, 2021, the Board of Directors of Ardelyx, Inc. (the “Company”) approved and on August 2, 2021 management began implementing, a restructuring plan to reduce operating costs and better align the Company’s workforce with the needs of its business following the receipt of a complete response letter (“CRL”) from the U.S. Food and Drug Administration (the “FDA”) on July 28, 2021 regarding the Company’s New Drug Application (“NDA”) for the control of serum phosphorus in chronic kidney disease patients on dialysis. The restructuring plan is expected to be completed in August 2021.</w:t>
      </w:r>
    </w:p>
    <w:p>
      <w:pPr>
        <w:spacing w:after="0" w:line="20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Under the restructuring plan, the Company is reducing its workforce by approximately 83 employees (approximately 33%). Impacted employees will receive cash payments equal to their base pay for a notice period of sixty (60) days and Company funded COBRA premiums through such notice period. In addition, impacted employees are eligible to receive severance benefits and additional Company funded COBRA premiums, contingent upon an impacted employee’s execution (and non-revocation) of a separation agreement, which includes a general release of claims against the Company. The Company expects that the workforce reduction will decrease its annual cash compensation costs by approximately $17 million.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connection with the restructuring, the Company estimates that it will incur aggregate restructuring charges of approximately $3.4 million, which will be recorded primarily in the third quarter 2021, related to one-time termination notice and severance payments and other employee-related costs. The cash payments related to the reduction in workforce will be paid primarily during the third quarter 2021. The Company may also incur additional costs not currently contemplated due to events that may occur as a result of, or that are associated with, the reduction in workforce.</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This item 2.05 contains forward-looking statements, including, but not limited to, statements related to the expected costs associated with the restructuring and the expected reduction in annual cash compensation costs resulting from the workforce reduction.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In addition, the Company’s workforce reduction costs may be greater than anticipated. A further description of the risks and uncertainties relating to the business of the Company is contained in the Company’s Quarterly Report on Form 10-Q for the quarterly period ended March 31, 2021, filed with the Securities and Exchange Commission (the “SEC”), and the Company’s subsequent current reports filed with the SEC. The Company undertakes no duty or obligation to update any forward-looking statements contained in this Item 2.05 as a result of new information, future events or changes in its expectations.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Exhibit</w:t>
      </w:r>
    </w:p>
    <w:p>
      <w:pPr>
        <w:ind w:left="320"/>
        <w:spacing w:after="0"/>
        <w:tabs>
          <w:tab w:leader="none" w:pos="10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14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August 2,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2021-08-03T05:31:24Z</dcterms:created>
  <dcterms:modified xsi:type="dcterms:W3CDTF">2021-08-03T05:31:24Z</dcterms:modified>
</cp:coreProperties>
</file>