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8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highlight w:val="black"/>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102870</wp:posOffset>
            </wp:positionV>
            <wp:extent cx="68580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 Fifth Avenue, Suite 210, Waltham, MA 02451</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18, 2025</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Ardelyx, Inc.:</w:t>
      </w:r>
    </w:p>
    <w:p>
      <w:pPr>
        <w:spacing w:after="0" w:line="11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2025 Annual Meeting of Stockholders, or the 2025 Annual Meeting, of Ardelyx, Inc., a Delaware corporation, or the Company, will be held on June 18, 2025 at 8:30 a.m. Eastern Time. The 2025 Annual Meeting will be held entirely online. You will be able to attend the meeting online where you will be able to listen to the meeting live and vote. The 2025 Annual Meeting will be held for the following purposes:</w:t>
      </w:r>
    </w:p>
    <w:p>
      <w:pPr>
        <w:spacing w:after="0" w:line="72" w:lineRule="exact"/>
        <w:rPr>
          <w:sz w:val="20"/>
          <w:szCs w:val="20"/>
          <w:color w:val="auto"/>
        </w:rPr>
      </w:pPr>
    </w:p>
    <w:p>
      <w:pPr>
        <w:ind w:left="1000" w:right="3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to hold office until the 2028 Annual Meeting of Stockholders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as disclosed in the proxy statement accompanying this notice pursuant to the compensation disclosure rules of the Securities and Exchange Commission, or Say-on-Pay;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and Compliance Committee of our board of directors, of Ernst &amp; Young LLP as the independent registered public accounting firm of the Company for the fiscal year ending December 31, 2025;</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amendment (the “Equity Plan Amendment”) to the Amended and Restated 2014 Equity Incentive Award Plan (the “Restated Plan”) to increase the number of shares reserved for issuance under the Restated Plan by 10,000,000 shares; and</w:t>
      </w:r>
    </w:p>
    <w:p>
      <w:pPr>
        <w:spacing w:after="0" w:line="67" w:lineRule="exact"/>
        <w:rPr>
          <w:rFonts w:ascii="Times New Roman" w:cs="Times New Roman" w:eastAsia="Times New Roman" w:hAnsi="Times New Roman"/>
          <w:sz w:val="18"/>
          <w:szCs w:val="18"/>
          <w:color w:val="auto"/>
        </w:rPr>
      </w:pPr>
    </w:p>
    <w:p>
      <w:pPr>
        <w:ind w:left="1000" w:right="12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2025 Annual Meeting or any adjournment or postponement thereof.</w:t>
      </w:r>
    </w:p>
    <w:p>
      <w:pPr>
        <w:spacing w:after="0" w:line="54" w:lineRule="exact"/>
        <w:rPr>
          <w:sz w:val="20"/>
          <w:szCs w:val="20"/>
          <w:color w:val="auto"/>
        </w:rPr>
      </w:pPr>
    </w:p>
    <w:p>
      <w:pPr>
        <w:ind w:left="300" w:right="679"/>
        <w:spacing w:after="0" w:line="289"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accompanying this Notice of Annual Meeting of Stockholders. Only stockholders who owned the Company’s common stock at the close of business on Monday, April 21, 2025 may vote at the 2025 Annual Meeting or any adjournments that take place.</w:t>
      </w:r>
    </w:p>
    <w:p>
      <w:pPr>
        <w:spacing w:after="0" w:line="5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virtual 2025 Annual Meeting online via live audio-only webcast at </w:t>
      </w:r>
      <w:r>
        <w:rPr>
          <w:rFonts w:ascii="Times New Roman" w:cs="Times New Roman" w:eastAsia="Times New Roman" w:hAnsi="Times New Roman"/>
          <w:sz w:val="18"/>
          <w:szCs w:val="18"/>
          <w:i w:val="1"/>
          <w:iCs w:val="1"/>
          <w:color w:val="auto"/>
        </w:rPr>
        <w:t>www.virtualshareholdermeeting.com/ARDX2025</w:t>
      </w:r>
      <w:r>
        <w:rPr>
          <w:rFonts w:ascii="Times New Roman" w:cs="Times New Roman" w:eastAsia="Times New Roman" w:hAnsi="Times New Roman"/>
          <w:sz w:val="18"/>
          <w:szCs w:val="18"/>
          <w:color w:val="auto"/>
        </w:rPr>
        <w:t>. Whether or not you plan to attend the 2025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please vote as soon as possible. You may vote over the internet or by a toll-free telephone number, or by mailing a complete, signed and dated proxy card or voting instruction card in the envelope provided. Please note that any stockholder attending the 2025 Annual Meeting may vote online at the 2025 Annual Meeting, even if the stockholder has already voted over the internet or by phone or returned a proxy card or voting instruction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19"/>
        <w:spacing w:after="0" w:line="257" w:lineRule="auto"/>
        <w:rPr>
          <w:sz w:val="20"/>
          <w:szCs w:val="20"/>
          <w:color w:val="auto"/>
        </w:rPr>
      </w:pPr>
      <w:r>
        <w:rPr>
          <w:rFonts w:ascii="Times New Roman" w:cs="Times New Roman" w:eastAsia="Times New Roman" w:hAnsi="Times New Roman"/>
          <w:sz w:val="18"/>
          <w:szCs w:val="18"/>
          <w:color w:val="auto"/>
        </w:rPr>
        <w:t>Our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director nominees named in Proposal No. 1 of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the Say-on-Pay proposal as described in Proposal No. 2 of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our independent registered public accounting firm for the year ending December 31, 2025 as described in Proposal No. 3 of the proxy statement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Equity Plan Amendment, as described in Proposal No. 4 of the proxy statement.</w:t>
      </w:r>
    </w:p>
    <w:p>
      <w:pPr>
        <w:spacing w:after="0" w:line="2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Elizabeth Grammer, Esq.</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35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Notice of the Annual Meeting of Stockholders</w:t>
            </w:r>
          </w:p>
        </w:tc>
        <w:tc>
          <w:tcPr>
            <w:tcW w:w="4620" w:type="dxa"/>
            <w:vAlign w:val="bottom"/>
            <w:gridSpan w:val="11"/>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8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 Regarding the Proxy Materials and the Voting Process</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 Election of Directors</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8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Board and Corporate Governance Matters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w w:val="98"/>
              </w:rPr>
              <w:t>Board Composition</w:t>
            </w:r>
          </w:p>
        </w:tc>
        <w:tc>
          <w:tcPr>
            <w:tcW w:w="6500" w:type="dxa"/>
            <w:vAlign w:val="bottom"/>
            <w:gridSpan w:val="25"/>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Leadership Structure of the Board</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Role of the Board in Risk Oversight Processes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Meetings of the Board of Directors and Committees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Board Committees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Governance Policies and Principles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98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Non-Employee Director Compensation</w:t>
            </w:r>
          </w:p>
        </w:tc>
        <w:tc>
          <w:tcPr>
            <w:tcW w:w="5140" w:type="dxa"/>
            <w:vAlign w:val="bottom"/>
            <w:gridSpan w:val="15"/>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2 – Advisory Vote to Approve Named Executive Officer Compensation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Executive Officers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Compensation Discussion and Analysis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Executive Summary</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Compensation Philosophy and Process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Compensation Program</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Report of the Compensation Committee of the Board of Directors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3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w w:val="98"/>
              </w:rPr>
              <w:t>Executive Compensation Tables</w:t>
            </w:r>
          </w:p>
        </w:tc>
        <w:tc>
          <w:tcPr>
            <w:tcW w:w="5580" w:type="dxa"/>
            <w:vAlign w:val="bottom"/>
            <w:gridSpan w:val="21"/>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3 – Ratification of Selection of Independent Registered Public Accounting Firm</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w w:val="99"/>
              </w:rPr>
              <w:t>Independent Registered Public Accounting Firm Fees</w:t>
            </w:r>
          </w:p>
        </w:tc>
        <w:tc>
          <w:tcPr>
            <w:tcW w:w="3940" w:type="dxa"/>
            <w:vAlign w:val="bottom"/>
            <w:gridSpan w:val="8"/>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Pre-Approval Policies and Procedures</w:t>
            </w:r>
          </w:p>
        </w:tc>
        <w:tc>
          <w:tcPr>
            <w:tcW w:w="3940" w:type="dxa"/>
            <w:vAlign w:val="bottom"/>
            <w:gridSpan w:val="8"/>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Report of the Audit and Compliance Committee of the Board of Directors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4 – Approval of the Amendment to the Amended and Restated 2014 Equity Incentive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4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Award Plan</w:t>
            </w:r>
          </w:p>
        </w:tc>
        <w:tc>
          <w:tcPr>
            <w:tcW w:w="900" w:type="dxa"/>
            <w:vAlign w:val="bottom"/>
          </w:tcPr>
          <w:p>
            <w:pPr>
              <w:spacing w:after="0"/>
              <w:rPr>
                <w:sz w:val="17"/>
                <w:szCs w:val="17"/>
                <w:color w:val="auto"/>
              </w:rPr>
            </w:pP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Ownership of Certain Beneficial Owners and Management</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3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Delinquent Section 16(A) Reports</w:t>
            </w:r>
          </w:p>
        </w:tc>
        <w:tc>
          <w:tcPr>
            <w:tcW w:w="2820" w:type="dxa"/>
            <w:vAlign w:val="bottom"/>
            <w:gridSpan w:val="6"/>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Additional Information</w:t>
            </w:r>
          </w:p>
        </w:tc>
        <w:tc>
          <w:tcPr>
            <w:tcW w:w="6320" w:type="dxa"/>
            <w:vAlign w:val="bottom"/>
            <w:gridSpan w:val="23"/>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Householding of Proxy Materials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Annual Reports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EE"/>
              </w:rPr>
              <w:t>Other Matters</w:t>
            </w:r>
          </w:p>
        </w:tc>
        <w:tc>
          <w:tcPr>
            <w:tcW w:w="6780" w:type="dxa"/>
            <w:vAlign w:val="bottom"/>
            <w:gridSpan w:val="28"/>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59</w:t>
            </w:r>
          </w:p>
        </w:tc>
        <w:tc>
          <w:tcPr>
            <w:tcW w:w="1300" w:type="dxa"/>
            <w:vAlign w:val="bottom"/>
          </w:tcPr>
          <w:p>
            <w:pPr>
              <w:spacing w:after="0"/>
              <w:rPr>
                <w:sz w:val="16"/>
                <w:szCs w:val="16"/>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400 Fifth Avenue, Suite 210</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18, 2025</w:t>
      </w:r>
    </w:p>
    <w:p>
      <w:pPr>
        <w:spacing w:after="0" w:line="108" w:lineRule="exact"/>
        <w:rPr>
          <w:sz w:val="20"/>
          <w:szCs w:val="20"/>
          <w:color w:val="auto"/>
        </w:rPr>
      </w:pPr>
    </w:p>
    <w:p>
      <w:pPr>
        <w:ind w:left="1000" w:right="599" w:hanging="442"/>
        <w:spacing w:after="0" w:line="317" w:lineRule="auto"/>
        <w:rPr>
          <w:sz w:val="20"/>
          <w:szCs w:val="20"/>
          <w:color w:val="auto"/>
        </w:rPr>
      </w:pPr>
      <w:r>
        <w:rPr>
          <w:rFonts w:ascii="Times New Roman" w:cs="Times New Roman" w:eastAsia="Times New Roman" w:hAnsi="Times New Roman"/>
          <w:sz w:val="17"/>
          <w:szCs w:val="17"/>
          <w:b w:val="1"/>
          <w:bCs w:val="1"/>
          <w:color w:val="auto"/>
        </w:rPr>
        <w:t>IMPORTANT NOTICE REGARDING THE INTERNET AVAILABILITY OF PROXY MATERIALS FOR THE ANNUAL MEETING OF STOCKHOLDERS TO BE HELD ON JUNE 18, 2025</w:t>
      </w:r>
    </w:p>
    <w:p>
      <w:pPr>
        <w:spacing w:after="0" w:line="28" w:lineRule="exact"/>
        <w:rPr>
          <w:sz w:val="20"/>
          <w:szCs w:val="20"/>
          <w:color w:val="auto"/>
        </w:rPr>
      </w:pPr>
    </w:p>
    <w:p>
      <w:pPr>
        <w:ind w:left="300" w:right="679"/>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and our Annual Report on Form 10-K for the fiscal year ended December 31, 2024 are available on our website at www.ardelyx.com and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references to our web address contained in this proxy statement do not constitute incorporation by reference of the information contained at or available through our website.</w:t>
      </w:r>
    </w:p>
    <w:p>
      <w:pPr>
        <w:spacing w:after="0" w:line="72"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proxy statement the terms “Ardelyx,” “we,” “us,” “our” and “the Company” refer to Ardelyx, Inc.</w:t>
      </w:r>
    </w:p>
    <w:p>
      <w:pPr>
        <w:spacing w:after="0" w:line="158" w:lineRule="exact"/>
        <w:rPr>
          <w:sz w:val="20"/>
          <w:szCs w:val="20"/>
          <w:color w:val="auto"/>
        </w:rPr>
      </w:pPr>
    </w:p>
    <w:p>
      <w:pPr>
        <w:ind w:left="300" w:right="399"/>
        <w:spacing w:after="0" w:line="385" w:lineRule="auto"/>
        <w:rPr>
          <w:sz w:val="20"/>
          <w:szCs w:val="20"/>
          <w:color w:val="auto"/>
        </w:rPr>
      </w:pPr>
      <w:r>
        <w:rPr>
          <w:rFonts w:ascii="Times New Roman" w:cs="Times New Roman" w:eastAsia="Times New Roman" w:hAnsi="Times New Roman"/>
          <w:sz w:val="18"/>
          <w:szCs w:val="18"/>
          <w:b w:val="1"/>
          <w:bCs w:val="1"/>
          <w:color w:val="auto"/>
        </w:rPr>
        <w:t>QUESTIONS AND ANSWERS REGARDING THE PROXY MATERIALS AND THE VOTING PROCESS Why am I receiving these proxy materials?</w:t>
      </w:r>
    </w:p>
    <w:p>
      <w:pPr>
        <w:spacing w:after="0" w:line="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 xml:space="preserve">We have delivered paper proxy materials to you, because the board of directors of Ardelyx is soliciting your proxy to vote at the 2025 Annual Meeting of Stockholders, or the 2025 Annual Meeting, or any adjournments that take place. The 2025 Annual Meeting will be held online on June 18, 2025 at 8:30 a.m. Eastern Time via live audio-only webcast at </w:t>
      </w:r>
      <w:r>
        <w:rPr>
          <w:rFonts w:ascii="Times New Roman" w:cs="Times New Roman" w:eastAsia="Times New Roman" w:hAnsi="Times New Roman"/>
          <w:sz w:val="18"/>
          <w:szCs w:val="18"/>
          <w:i w:val="1"/>
          <w:iCs w:val="1"/>
          <w:color w:val="auto"/>
        </w:rPr>
        <w:t>www.virtualshareholdermeeting.com/ARDX2025</w:t>
      </w:r>
      <w:r>
        <w:rPr>
          <w:rFonts w:ascii="Times New Roman" w:cs="Times New Roman" w:eastAsia="Times New Roman" w:hAnsi="Times New Roman"/>
          <w:sz w:val="18"/>
          <w:szCs w:val="18"/>
          <w:color w:val="auto"/>
        </w:rPr>
        <w:t>. As a stockholder, you are invited to attend the 2025 Annual Meeting online and are requested to vote on the proposals described in this proxy statement. However, you do not need to attend the 2025 Annual Meeting to vote.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117" w:lineRule="exact"/>
        <w:rPr>
          <w:sz w:val="20"/>
          <w:szCs w:val="20"/>
          <w:color w:val="auto"/>
        </w:rPr>
      </w:pPr>
    </w:p>
    <w:p>
      <w:pPr>
        <w:ind w:left="1000" w:right="4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includes information regarding the proposals to be voted on at the 2025 Annual Meeting, the voting process, corporate governance, the compensation of our directors and certain executive officers, and other required information;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2024;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a voting instruction card for the 2025 Annual Meeting.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materials are being mailed on or about May 1, 2025, and are available at www.ardelyx.com.</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2025 Annual Meeting?</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21, 2025, or the Record Date, will be entitled to vote at the 2025 Annual Meeting. On this Record Date, there were 239,255,212 shares of common stock outstanding and entitled to vote.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If, at the close of business on April 21, 2025, your shares were registered directly in your name with our transfer agent, Equiniti Trust Company, LLC, then you are a stockholder of record. As a stockholder of record, you may vote online at the 2025 Annual Meeting or vote by proxy. Whether or not you plan to attend the 2025 Annual Meeting, please vote as soon as possible by internet, telephone or by mail as instructed below to ensure your vote is counted.</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If, at the close of business on April 21, 2025,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holding your account is considered to be the stockholder of record for purposes of voting at the 2025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2025 Annual Meeting, you must obtain a valid proxy from your broker or other agent. Follow the instructions from your broker or other agent included with these proxy materials, or contact your broker or bank to request a proxy form. In order to login to the online 2025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are scheduled for a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four proposals scheduled for a vote at the 2025 Annual Meeting:</w:t>
      </w:r>
    </w:p>
    <w:p>
      <w:pPr>
        <w:spacing w:after="0" w:line="117" w:lineRule="exact"/>
        <w:rPr>
          <w:sz w:val="20"/>
          <w:szCs w:val="20"/>
          <w:color w:val="auto"/>
        </w:rPr>
      </w:pPr>
    </w:p>
    <w:p>
      <w:pPr>
        <w:ind w:left="1000" w:right="11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two Class II directors to hold office until the 2028 Annual Meeting of Stockholders and until their successors are elected and qualified;</w:t>
      </w:r>
    </w:p>
    <w:p>
      <w:pPr>
        <w:spacing w:after="0" w:line="53"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on a non-binding, advisory basis, the compensation of our named executive officers, as disclosed in this proxy statement pursuant to the compensation disclosure rules of the SEC, or Say-on-Pay;</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ratify the selection, by the Audit and Compliance Committee of our board of directors, of Ernst &amp; Young LLP as the independent registered public accounting firm of the Company for the fiscal year ending December 31, 2025;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approve an amendment (the “Equity Plan Amendment”) to the Amended and Restated 2014 Equity Incentive Award Plan (the “Restated Plan”) to increase the maximum number of shares of Common Stock that may be delivered pursuant to awards granted under the Restated Plan by 10,000,000 shares.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7"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8"/>
          <w:szCs w:val="18"/>
          <w:color w:val="auto"/>
        </w:rPr>
        <w:t>For Proposal No. 1,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nominees to the board of directors or you may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your vote for any nominee you specify. For Proposals No. 2, No. 3, and No. 4,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you may abstain from voting.</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at the virtual 2025 Annual Meeting or vote by internet, telephone or by mail. Whether or not you plan to attend the 2025 Annual Meeting online, please vote as soon as possible to ensure your vote is counted. You may still attend the 2025 Annual Meeting online and vote online even if you have already voted by proxy.</w:t>
      </w:r>
    </w:p>
    <w:p>
      <w:pPr>
        <w:spacing w:after="0" w:line="68" w:lineRule="exact"/>
        <w:rPr>
          <w:sz w:val="20"/>
          <w:szCs w:val="20"/>
          <w:color w:val="auto"/>
        </w:rPr>
      </w:pPr>
    </w:p>
    <w:p>
      <w:pPr>
        <w:ind w:left="1000" w:right="579" w:hanging="348"/>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Attending the 2025 Annual Meeting Online</w:t>
      </w:r>
      <w:r>
        <w:rPr>
          <w:rFonts w:ascii="Times New Roman" w:cs="Times New Roman" w:eastAsia="Times New Roman" w:hAnsi="Times New Roman"/>
          <w:sz w:val="18"/>
          <w:szCs w:val="18"/>
          <w:color w:val="auto"/>
        </w:rPr>
        <w:t>. You may vote online at the 2025 Annual Meeting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attending the 2025 Annual Meeting online via live audio-only webcast at </w:t>
      </w:r>
      <w:r>
        <w:rPr>
          <w:rFonts w:ascii="Times New Roman" w:cs="Times New Roman" w:eastAsia="Times New Roman" w:hAnsi="Times New Roman"/>
          <w:sz w:val="18"/>
          <w:szCs w:val="18"/>
          <w:i w:val="1"/>
          <w:iCs w:val="1"/>
          <w:color w:val="auto"/>
        </w:rPr>
        <w:t>www.virtualshareholdermeeting.com/ARDX2025.</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vote by proxy by internet or telephone</w:t>
      </w:r>
      <w:r>
        <w:rPr>
          <w:rFonts w:ascii="Times New Roman" w:cs="Times New Roman" w:eastAsia="Times New Roman" w:hAnsi="Times New Roman"/>
          <w:sz w:val="18"/>
          <w:szCs w:val="18"/>
          <w:color w:val="auto"/>
        </w:rPr>
        <w:t>. You may submit your proxy by following the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with your proxy materials and on your proxy card or voting instruction card.</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vote by proxy by mail</w:t>
      </w:r>
      <w:r>
        <w:rPr>
          <w:rFonts w:ascii="Times New Roman" w:cs="Times New Roman" w:eastAsia="Times New Roman" w:hAnsi="Times New Roman"/>
          <w:sz w:val="18"/>
          <w:szCs w:val="18"/>
          <w:color w:val="auto"/>
        </w:rPr>
        <w:t>. You may submit your proxy by mail by completing and signing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and mailing it in the enclosed envelope. Your shares will be voted as you have instructed.</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121" w:lineRule="exact"/>
        <w:rPr>
          <w:sz w:val="20"/>
          <w:szCs w:val="20"/>
          <w:color w:val="auto"/>
        </w:rPr>
      </w:pPr>
    </w:p>
    <w:p>
      <w:pPr>
        <w:ind w:left="300" w:right="619"/>
        <w:spacing w:after="0" w:line="289"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Alternatively, you may vote by internet or telephone as instructed by your broker or other agent. To vote online at the 2025 Annual Meeting, you must obtain a valid proxy from your broker or other agent. Follow the instructions from your broker or other agent included with these proxy materials, or contact your broker or bank to request a proxy form.</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the Company’s common stock you owned as of April 21, 2025.</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any voting selections,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nominee for director (Proposal No.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the Say-on-Pay proposal (Proposal No.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Ernst &amp; Young LLP as the independent registered public accounting firm of the Company for the fiscal year ending December 31, 2025 (Proposal No.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Equity Plan Amendment (Proposal No. 4). If any other matter is properly presented at the 2025 Annual Meeting, your proxyholder (one of the individuals named on your proxy card) will vote your shares using his or her best judgment.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Morrow Sodali, LLC, or Morrow, as the proxy solicitor for the 2025 Annual Meeting for an approximate fee of $25,000 plus fees for additional services, if needed. We have also agreed to reimburse Morrow for its reasonable out-of-pocket expenses.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In order to vote all the shares you own, you must return each proxy card.</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2025 Annual Meeting. If you are the stockholder of record of your shares, you may revoke your proxy in any one of three ways:</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bearing a date later than the date of the original proxy.</w:t>
      </w:r>
    </w:p>
    <w:p>
      <w:pPr>
        <w:spacing w:after="0" w:line="128" w:lineRule="exact"/>
        <w:rPr>
          <w:rFonts w:ascii="Times New Roman" w:cs="Times New Roman" w:eastAsia="Times New Roman" w:hAnsi="Times New Roman"/>
          <w:sz w:val="17"/>
          <w:szCs w:val="17"/>
          <w:color w:val="auto"/>
        </w:rPr>
      </w:pPr>
    </w:p>
    <w:p>
      <w:pPr>
        <w:ind w:left="1000" w:right="43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6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virtual 2025 Annual Meeting and vote online. Simply attending the 2025 Annual Meeting online will not, by itself, revoke your proxy.</w:t>
      </w:r>
    </w:p>
    <w:p>
      <w:pPr>
        <w:spacing w:after="0" w:line="54"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by your broker or other agent, you should follow the instructions provided by your broker or agent to change your vote.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in attendance at the virtual 2025 Annual Meeting. On the Record Date, there were 239,255,212 shares outstanding and entitled to vote. Accordingly, the holders of 119,627,607 shares must be present at the 2025 Annual Meeting to have a quorum. Your shares will be counted toward the quorum at the 2025 Annual Meeting only if you vote online at the meeting, or you submit a valid proxy vote.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2025 Annual Meeting to another date.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17"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color w:val="auto"/>
        </w:rPr>
        <w:t>With respect to the election of directors (Proposal No. 1),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authority to vote for each of the nominees for the board of directors. If you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68" w:lineRule="exact"/>
        <w:rPr>
          <w:sz w:val="20"/>
          <w:szCs w:val="20"/>
          <w:color w:val="auto"/>
        </w:rPr>
      </w:pPr>
    </w:p>
    <w:p>
      <w:pPr>
        <w:ind w:left="300" w:right="619"/>
        <w:spacing w:after="0" w:line="286" w:lineRule="auto"/>
        <w:rPr>
          <w:sz w:val="20"/>
          <w:szCs w:val="20"/>
          <w:color w:val="auto"/>
        </w:rPr>
      </w:pPr>
      <w:r>
        <w:rPr>
          <w:rFonts w:ascii="Times New Roman" w:cs="Times New Roman" w:eastAsia="Times New Roman" w:hAnsi="Times New Roman"/>
          <w:sz w:val="18"/>
          <w:szCs w:val="18"/>
          <w:color w:val="auto"/>
        </w:rPr>
        <w:t>With respect to the Say-on-Pay proposal (Proposal No. 2),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and broker non-votes will have no effect on the vote for this proposal.</w:t>
      </w:r>
    </w:p>
    <w:p>
      <w:pPr>
        <w:spacing w:after="0" w:line="5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Ernst &amp; Young LLP as of our independent registered public accounting firm for the year ending December 31, 2025 (Proposal No. 3),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and broker non-votes will have no effect on the vote for this proposal.</w:t>
      </w:r>
    </w:p>
    <w:p>
      <w:pPr>
        <w:spacing w:after="0" w:line="64"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color w:val="auto"/>
        </w:rPr>
        <w:t>With respect to the approval of the Equity Plan Amendment (Proposal No. 4),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and broker non-votes will have no effect on the vote for this proposal.</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Votes will be counted by the Inspector of Elections appointed for the 2025 Annual Meeting. The Inspector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Elections will separately count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for the election of directors (Proposal No.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if any, broker non-votes for the approval, on a non-binding, advisory basis,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Say-on-Pay (Proposal No.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if any, broker non-votes for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ratification of the selection of Ernst &amp; Young LLP as the independent registered accounting firm of the Company for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fiscal year ending December 31, 2025 (Proposal No.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if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broker non-votes for the Equity Plan Amendment (Proposal No. 4).</w:t>
      </w:r>
    </w:p>
    <w:p>
      <w:pPr>
        <w:spacing w:after="0" w:line="9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Proposal No. 2 to approve the Say-on-Pay and Proposal No. 4 to approve the Equity Plan Amendment are “non-routine” matters, but Proposal No. 3 to ratify the selection of Ernst &amp; Young LLP as the independent registered public accounting firm for the Company for the fiscal year ending December 31, 2025 is a “routine” matter.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000" w:right="419" w:hanging="348"/>
        <w:spacing w:after="0" w:line="25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two Class II directors to hold office until the 2028 Annual Meeting of Stockholders and until their successors are elected and qualified. Directors shall be elected by a plurality of the votes cast, which means that the two nominees receiving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votes of shares present in attendance or represented by proxy and entitled to vote on the election of directors) will be elected.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votes and broker non-votes will not be counted towards the vote total for this proposal.</w:t>
      </w:r>
    </w:p>
    <w:p>
      <w:pPr>
        <w:spacing w:after="0" w:line="79"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on a non-binding, advisory basis, the Say-on-Pay proposal. The Say-on-Pay proposal requires the affirmative vote of the majority of the votes cast (excluding abstentions and broker non-votes), which means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must exceed the number of shares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Abstentions and broker non-votes are not considered votes cast for the foregoing purpose, and will have no effect on the vote for this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proposal. Because the vote on Proposal No. 2 is advisory, it will not be binding on the board of directors, the compensation committee of the board of directors or the Company. With respect to Proposal No. 2, the board of directors will review the voting results and take them into consideration when making future decisions about executive compensation.</w:t>
      </w:r>
    </w:p>
    <w:p>
      <w:pPr>
        <w:spacing w:after="0" w:line="72" w:lineRule="exact"/>
        <w:rPr>
          <w:sz w:val="20"/>
          <w:szCs w:val="20"/>
          <w:color w:val="auto"/>
        </w:rPr>
      </w:pPr>
    </w:p>
    <w:p>
      <w:pPr>
        <w:ind w:left="1000" w:right="359" w:hanging="348"/>
        <w:spacing w:after="0" w:line="254"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ratify the selection of Ernst &amp; Young LLP as the independent registered public accounting firm of the Company for the fiscal year ending December 31, 2025. The ratification of Ernst &amp; Young LLP as our independent registered public accounting firm for the year ending December 31, 2025 requires the affirmative vote of the majority of the votes cast (excluding abstentions and broker non-votes), which means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must exceed the number of shares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Abstentions and broker non-votes are not considered votes cast for the foregoing purpose, and will have no effect on the vote for this proposal. Because Proposal No. 3 is considered a “routine” matter, no broker non-votes are expected in connection with this proposal.</w:t>
      </w:r>
    </w:p>
    <w:p>
      <w:pPr>
        <w:spacing w:after="0" w:line="83" w:lineRule="exact"/>
        <w:rPr>
          <w:rFonts w:ascii="Times New Roman" w:cs="Times New Roman" w:eastAsia="Times New Roman" w:hAnsi="Times New Roman"/>
          <w:sz w:val="18"/>
          <w:szCs w:val="18"/>
          <w:color w:val="auto"/>
        </w:rPr>
      </w:pPr>
    </w:p>
    <w:p>
      <w:pPr>
        <w:ind w:left="1000" w:right="319" w:hanging="348"/>
        <w:spacing w:after="0" w:line="277"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4 – To approve the Equity Plan Amendment to increase the numbers of shares reserved under the Restated Plan. This proposal requires the affirmative vote of the majority of the votes cast (excluding abstentions and broker non-votes), which means the number of shares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proposal must exceed the number of shares voted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such proposal. Abstentions and broker non-votes are not considered votes cast for the foregoing purpose, and will have no effect on the vote for this proposal.</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121"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 xml:space="preserve">This year’s Annual Meeting will be held entirely online. Stockholders of record as of April 21, 2025 will be able to attend and participate in the 2025 Annual Meeting online via live audio-only webcast at </w:t>
      </w:r>
      <w:r>
        <w:rPr>
          <w:rFonts w:ascii="Times New Roman" w:cs="Times New Roman" w:eastAsia="Times New Roman" w:hAnsi="Times New Roman"/>
          <w:sz w:val="17"/>
          <w:szCs w:val="17"/>
          <w:i w:val="1"/>
          <w:iCs w:val="1"/>
          <w:color w:val="auto"/>
        </w:rPr>
        <w:t>www.virtualshareholdermeeting.com/ARDX2025</w:t>
      </w:r>
      <w:r>
        <w:rPr>
          <w:rFonts w:ascii="Times New Roman" w:cs="Times New Roman" w:eastAsia="Times New Roman" w:hAnsi="Times New Roman"/>
          <w:sz w:val="17"/>
          <w:szCs w:val="17"/>
          <w:color w:val="auto"/>
        </w:rPr>
        <w:t>. You will be able to vote your shares electronically by Internet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w:t>
      </w:r>
    </w:p>
    <w:p>
      <w:pPr>
        <w:spacing w:after="0" w:line="65"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Even if you plan to attend the 2025 Annual Meeting online, we recommend that you also vote by proxy as described herein so that your vote will be counted if you decide not to attend the 2025 Annual Meeting.</w:t>
      </w:r>
    </w:p>
    <w:p>
      <w:pPr>
        <w:spacing w:after="0" w:line="50" w:lineRule="exact"/>
        <w:rPr>
          <w:sz w:val="20"/>
          <w:szCs w:val="20"/>
          <w:color w:val="auto"/>
        </w:rPr>
      </w:pPr>
    </w:p>
    <w:p>
      <w:pPr>
        <w:ind w:left="300" w:right="3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Access to the Audio Webcast of the 2025 Annual Meeting. </w:t>
      </w:r>
      <w:r>
        <w:rPr>
          <w:rFonts w:ascii="Times New Roman" w:cs="Times New Roman" w:eastAsia="Times New Roman" w:hAnsi="Times New Roman"/>
          <w:sz w:val="17"/>
          <w:szCs w:val="17"/>
          <w:color w:val="auto"/>
        </w:rPr>
        <w:t>The live audio webcast of the 2025 Annual Meeting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 promptly at 8:30 a.m. Eastern Time. Online check-in will begin at 8:15 a.m. Eastern Time and should allow ample time for the check-in procedures. We encourage our stockholders to access the meeting prior to the start time.</w:t>
      </w:r>
    </w:p>
    <w:p>
      <w:pPr>
        <w:spacing w:after="0" w:line="45" w:lineRule="exact"/>
        <w:rPr>
          <w:sz w:val="20"/>
          <w:szCs w:val="20"/>
          <w:color w:val="auto"/>
        </w:rPr>
      </w:pPr>
    </w:p>
    <w:p>
      <w:pPr>
        <w:ind w:left="300" w:right="6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 in Instructions. </w:t>
      </w:r>
      <w:r>
        <w:rPr>
          <w:rFonts w:ascii="Times New Roman" w:cs="Times New Roman" w:eastAsia="Times New Roman" w:hAnsi="Times New Roman"/>
          <w:sz w:val="18"/>
          <w:szCs w:val="18"/>
          <w:color w:val="auto"/>
        </w:rPr>
        <w:t>To attend the online 2025 Annual Meeting, you will need to login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www.virtualshareholdermeeting.com/ARDX2025</w:t>
      </w:r>
      <w:r>
        <w:rPr>
          <w:rFonts w:ascii="Times New Roman" w:cs="Times New Roman" w:eastAsia="Times New Roman" w:hAnsi="Times New Roman"/>
          <w:sz w:val="18"/>
          <w:szCs w:val="18"/>
          <w:color w:val="auto"/>
        </w:rPr>
        <w:t>. To attend the 2025 Annual Meeting, you will need the 16-digit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included on your proxy card or on the instructions that accompanied your proxy materials.</w:t>
      </w:r>
    </w:p>
    <w:p>
      <w:pPr>
        <w:spacing w:after="0" w:line="63" w:lineRule="exact"/>
        <w:rPr>
          <w:sz w:val="20"/>
          <w:szCs w:val="20"/>
          <w:color w:val="auto"/>
        </w:rPr>
      </w:pPr>
    </w:p>
    <w:p>
      <w:pPr>
        <w:ind w:left="30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You may vote online during the 2025 Annual Meeting. </w:t>
      </w:r>
      <w:r>
        <w:rPr>
          <w:rFonts w:ascii="Times New Roman" w:cs="Times New Roman" w:eastAsia="Times New Roman" w:hAnsi="Times New Roman"/>
          <w:sz w:val="18"/>
          <w:szCs w:val="18"/>
          <w:color w:val="auto"/>
        </w:rPr>
        <w:t>To do so, go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www.virtualshareholder.com/ARDX2025 </w:t>
      </w:r>
      <w:r>
        <w:rPr>
          <w:rFonts w:ascii="Times New Roman" w:cs="Times New Roman" w:eastAsia="Times New Roman" w:hAnsi="Times New Roman"/>
          <w:sz w:val="18"/>
          <w:szCs w:val="18"/>
          <w:color w:val="auto"/>
        </w:rPr>
        <w:t>and have available the 16-digit control number included on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on the instructions that accompanied your proxy materials.</w:t>
      </w:r>
    </w:p>
    <w:p>
      <w:pPr>
        <w:spacing w:after="0" w:line="63"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Submitting Questions During the Virtual 2025 Annual Meeting. </w:t>
      </w:r>
      <w:r>
        <w:rPr>
          <w:rFonts w:ascii="Times New Roman" w:cs="Times New Roman" w:eastAsia="Times New Roman" w:hAnsi="Times New Roman"/>
          <w:sz w:val="18"/>
          <w:szCs w:val="18"/>
          <w:color w:val="auto"/>
        </w:rPr>
        <w:t>During the 2025 Annual Meeting, you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able to submit questions in the question box provided at </w:t>
      </w:r>
      <w:r>
        <w:rPr>
          <w:rFonts w:ascii="Times New Roman" w:cs="Times New Roman" w:eastAsia="Times New Roman" w:hAnsi="Times New Roman"/>
          <w:sz w:val="18"/>
          <w:szCs w:val="18"/>
          <w:i w:val="1"/>
          <w:iCs w:val="1"/>
          <w:color w:val="auto"/>
        </w:rPr>
        <w:t>www.virtualshareholdermeeting.com/ARDX2025</w:t>
      </w:r>
      <w:r>
        <w:rPr>
          <w:rFonts w:ascii="Times New Roman" w:cs="Times New Roman" w:eastAsia="Times New Roman" w:hAnsi="Times New Roman"/>
          <w:sz w:val="18"/>
          <w:szCs w:val="18"/>
          <w:color w:val="auto"/>
        </w:rPr>
        <w:t>. We will respond to as many inquiries at the 2025 Annual Meeting as time allows.</w:t>
      </w:r>
    </w:p>
    <w:p>
      <w:pPr>
        <w:spacing w:after="0" w:line="63" w:lineRule="exact"/>
        <w:rPr>
          <w:sz w:val="20"/>
          <w:szCs w:val="20"/>
          <w:color w:val="auto"/>
        </w:rPr>
      </w:pPr>
    </w:p>
    <w:p>
      <w:pPr>
        <w:ind w:left="300" w:right="3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Assistance. </w:t>
      </w:r>
      <w:r>
        <w:rPr>
          <w:rFonts w:ascii="Times New Roman" w:cs="Times New Roman" w:eastAsia="Times New Roman" w:hAnsi="Times New Roman"/>
          <w:sz w:val="18"/>
          <w:szCs w:val="18"/>
          <w:color w:val="auto"/>
        </w:rPr>
        <w:t>Beginning 15 minutes prior to the start of and during the virtual 2025 Annual Meeting,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have a support team ready to assist stockholders with any technical difficulties they may have accessing or hearing the virtual meeting. If you encounter difficulties accessing the virtual 2025 Annual Meeting during check-in or meeting time, please call the technical support number that will be posted on the 2025 Annual Meeting website log-in page.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2025 Annual Meeting?</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will disclose final voting results in a Current Report on Form 8-K filed with the Securities and Exchange Commission within four business days after the 2025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the proxy materials for the 2026 Annual Meeting of Stockholders, your proposal must be submitted in writing by January 1, 2026, to the Company’s Corporate Secretary at Ardelyx, Inc., 400 Fifth Avenue, Suite 210, Waltham, Massachusetts 02451. However, if the meeting is more than 30 days before or after June 18, 2026, then the deadline will be a reasonable time before we begin to print and mail our proxy materials for that meeting.</w:t>
      </w:r>
    </w:p>
    <w:p>
      <w:pPr>
        <w:spacing w:after="0" w:line="75"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If you wish to submit a proposal before the stockholders or nominate a director at the 2026 Annual Meeting of Stockholders, but you are not requesting that your proposal or nomination be included in the proxy materials for that meeting, then you must follow the procedures set forth in our Amended and Restated Bylaws and, among other things, notify the Company’s Corporate Secretary in writing between February 18, 2026 and March 20, 2026. However, if the date of the 2026 annual meeting of stockholders is more than 30 days before or more than 60 days after June 18, 2026, notice must be received not later than the 90th day prior to the date of the 2026 annual meeting of stockholders or, if later, the 10th day following the day on which public disclosure of the date of the 2026 annual meeting of stockholders is first made. You are also advised to review our Amended and Restated Bylaws, which contain additional requirements regarding advance notice of stockholder proposals and director nominations. 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Securities Exchange Act of 1934, as amended, no later than no later than 60 days prior to the anniversary of the previous year’s annual meeting (no later than April 19, 2026 for the 2026 annual meeting of stockholders). If the date of the 2026 annual meeting of stockholders is changed by more than 30 days from the anniversary of the 2025 Annual Meeting, then notice must be provided by the later of 60 days prior to the date of the 2026 annual meeting of stockholders or the 10th calendar day following the day on which public announcement of the date of the 2026 annual meeting of stockholders is first made.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currently consists of eight directors divided into the following three classes:</w:t>
      </w:r>
    </w:p>
    <w:p>
      <w:pPr>
        <w:spacing w:after="0" w:line="117" w:lineRule="exact"/>
        <w:rPr>
          <w:sz w:val="20"/>
          <w:szCs w:val="20"/>
          <w:color w:val="auto"/>
        </w:rPr>
      </w:pPr>
    </w:p>
    <w:p>
      <w:pPr>
        <w:ind w:left="1000" w:right="5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David Mott and Michael Raab, and their terms will expire at the 2025 Annual Meeting of Stockholders;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Robert Bazemore, Muna Bhanji, R.Ph, and Richard Rodgers, and their terms will expire at the 2026 Annual Meeting of Stockholders;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William A. Bertrand, Jr., Esq., Onaiza Cadoret-Manier and</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Merdad Parsey, M.D., Ph.D., and their terms will expire at the 2027 Annual Meeting of Stockholders.</w:t>
      </w:r>
    </w:p>
    <w:p>
      <w:pPr>
        <w:spacing w:after="0" w:line="99" w:lineRule="exact"/>
        <w:rPr>
          <w:sz w:val="20"/>
          <w:szCs w:val="20"/>
          <w:color w:val="auto"/>
        </w:rPr>
      </w:pPr>
    </w:p>
    <w:p>
      <w:pPr>
        <w:ind w:left="300" w:right="939"/>
        <w:spacing w:after="0" w:line="282" w:lineRule="auto"/>
        <w:rPr>
          <w:sz w:val="20"/>
          <w:szCs w:val="20"/>
          <w:color w:val="auto"/>
        </w:rPr>
      </w:pPr>
      <w:r>
        <w:rPr>
          <w:rFonts w:ascii="Times New Roman" w:cs="Times New Roman" w:eastAsia="Times New Roman" w:hAnsi="Times New Roman"/>
          <w:sz w:val="18"/>
          <w:szCs w:val="18"/>
          <w:color w:val="auto"/>
        </w:rPr>
        <w:t>Our current Class II directors, David Mott and Michael Raab, have each been nominated to serve as Class II directors and have agreed to stand for election.</w:t>
      </w:r>
    </w:p>
    <w:p>
      <w:pPr>
        <w:spacing w:after="0" w:line="54"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If the nominees for Class II are elected at the 2025 Annual Meeting, then each nominee will serve for a three-year term expiring at the 2028 Annual Meeting of Stockholders, and until his successor is elected and qualified, or until his earlier death, resignation or removal. 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two nominees for Class 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80"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and discussion of the specific attributes, qualifications, experience and skills of each nominee for director and each director whose term will continue after the 2025 Annual Meeting, including information with respect to their ages as of March 31, 2025. Our board of directors and management encourage each nominee for director and each continuing director to attend the 2025 Annual Meeting.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TWO CLASS II NOMINEES FOR DIRECTOR.</w:t>
      </w:r>
    </w:p>
    <w:p>
      <w:pPr>
        <w:spacing w:after="0" w:line="95" w:lineRule="exact"/>
        <w:rPr>
          <w:sz w:val="20"/>
          <w:szCs w:val="20"/>
          <w:color w:val="auto"/>
        </w:rPr>
      </w:pPr>
    </w:p>
    <w:p>
      <w:pPr>
        <w:ind w:left="300" w:right="7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II NOMINEES FOR DIRECTOR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be elected for a three-year term expiring at the 2028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Meeting of Stockholders</w:t>
      </w:r>
    </w:p>
    <w:p>
      <w:pPr>
        <w:spacing w:after="0" w:line="4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David Mott</w:t>
      </w:r>
      <w:r>
        <w:rPr>
          <w:rFonts w:ascii="Times New Roman" w:cs="Times New Roman" w:eastAsia="Times New Roman" w:hAnsi="Times New Roman"/>
          <w:sz w:val="18"/>
          <w:szCs w:val="18"/>
          <w:color w:val="auto"/>
        </w:rPr>
        <w:t>, age 59, has served on our board of directors since March 2009 and as the chairperson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 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chairperson of the board of directors for Adaptimmune (Nasdaq: ADAP), and Mersana Therapeutics, Inc. (Nasdaq: MRSN), and serves on the board of directors of Novavax, Inc. (Nasdaq: NVAX). Additionally, he served as the chairperson of the board of directors of Imara Inc. from April 2016 to its acquisition by Enliven Therapeutics, Inc (Nasdaq: ELVN) in February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as the chairperson of the board of directors of Epizyme, Inc. (Nasdaq: EPZM) from December 2009 to its</w:t>
      </w:r>
    </w:p>
    <w:p>
      <w:pPr>
        <w:spacing w:after="0" w:line="2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acquisition by Ipsen (Euronext: IPN; ADR: IPSEY) in August 2022. Mr. Mott also served as the chairperson of the board of directors of Tesaro, Inc. (Nasdaq: TSRO) and as a director of Nightstar Therapeutics plc (Nasdaq: IMRA).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b w:val="1"/>
          <w:bCs w:val="1"/>
          <w:color w:val="auto"/>
        </w:rPr>
        <w:t>Michael Raab</w:t>
      </w:r>
      <w:r>
        <w:rPr>
          <w:rFonts w:ascii="Times New Roman" w:cs="Times New Roman" w:eastAsia="Times New Roman" w:hAnsi="Times New Roman"/>
          <w:sz w:val="18"/>
          <w:szCs w:val="18"/>
          <w:color w:val="auto"/>
        </w:rPr>
        <w:t>, age 60, has served as our President and Chief Executive Officer since March 2009 and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2008. From 2002 to 2009, Mr. Raab was a partner at NEA, an investment firm focused on venture capital and growth equity investments,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chairperson of the board of directors of Tempest Therapeutics (Nasdaq CM: TPST). Mr. Raab also currently serves as a member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continue in office until the 2026 Annual Meeting of Stockholders</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color w:val="auto"/>
        </w:rPr>
        <w:t>Robert Bazemore</w:t>
      </w:r>
      <w:r>
        <w:rPr>
          <w:rFonts w:ascii="Times New Roman" w:cs="Times New Roman" w:eastAsia="Times New Roman" w:hAnsi="Times New Roman"/>
          <w:sz w:val="18"/>
          <w:szCs w:val="18"/>
          <w:color w:val="auto"/>
        </w:rPr>
        <w:t>, age 57, has served on our board of directors since June 2016. Mr. Bazemore served as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and a director of Epizyme, Inc., a biopharmaceutical company, from September 2015 until the company was acquired by Ipsen S.A. (Euronext: IPN; ADR: IPSEY) in August 2022. Prior to joining Epizyme, Mr. Bazemore served as Chief Operating Officer of Synageva BioPharma Corp., a biopharmaceutical company, which was acquired by Alexion Pharmaceuticals, a pharmaceutical company and subsidiary of AstraZeneca, for $8.4 billion in July 2015. Prior to that, Mr. Bazemore was President of Janssen Biotech, part of the Janssen Pharmaceutical Companies of Johnson &amp; Johnson (NYSE: JNJ). Mr. Bazemore currently serves on the board of directors of Nuvation Bio, Inc. (NYSE: NUVB) and Akari Therapeutics, PLC (Nasdaq: AKTX). Additionally, he served on the board of directors of Neon Therapeutics, Inc. from November 2018 to its acquisition by Biopharmaceuticals New Technologies, or BioNTech (Nasdaq: BNTX), in May 2020.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spacing w:after="0" w:line="79"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b w:val="1"/>
          <w:bCs w:val="1"/>
          <w:color w:val="auto"/>
        </w:rPr>
        <w:t>Muna Bhanji, R.Ph</w:t>
      </w:r>
      <w:r>
        <w:rPr>
          <w:rFonts w:ascii="Times New Roman" w:cs="Times New Roman" w:eastAsia="Times New Roman" w:hAnsi="Times New Roman"/>
          <w:sz w:val="18"/>
          <w:szCs w:val="18"/>
          <w:color w:val="auto"/>
        </w:rPr>
        <w:t>, age 62, has served on our board of directors since March 2021. Ms. Bhanji has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founder and principal of Tiba Global Access, LLC, an independent senior advisory practice focused on commercialization and market access strategy development,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Intellia Therapeutics (Nasdaq: NTLA), and Corus International, an international humanitarian organization committed to poverty alleviation. Ms. Bhanji also serves as a Member of the Strategic Advisory Board of Lumanity.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spacing w:after="0" w:line="82" w:lineRule="exact"/>
        <w:rPr>
          <w:sz w:val="20"/>
          <w:szCs w:val="20"/>
          <w:color w:val="auto"/>
        </w:rPr>
      </w:pPr>
    </w:p>
    <w:p>
      <w:pPr>
        <w:ind w:left="300" w:right="499"/>
        <w:spacing w:after="0" w:line="259" w:lineRule="auto"/>
        <w:rPr>
          <w:sz w:val="20"/>
          <w:szCs w:val="20"/>
          <w:color w:val="auto"/>
        </w:rPr>
      </w:pPr>
      <w:r>
        <w:rPr>
          <w:rFonts w:ascii="Times New Roman" w:cs="Times New Roman" w:eastAsia="Times New Roman" w:hAnsi="Times New Roman"/>
          <w:sz w:val="18"/>
          <w:szCs w:val="18"/>
          <w:b w:val="1"/>
          <w:bCs w:val="1"/>
          <w:color w:val="auto"/>
        </w:rPr>
        <w:t>Richard Rodgers</w:t>
      </w:r>
      <w:r>
        <w:rPr>
          <w:rFonts w:ascii="Times New Roman" w:cs="Times New Roman" w:eastAsia="Times New Roman" w:hAnsi="Times New Roman"/>
          <w:sz w:val="18"/>
          <w:szCs w:val="18"/>
          <w:color w:val="auto"/>
        </w:rPr>
        <w:t>, age 58, has served on our board of directors since March 2014. From March 2010 until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Mr. Rodgers was co-founder, Executive Vice President, Chief Financial Officer, Secretary and Treasurer of Tesaro, Inc., a biopharmaceutical company, which was acquired by GlaxoSmithKline plc (LSE/NYSE: GSK) in January 2019. Mr. Rodgers previously served as the Chief Financial Officer of Abraxis BioScience, Inc., a biotechnology company, from June 2009 to February 2010. Prior to that, Mr. Rodgers served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as Senior Vice President, Controller and Chief Accounting Officer of MGI PHARMA, Inc., a biopharmaceutical company, from 2004 until its acquisition by Eisai Co. Ltd. (OTC: ESALF), a pharmaceutical company, in January 2008. Mr. Rodgers has held finance and accounting positions at several private and public companies, including Arthur Anderson &amp; Co. Mr. Rodgers currently serves as a director of Novavax, Inc. (Nasdaq: NVAX), and Opus Genetics, Inc. (Nasdaq: IRD).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continue in office until the 2027 Annual Meeting of Stockholders</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color w:val="auto"/>
        </w:rPr>
        <w:t>William Bertrand, Jr., Esq.</w:t>
      </w:r>
      <w:r>
        <w:rPr>
          <w:rFonts w:ascii="Times New Roman" w:cs="Times New Roman" w:eastAsia="Times New Roman" w:hAnsi="Times New Roman"/>
          <w:sz w:val="18"/>
          <w:szCs w:val="18"/>
          <w:color w:val="auto"/>
        </w:rPr>
        <w:t>, age 60, has served on our board of directors since October 2015. Mr. Bertrand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completed a 12-year career at Medimmune Limited, a biotechnology company and subsidiary of AstraZeneca Plc (NYSE: 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8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Onaiza Cadoret-Manier</w:t>
      </w:r>
      <w:r>
        <w:rPr>
          <w:rFonts w:ascii="Times New Roman" w:cs="Times New Roman" w:eastAsia="Times New Roman" w:hAnsi="Times New Roman"/>
          <w:sz w:val="18"/>
          <w:szCs w:val="18"/>
          <w:color w:val="auto"/>
        </w:rPr>
        <w:t>, age 61, has served on our board of directors since March 2020. Ms. Cadoret-Manier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Executive Officer, President and Board Member of Yemaya Bio, a biotechnology company, since March 2024. From March 2022 to March 2024, Ms. Cadoret-Manier served as Chief Global Product Strategy and Operations Officer at Ionis Pharmaceuticals (Nasdaq: IONS), and from January 2020 to March 2022, Ms. Cadoret-Manier served as Chief Corporate Development and Commercial Officer at Ionis Pharmaceuticals. Prior to that, Ms. Cadoret-Manier was the Chief Commercial Officer for Grail Biosciences, an early detection genomics company, from June 2018 until June 2019. Prior to Grail, from April 2011 until June 2018, she was Vice President of the Respiratory Franchise at Genentech, a biopharmaceutical company. Ms. Cadoret-Manier also has held multiple senior management positions overseeing corporate strategy, alliances, and marketing and sales for numerous disease areas for Genentech, Pfizer and Amylin Pharmaceuticals. Ms. Cadoret-Manier serves on the board of directors of Ventyx Biosciences (Nasdaq: VTYX). She has an M.B.A. from the University of Chicago and a bachelor’s degree in economics and accounting from City University of New York Queens College. We believe that Ms. Cadoret-Manier is qualified to serve on our board of directors due to her extensive commercial and strategic operational experience with life sciences companies.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Merdad Parsey, M.D., Ph.D.</w:t>
      </w:r>
      <w:r>
        <w:rPr>
          <w:rFonts w:ascii="Times New Roman" w:cs="Times New Roman" w:eastAsia="Times New Roman" w:hAnsi="Times New Roman"/>
          <w:sz w:val="18"/>
          <w:szCs w:val="18"/>
          <w:color w:val="auto"/>
        </w:rPr>
        <w:t>, age 62, has served as a member of our board of directors since April 2025.</w:t>
      </w:r>
    </w:p>
    <w:p>
      <w:pPr>
        <w:spacing w:after="0" w:line="31"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Dr. Parsey served as the Chief Medical Officer of Gilead Sciences, Inc. (Nasdaq: GILD) from November 2019 until April 2025. From October 2015 to November 2019, Dr. Parsey served as senior vice president of early clinical development at Genentech, Inc. Prior to Genentech, Dr. Parsey served as President and Chief Executive Officer of 3-V Biosciences Inc. (now Sagimet BioSciences Inc. (Nasdaq: SGMT)), held development roles at Sepracor, Regeneron, and Merck, and was Assistant Professor of Medicine and Director of Critical Care Medicine at the New York University School of Medicine. He currently serves on the board of directors for Sagimet BioSciences Inc. and Arrivent Biopharma (Nasdaq: AVBP). Additionally, Dr. Parsey previously served on the boards of Arcus Biosciences, Inc. (NYSE: RCUS) and the Gilead Foundation. Dr. Parsey received his B.S. in microbiology and biochemistry from the University of Maryland, his M.D. and Ph.D. in immunology from the University of Maryland at Baltimore. He completed his internal medicine residency at Stanford University and his pulmonary and critical care fellowship at the University of Colorado. We believe Dr. Parsey is well-suited to serve on our board of directors due to his years of experience in clinical drug development and his extensive scientific and medical experience.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AND CORPORATE GOVERNANCE MATTERS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Our board of directors has determined that all of our directors, other than Mr. Raab, qualify as “independent” directors in accordance with the Nasdaq listing requirements. Mr. Raab is not considered independent because he is an employee of our company. The Nasdaq independence definition includes a series of objective tests, such as that the director is not, and has not been for at least three years, one of our employees, and that neither the director nor any of their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8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As described more fully below, the board of directors has also determined that each current member of the compensation committee, the audit and compliance committee and the nominating and corporate governance committee meets the independence standards applicable to those committees prescribed by Nasdaq, the SEC and the Internal Revenue Service.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Our amended and restated bylaws and corporate governance guidelines provide our board of directors with flexibility to combine or separate the positions of chairperson of the board of directors and chief executive officer and/or the implementation of a lead independent director in accordance with its determination that utilizing one or the other structure would be in the best interests of our company. Mr. Mott currently serves as the chairperson of the board of directors. In that role, Mr. Mott presides over the executive sessions of the board of directors in which Mr. Raab does not participate and serves as a liaison to Mr. Raab and management on behalf of the board of directors.</w:t>
      </w:r>
    </w:p>
    <w:p>
      <w:pPr>
        <w:spacing w:after="0" w:line="65"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Risk Oversight</w:t>
      </w:r>
    </w:p>
    <w:p>
      <w:pPr>
        <w:spacing w:after="0" w:line="121"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63"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Our board of directors does not have a standing risk management committee, but rather administers this oversight function directly through our board of directors as a whole, as well as through various standing committees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of directors that address risks inherent in their respective areas of oversight. In particular, our board of directors is responsible for monitoring and assessing strategic risk exposure and our audit and compliance committee is responsible for overseeing our major financial risk exposures and the steps our management has taken to monitor and control these exposures. The audit and compliance committee also monitors compliance with legal and regulatory requirements and considers and approves or disapproves any related-persons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Our board of directors also considers cybersecurity risk as part of its risk oversight function and has delegated to the audit and compliance committee oversight of cybersecurity and other information technology risks, including oversight of management’s implementation of our cybersecurity risk management program, maintaining a strategic role in coordinating cyber risk initiatives and policies, and confirming their efficacy.</w:t>
      </w:r>
    </w:p>
    <w:p>
      <w:pPr>
        <w:spacing w:after="0" w:line="72"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The audit and compliance committee receives annual reports from management on our cybersecurity posture. In addition, management updates the audit and compliance committee where it deems appropriate regarding any cybersecurity incidents it considers to be significant or potentially significant.</w:t>
      </w:r>
    </w:p>
    <w:p>
      <w:pPr>
        <w:spacing w:after="0" w:line="68" w:lineRule="exact"/>
        <w:rPr>
          <w:sz w:val="20"/>
          <w:szCs w:val="20"/>
          <w:color w:val="auto"/>
        </w:rPr>
      </w:pPr>
    </w:p>
    <w:p>
      <w:pPr>
        <w:ind w:left="300" w:right="579"/>
        <w:spacing w:after="0" w:line="258" w:lineRule="auto"/>
        <w:rPr>
          <w:sz w:val="20"/>
          <w:szCs w:val="20"/>
          <w:color w:val="auto"/>
        </w:rPr>
      </w:pPr>
      <w:r>
        <w:rPr>
          <w:rFonts w:ascii="Times New Roman" w:cs="Times New Roman" w:eastAsia="Times New Roman" w:hAnsi="Times New Roman"/>
          <w:sz w:val="18"/>
          <w:szCs w:val="18"/>
          <w:color w:val="auto"/>
        </w:rPr>
        <w:t>The audit and compliance committee and our management team take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During 2024, the board of directors met nine times, the audit and compliance committee met four times, the compensation committee met three times and the nominating and corporate governance committee met two times. In that year, each director attended at least 75% of the aggregate number of meetings of the board of directors and the committees on which they served. As required under Nasdaq rules and regulations, our independent directors meet in regularly scheduled executive sessions at which only independent directors are present.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and Compliance Committee</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and compliance committee oversees our corporate accounting and financial reporting process, the audits of our financial statements, cybersecurity risk and our compliance with legal and regulatory requirements. Among other matters, the audit and compliance committee:</w:t>
      </w:r>
    </w:p>
    <w:p>
      <w:pPr>
        <w:spacing w:after="0" w:line="68"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regarding the effectiveness of internal controls over financial reporting;</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audit and non-audit services;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as required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7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being knowledgeable about the content and operation of our global compliance program and exercising oversight over its implementation and effectiveness;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 strategic role in coordinating cyber risk initiatives and policies, and confirming their efficacy;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and compliance committee charter and the committee’s performance.</w:t>
      </w:r>
    </w:p>
    <w:p>
      <w:pPr>
        <w:spacing w:after="0" w:line="117"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In 2024, Messrs. Rodgers, Bertrand and Mott served as members of the audit and compliance committee, and they comprise the current members of our audit and compliance committee. Mr. Rodgers serves as the chairperson of the committee. Each of the members of the committee during 2024 met, and each of the current members of our audit and compliance committee meets,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and compliance committee during 2024 was, and each of the current members of our audit and compliance committee is an “independent director” under the heightened independence standards under the applicable rules of Nasdaq. Our audit and compliance committee has been established in accordance with the rules and regulations of the Securities Exchange Act of 1934, as amended. The audit and compliance committee operates under a written charter that satisfies the applicable standards of the SEC and Nasdaq. A copy of the audit and compliance committee charter is available to security holders on the Company’s website at http://ir.ardelyx.com/corporate-governance.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compensation committee reviews and recommends policies relating to compensation and benefits of our officers, employees and directors.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compensation committee also periodically reviews the compensation of directors and makes recommendations to the board of directors. The board of directors retains the authority to determine and approve, upon the recommendation of the compensation committee, the compensation of the chief executive officer and our board of directors. Our executive officers submit proposals to the board of directors and compensation committee regarding our executive and director compensation. The compensation committee’s charter permits it to delegate its authority and responsibilities to a subcommittee of compensation committee members, to the extent consistent with our amended and restated certificate of incorporation and Amended and Restated Bylaws.</w:t>
      </w:r>
    </w:p>
    <w:p>
      <w:pPr>
        <w:spacing w:after="0" w:line="8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Restated Plan to existing and new non-senior management team employees, with such individual grants to be consistent with equity grant guidelines provided by our compensation consultant and approved by the compensation committee. The compensation committee reviews and evaluates, at least annually, the performance of the compensation committee and its members, including compliance of the compensation committee with its charter.</w:t>
      </w:r>
    </w:p>
    <w:p>
      <w:pPr>
        <w:spacing w:after="0" w:line="8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In 2024, Messrs. Mott, Bazemore, and Rodgers and Ms. Bhanji served as members of the compensation committee. Messrs. Mott, Bazemore, and Rodgers, and Ms. Bhanji comprise the current members of our compensation committee. Mr. Mott serves as the chairperson of the committee. Each of the members of our compensation committee during 2024 was, and each of the current members of our compensation committee is an “independent director” under the applicable rules and regulations of The Nasdaq Global Market, a “non-employee director” as defined in Rule 16b-3 promulgated under the Securities Exchange Act of 1934, as amended, and an “outside director” as that term is defined in Section 162(m) of the U.S. Internal Revenue Code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of 1986, as amended.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For fiscal year 2024,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director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7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2024, Dr. Lundberg, Ms. Cadoret-Manier, and Mr. Bertrand served as members of the nominating and corporate governance committee. Ms. Cadoret-Manier, Mr. Bertrand and Dr. Parsey will comprise the members of our nominating and corporate governance committee during 2025, with Dr. Parsey’s appointment to the committee effective June 18, 2025. Mr. Bertrand serves as the chairperson of the committee. In June 2024, Dr. Lundberg did not stand for reelection and resigned from the board of directors and all committees of the board upon the expiration of his term. Each of the members of our nominating and corporate governance committee during 2024 was, and each of the current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Governance Policies and Principles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121"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To enable us to act in the best interest of our stockholders, our board of directors has adopted a related party transaction policy setting forth the policies and procedures for the review and approval or ratification of related person transactions.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related party transaction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either entered into since January 1, 2024 or entered into prior to January 1, 2024 which have continuing obligations and to which we have been a party, in which the amount involved exceeds or will exceed $120,000, and in which any of our directors, executive officers or holders of more than 5% of our capital stock, or an affiliate or immediate family member thereof, had or will have a direct or indirect material interest:</w:t>
      </w:r>
    </w:p>
    <w:p>
      <w:pPr>
        <w:spacing w:after="0" w:line="73" w:lineRule="exact"/>
        <w:rPr>
          <w:sz w:val="20"/>
          <w:szCs w:val="20"/>
          <w:color w:val="auto"/>
        </w:rPr>
      </w:pPr>
    </w:p>
    <w:p>
      <w:pPr>
        <w:ind w:left="1000" w:right="459" w:hanging="348"/>
        <w:spacing w:after="0" w:line="25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Agreements and Directors’ and Officers’ Liability Insurance. </w:t>
      </w:r>
      <w:r>
        <w:rPr>
          <w:rFonts w:ascii="Times New Roman" w:cs="Times New Roman" w:eastAsia="Times New Roman" w:hAnsi="Times New Roman"/>
          <w:sz w:val="18"/>
          <w:szCs w:val="18"/>
          <w:color w:val="auto"/>
        </w:rPr>
        <w:t>We have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agreements with each of our directors and executive officers. These agreements, among other things, require us to indemnify each director and executive officer to the fullest extent permitted by the General Corporation Law of the State of Delaware,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Our board of directors has a policy of encouraging director attendance at our annual meetings of stockholders, but attendance is not mandatory. Our board of directors and management team encourage all of our directors to attend the 2025 Annual Meeting. All of our then-serving directors attended our 2024 annual meeting of stockholders (with the exception of Dr. Lundberg who did not stand for reelection and resigned from the board of directors and all committees of the board upon the expiration of his term at our 2024 annual meeting of stockholders).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During 2024, Messrs. Mott, Bazemore and Rodgers, and Ms. Bhanji served as members of our compensation committee. None of Messrs. Mott, Bazemore and Rodgers, and Ms. Bhanji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Prohibition on Hedging, Pledging and Similar Transactions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Compliance Policy governing the purchase, sale, and other dispositions of our securities by our directors, officers, and employees that we believe is reasonably designed to promote compliance with insider trading laws, rules and regulations, and listing standards applicable to us. A copy of our Insider Trading Compliance Policy is filed as Exhibit 19.1 to our Annual Report on Form 10-K for the year ended December 31, 2024.</w:t>
      </w:r>
    </w:p>
    <w:p>
      <w:pPr>
        <w:spacing w:after="0" w:line="75"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All employees, officers, members of our board of directors and certain consultants of the Company are subject to our Insider Trading Compliance Policy. The policy prohibits the covered individuals from purchasing or selling any of our securities while in possession of material nonpublic information.</w:t>
      </w:r>
    </w:p>
    <w:p>
      <w:pPr>
        <w:spacing w:after="0" w:line="68"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and in recommending candidates for election, the nominating and corporate governance committee, and in approving (and, in the case of vacancies, appointing) such candidates, the board of directors, will take into account many factors, including the following:</w:t>
      </w:r>
    </w:p>
    <w:p>
      <w:pPr>
        <w:spacing w:after="0" w:line="79"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industries in which we compete;</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and mature business judgment.</w:t>
      </w:r>
    </w:p>
    <w:p>
      <w:pPr>
        <w:spacing w:after="0" w:line="117"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w:t>
      </w:r>
    </w:p>
    <w:p>
      <w:pPr>
        <w:spacing w:after="0" w:line="8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Our nominating and corporate governance committee does not have a regard to the consideration of director candidates recommended by our stockholders and will evaluate such candidates on a case-by-case basis. Our nominating and corporate governance committee believes that it is in the best position to identify, review, evaluate, and select qualified candidates for board membership, based on the comprehensive criteria for board membership approved by our board of directors.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periodically reviews our non-employee director compensation program in consultation with Pearl Meyer and has amended and restated the program from time to time based on recommendations provided by Pearl Meyer. In 2023, our board of directors adopted the Third Amended and Restated Non-Employee Director Compensation Program, or the Director Compensation Program, under which our non-employee directors received compensation during 2024. The Director Compensation Program provides for cash retainers and equity compensation for members of our board of directors who are not employed by us. We do not provide compensation to directors who are employees under the Director Compensation Program. Retainers are paid to our non-employee directors on or about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Director Compensation Program, our non-employee directors receive an annual retainer of $50,000. Any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non-employee chairperson receives an additional annual cash retainer in the amount of $35,000. Non-employee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receive additional annual retainers of $10,000 for serving on the audit and compliance committee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$20,000 for serving as the chair of the audit and compliance committee), $7,500 for serving on the 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(or $15,000 for serving as the chair of the compensation committee) and $5,000 for serving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nominating and corporate governance committee (or $10,000 for serving as the chair of the nominating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corporate governance committee).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Director Compensation Program, each newly appointed or elected non-employee director is automatically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granted an option to purchase the lesser of 200,000 shares of our common stock or that number of shares that results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option having an expected grant date fair value of $300,000 as of the date of appointment or election.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addition, each non-employee director who has been serving on our board of directors for at least six months as of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of any annual meeting of our stockholders and who will continue to serve as a non-employee director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immediately following such meeting automatically is granted an option to purchase the lesser of 100,000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or that number of shares that results in the option having an expected grant date fair value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$200,000. Each option has an exercise price per share equal to the closing trading price of our common stock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of grant or, if the date of grant is not a trading day, the immediately preceding trading day. Each initial non-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employee director stock option vests and becomes exercisable as to 1/36th of the shares underlying the option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each monthly anniversary of the grant date, subject to the non-employee director’s continued service on our board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through the applicable vesting date. Each annual non-employee director stock option vests and becomes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exercisable as to 1/12th of the shares underlying the option on each monthly anniversary of the grant date,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accelerated vesting immediately prior to the next annual stockholders meeting, in each case, subject to the non-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employee director’s continued service on our board of directors through the applicable vesting date.</w:t>
      </w:r>
    </w:p>
    <w:p>
      <w:pPr>
        <w:spacing w:after="0" w:line="99"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The Director Compensation Program also provides that all outstanding equity awards that are held by a non-employee director will become fully vested and/or exercisable as of immediately prior to the consummation of a change in control.</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Director Compensation Program includes the opportunity for non-employee directors to elect to receive fully vested stock awards in lieu of cash retainers. The number of shares of our common stock underlying the stock award is calculated by dividing the amount of the cash retainer by the closing trading price of a share of our common stock on the date of our annual meeting of stockholders (or the immediately preceding trading day if the date of our annual meeting of stockholders is not a trading day), rounded to the nearest whole share. For 2024, each of Messrs. Bertrand, Mott and Rodgers elected to receive a stock award in lieu of their respective 2024 annual cash retainers as calculated pursuant to the preceding sentence.</w:t>
      </w:r>
    </w:p>
    <w:p>
      <w:pPr>
        <w:spacing w:after="0" w:line="81"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In 2025, our board of directors adopted the Fourth Amended and Restated Non-Employee Director Compensation Program, or the Fourth Amendment, which amends the Director Compensation Program to increase the retainer for any non-employee chairperson to $37,500; to increase the expected grant date fair value for the equity grant for each newly appointed or elected non-employee director to $450,000, while retaining the maximum share utilization for any such grant to 200,000; and to increase the expected grant date fair value for the annual equity grant for any non-employee director who has been serving on our board of directors for at least six months as of the date of any annual meeting of our stockholders and who will continue to serve as a non-employee director immediately following such meeting to $300,000, while retaining the maximum share utilization for each such annual grant to 100,000.</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The Fourth Amendment also provides for the initial non-employee director equity grants and the annual non-employee director equity grants to be comprised of a mix of stock options to purchase shares of our common stock and restricted stock units, with the split of stock options and restricted stock units to be determined by the board of directors. The vesting schedule for the stock options granted to non-employee directors remains unchanged from the Director Compensation Plan. Under the Fourth Amendment, subject to the non-employee director’s continued service on our board of directors through the applicable vesting date, the restricted stock units comprising part of any initial non-employee director grant will vest as to 1/12th of the shares on each Company designated quarterly restricted stock unit vest date, and the restricted stock units comprising part of any annual non-employee director grant will vest as to 1/4th of the shares on each Company designated quarterly restricted stock unit vest date. Further, under the Fourth Amendment, the board may provide each director with the opportunity to defer the issuance of shares underlying any of the restricted stock units that would otherwise be used to the director in connection with the vesting or grant of the restricted stock units until the earliest of: (i) a fixed date properly elected by the director, (ii) the termination of the director’s service, or (iii) a Change in Control (as defined in the Restated Plan).</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our board of directors are also reimbursed for reasonable travel and other out-of-pocket expenses.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2024 regarding the compensation awarded to, earned by or paid to our non-employee directors.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900" w:type="dxa"/>
            <w:vAlign w:val="bottom"/>
            <w:gridSpan w:val="2"/>
          </w:tcPr>
          <w:p>
            <w:pPr>
              <w:jc w:val="right"/>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Awards ($)</w:t>
            </w:r>
            <w:r>
              <w:rPr>
                <w:rFonts w:ascii="Times New Roman" w:cs="Times New Roman" w:eastAsia="Times New Roman" w:hAnsi="Times New Roman"/>
                <w:sz w:val="23"/>
                <w:szCs w:val="23"/>
                <w:b w:val="1"/>
                <w:bCs w:val="1"/>
                <w:color w:val="auto"/>
                <w:w w:val="94"/>
                <w:vertAlign w:val="superscript"/>
              </w:rPr>
              <w:t>(1)</w:t>
            </w:r>
          </w:p>
        </w:tc>
        <w:tc>
          <w:tcPr>
            <w:tcW w:w="10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57,500</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$199,997</w:t>
            </w:r>
          </w:p>
        </w:tc>
        <w:tc>
          <w:tcPr>
            <w:tcW w:w="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$257,497</w:t>
            </w:r>
          </w:p>
        </w:tc>
        <w:tc>
          <w:tcPr>
            <w:tcW w:w="0" w:type="dxa"/>
            <w:vAlign w:val="bottom"/>
          </w:tcPr>
          <w:p>
            <w:pPr>
              <w:spacing w:after="0"/>
              <w:rPr>
                <w:sz w:val="1"/>
                <w:szCs w:val="1"/>
                <w:color w:val="auto"/>
              </w:rPr>
            </w:pPr>
          </w:p>
        </w:tc>
      </w:tr>
      <w:tr>
        <w:trPr>
          <w:trHeight w:val="28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William Bertrand, Jr., Esq.</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w w:val="99"/>
              </w:rPr>
              <w:t>70,000</w:t>
            </w:r>
            <w:r>
              <w:rPr>
                <w:rFonts w:ascii="Times New Roman" w:cs="Times New Roman" w:eastAsia="Times New Roman" w:hAnsi="Times New Roman"/>
                <w:sz w:val="29"/>
                <w:szCs w:val="29"/>
                <w:color w:val="auto"/>
                <w:w w:val="99"/>
                <w:vertAlign w:val="superscript"/>
              </w:rPr>
              <w:t>(2)</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$199,997</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$269,997</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Muna Bhanji, R.Ph</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57,500</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$199,997</w:t>
            </w:r>
          </w:p>
        </w:tc>
        <w:tc>
          <w:tcPr>
            <w:tcW w:w="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$257,497</w:t>
            </w:r>
          </w:p>
        </w:tc>
        <w:tc>
          <w:tcPr>
            <w:tcW w:w="0" w:type="dxa"/>
            <w:vAlign w:val="bottom"/>
          </w:tcPr>
          <w:p>
            <w:pPr>
              <w:spacing w:after="0"/>
              <w:rPr>
                <w:sz w:val="1"/>
                <w:szCs w:val="1"/>
                <w:color w:val="auto"/>
              </w:rPr>
            </w:pPr>
          </w:p>
        </w:tc>
      </w:tr>
      <w:tr>
        <w:trPr>
          <w:trHeight w:val="23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55,000</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$199,997</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$254,997</w:t>
            </w:r>
          </w:p>
        </w:tc>
        <w:tc>
          <w:tcPr>
            <w:tcW w:w="0" w:type="dxa"/>
            <w:vAlign w:val="bottom"/>
          </w:tcPr>
          <w:p>
            <w:pPr>
              <w:spacing w:after="0"/>
              <w:rPr>
                <w:sz w:val="1"/>
                <w:szCs w:val="1"/>
                <w:color w:val="auto"/>
              </w:rPr>
            </w:pPr>
          </w:p>
        </w:tc>
      </w:tr>
      <w:tr>
        <w:trPr>
          <w:trHeight w:val="2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Mott</w:t>
            </w:r>
          </w:p>
        </w:tc>
        <w:tc>
          <w:tcPr>
            <w:tcW w:w="1020" w:type="dxa"/>
            <w:vAlign w:val="bottom"/>
            <w:gridSpan w:val="3"/>
            <w:shd w:val="clear" w:color="auto" w:fill="CCEEFF"/>
          </w:tcPr>
          <w:p>
            <w:pPr>
              <w:jc w:val="right"/>
              <w:spacing w:after="0" w:line="288" w:lineRule="exact"/>
              <w:rPr>
                <w:sz w:val="20"/>
                <w:szCs w:val="20"/>
                <w:color w:val="auto"/>
              </w:rPr>
            </w:pPr>
            <w:r>
              <w:rPr>
                <w:rFonts w:ascii="Times New Roman" w:cs="Times New Roman" w:eastAsia="Times New Roman" w:hAnsi="Times New Roman"/>
                <w:sz w:val="18"/>
                <w:szCs w:val="18"/>
                <w:color w:val="auto"/>
              </w:rPr>
              <w:t>$110,000</w:t>
            </w:r>
            <w:r>
              <w:rPr>
                <w:rFonts w:ascii="Times New Roman" w:cs="Times New Roman" w:eastAsia="Times New Roman" w:hAnsi="Times New Roman"/>
                <w:sz w:val="29"/>
                <w:szCs w:val="29"/>
                <w:color w:val="auto"/>
                <w:vertAlign w:val="superscript"/>
              </w:rPr>
              <w:t>(2)</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$199,997</w:t>
            </w:r>
          </w:p>
        </w:tc>
        <w:tc>
          <w:tcPr>
            <w:tcW w:w="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$309,997</w:t>
            </w:r>
          </w:p>
        </w:tc>
        <w:tc>
          <w:tcPr>
            <w:tcW w:w="0" w:type="dxa"/>
            <w:vAlign w:val="bottom"/>
          </w:tcPr>
          <w:p>
            <w:pPr>
              <w:spacing w:after="0"/>
              <w:rPr>
                <w:sz w:val="1"/>
                <w:szCs w:val="1"/>
                <w:color w:val="auto"/>
              </w:rPr>
            </w:pPr>
          </w:p>
        </w:tc>
      </w:tr>
      <w:tr>
        <w:trPr>
          <w:trHeight w:val="39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77,500</w:t>
            </w:r>
            <w:r>
              <w:rPr>
                <w:rFonts w:ascii="Times New Roman" w:cs="Times New Roman" w:eastAsia="Times New Roman" w:hAnsi="Times New Roman"/>
                <w:sz w:val="29"/>
                <w:szCs w:val="29"/>
                <w:color w:val="auto"/>
                <w:w w:val="99"/>
                <w:vertAlign w:val="superscript"/>
              </w:rPr>
              <w:t>(2)</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$199,997</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$277,497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822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0" w:lineRule="exact"/>
        <w:rPr>
          <w:sz w:val="20"/>
          <w:szCs w:val="20"/>
          <w:color w:val="auto"/>
        </w:rPr>
      </w:pPr>
    </w:p>
    <w:p>
      <w:pPr>
        <w:ind w:left="640" w:right="339" w:hanging="348"/>
        <w:spacing w:after="0" w:line="228"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Option Awards column represent the grant date fair value of the stock options granted to the non-employee members of our board of directors during 2024 as computed in accordance with ASC 718. The assumptions used in calculating the grant date fair value of the stock option reported in this column are set forth in Note 13 to the audited financial statements included in our Annual Report on Form 10-K filed on February 20, 2025. The amounts reported in this column exclude the impact of estimated forfeitures related to service-based vesting provisions. Note that amounts reported in this column reflect the accounting cost for these stock options, and do not correspond to the actual economic value that may be received by the directors from the options. In June 2024, each of our non-employee directors was granted an annual option to purchase 40,243 shares of our common stock pursuant to the Director Compensation Program with an exercise price per share of $6.35.</w:t>
      </w:r>
    </w:p>
    <w:p>
      <w:pPr>
        <w:spacing w:after="0" w:line="18" w:lineRule="exact"/>
        <w:rPr>
          <w:rFonts w:ascii="Times New Roman" w:cs="Times New Roman" w:eastAsia="Times New Roman" w:hAnsi="Times New Roman"/>
          <w:sz w:val="14"/>
          <w:szCs w:val="14"/>
          <w:color w:val="auto"/>
        </w:rPr>
      </w:pPr>
    </w:p>
    <w:p>
      <w:pPr>
        <w:ind w:left="660" w:right="7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for the number of shares of our common stock subject to outstanding options held by each of our non-employee directors as of December 31, 2024:</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2"/>
                <w:szCs w:val="12"/>
                <w:color w:val="auto"/>
              </w:rPr>
            </w:pPr>
          </w:p>
        </w:tc>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Bazemore</w:t>
            </w:r>
          </w:p>
        </w:tc>
        <w:tc>
          <w:tcPr>
            <w:tcW w:w="136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350,775</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William Bertrand, Jr., Esq.</w:t>
            </w:r>
          </w:p>
        </w:tc>
        <w:tc>
          <w:tcPr>
            <w:tcW w:w="136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365,775</w:t>
            </w:r>
          </w:p>
        </w:tc>
        <w:tc>
          <w:tcPr>
            <w:tcW w:w="0" w:type="dxa"/>
            <w:vAlign w:val="bottom"/>
          </w:tcPr>
          <w:p>
            <w:pPr>
              <w:spacing w:after="0"/>
              <w:rPr>
                <w:sz w:val="1"/>
                <w:szCs w:val="1"/>
                <w:color w:val="auto"/>
              </w:rPr>
            </w:pPr>
          </w:p>
        </w:tc>
      </w:tr>
      <w:tr>
        <w:trPr>
          <w:trHeight w:val="19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Muna Bhanji, R.Ph</w:t>
            </w:r>
          </w:p>
        </w:tc>
        <w:tc>
          <w:tcPr>
            <w:tcW w:w="136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253,167</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Onaiza Cadoret-Manier</w:t>
            </w:r>
          </w:p>
        </w:tc>
        <w:tc>
          <w:tcPr>
            <w:tcW w:w="136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288,135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David Mott</w:t>
            </w:r>
            <w:r>
              <w:rPr>
                <w:rFonts w:ascii="Times New Roman" w:cs="Times New Roman" w:eastAsia="Times New Roman" w:hAnsi="Times New Roman"/>
                <w:sz w:val="23"/>
                <w:szCs w:val="23"/>
                <w:color w:val="auto"/>
                <w:vertAlign w:val="superscript"/>
              </w:rPr>
              <w:t>(a)</w:t>
            </w:r>
          </w:p>
        </w:tc>
        <w:tc>
          <w:tcPr>
            <w:tcW w:w="136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330,775</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Richard Rodgers</w:t>
            </w:r>
          </w:p>
        </w:tc>
        <w:tc>
          <w:tcPr>
            <w:tcW w:w="136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355,775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128905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8" w:lineRule="exact"/>
        <w:rPr>
          <w:sz w:val="20"/>
          <w:szCs w:val="20"/>
          <w:color w:val="auto"/>
        </w:rPr>
      </w:pPr>
    </w:p>
    <w:p>
      <w:pPr>
        <w:ind w:left="1000" w:right="379" w:hanging="348"/>
        <w:spacing w:after="0" w:line="261" w:lineRule="auto"/>
        <w:tabs>
          <w:tab w:leader="none" w:pos="10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110,000 shares of our common stock that Mr. Mott holds for the benefit of entities associated with New Enterprise Associates.</w:t>
      </w:r>
    </w:p>
    <w:p>
      <w:pPr>
        <w:ind w:left="640" w:right="399" w:hanging="348"/>
        <w:spacing w:after="0" w:line="229"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Director Compensation Program, each of Messrs. Bertrand, Mott and Rodgers elected to receive a fully vested stock award in lieu of their respective 2024 annual cash retainers. The fully vested stock awards consisted of 11,023, 17,322 and 12,204 shares of our common stock for Messrs. Bertrand, Mott and Rodgers, respectively. The number of shares of our common stock issued was calculated by dividing the annual retainer otherwise payable in cash at the 2024 Annual Meeting of Stockholders as reported in this column by $6.35, which was the closing trading price of our common stock on the date of the 2024 Annual Meeting of Stockholders, rounded down to the nearest whole share. The value of the cash fees the non-employee directors would have received had they not elected to receive stock awards is reported in this column.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99"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In accordance with Section 14A of the Securities Exchange Act of 1934, as amended, we are providing stockholders an opportunity to cast a non-binding, advisory vote to approve the compensation of our Named Executive Officers, or NEOs (sometimes referred to as a “Say-on-Pay” vote). Accordingly, you have the opportunity to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or to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from voting on the following non-binding resolution at the 2025 Annual Meeting:</w:t>
      </w:r>
    </w:p>
    <w:p>
      <w:pPr>
        <w:spacing w:after="0" w:line="56"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the Company’s named executive officers as disclosed in the Company’s proxy statement for the 2025 Annual Meeting of Stockholders pursuant to the compensation disclosure rules of the Securities and Exchange Commission, including the accompanying compensation tables and the related narrative disclosure in the proxy statement.”</w:t>
      </w:r>
    </w:p>
    <w:p>
      <w:pPr>
        <w:spacing w:after="0" w:line="72"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review the accompanying compensation tables and the related narrative disclosure. As described in detail in the sections entitled “Compensation Discussion and Analysis” and “Details of our Compensation Program,”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Approval, on a non-binding, advisory basis, of the compensation of our NEOs, as disclosed in this Proxy Statement pursuant to the compensation disclosure rules of the Securities and Exchange Commission, requires the affirmative vote of the majority of votes cast (excluding abstentions and broker non-votes). Abstentions and broker non-votes are not considered votes cast for the foregoing purpose, and will have no effect on the vote for this proposal.</w:t>
      </w:r>
    </w:p>
    <w:p>
      <w:pPr>
        <w:spacing w:after="0" w:line="56" w:lineRule="exact"/>
        <w:rPr>
          <w:sz w:val="20"/>
          <w:szCs w:val="20"/>
          <w:color w:val="auto"/>
        </w:rPr>
      </w:pPr>
    </w:p>
    <w:p>
      <w:pPr>
        <w:ind w:left="300" w:right="659"/>
        <w:spacing w:after="0" w:line="274" w:lineRule="auto"/>
        <w:rPr>
          <w:sz w:val="20"/>
          <w:szCs w:val="20"/>
          <w:color w:val="auto"/>
        </w:rPr>
      </w:pPr>
      <w:r>
        <w:rPr>
          <w:rFonts w:ascii="Times New Roman" w:cs="Times New Roman" w:eastAsia="Times New Roman" w:hAnsi="Times New Roman"/>
          <w:sz w:val="17"/>
          <w:szCs w:val="17"/>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2026 annual meeting of stockholders.</w:t>
      </w:r>
    </w:p>
    <w:p>
      <w:pPr>
        <w:spacing w:after="0" w:line="101"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THE NAMED EXECUTIVE OFFICERS, AS DISCLOSED IN THIS PROXY STATEMENT.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31, 2025.</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7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60</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53</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Operations Officer</w:t>
            </w:r>
          </w:p>
        </w:tc>
      </w:tr>
      <w:tr>
        <w:trPr>
          <w:trHeight w:val="24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61</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r>
        <w:trPr>
          <w:trHeight w:val="28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Laura Williams, M.D., M.P.H.</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62</w:t>
            </w:r>
          </w:p>
        </w:tc>
        <w:tc>
          <w:tcPr>
            <w:tcW w:w="100" w:type="dxa"/>
            <w:vAlign w:val="bottom"/>
          </w:tcPr>
          <w:p>
            <w:pPr>
              <w:spacing w:after="0"/>
              <w:rPr>
                <w:sz w:val="24"/>
                <w:szCs w:val="24"/>
                <w:color w:val="auto"/>
              </w:rPr>
            </w:pPr>
          </w:p>
        </w:tc>
        <w:tc>
          <w:tcPr>
            <w:tcW w:w="47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Chief Medical Officer</w:t>
            </w:r>
            <w:r>
              <w:rPr>
                <w:rFonts w:ascii="Times New Roman" w:cs="Times New Roman" w:eastAsia="Times New Roman" w:hAnsi="Times New Roman"/>
                <w:sz w:val="29"/>
                <w:szCs w:val="29"/>
                <w:color w:val="auto"/>
                <w:vertAlign w:val="superscript"/>
              </w:rPr>
              <w:t>(1)</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Kelliher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Strategy</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Eric Foster</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50</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45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Williams began the transition into her new role as Chief Patient Officer in early 2025; however, Dr. Williams will continue to serve as Chief Medical Officer until a new Chief Medical Officer has been identified and commenced employment.</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biographical information is furnished with regard to our executive officers as of April 15,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Raab’s biographical information is included above under “Class II Nominees for Director.”</w:t>
      </w:r>
    </w:p>
    <w:p>
      <w:pPr>
        <w:spacing w:after="0" w:line="113"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Justin Renz </w:t>
      </w:r>
      <w:r>
        <w:rPr>
          <w:rFonts w:ascii="Times New Roman" w:cs="Times New Roman" w:eastAsia="Times New Roman" w:hAnsi="Times New Roman"/>
          <w:sz w:val="18"/>
          <w:szCs w:val="18"/>
          <w:color w:val="auto"/>
        </w:rPr>
        <w:t>has served as our Chief Financial and Operations Officer since January 2023, and served as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from June 2020 to January 2023. Beginning in 2017, Mr. Renz held various positions of increasing responsibility at Correvio Pharma Corp, a specialty pharmaceutical company, most recently as its President and Chief Financial Officer at the time of its acquisition by Advanz Pharma in May 2020. From 2014 to 2017, Mr. Renz was the Executive Vice President and Chief Financial Officer of Karyopharm Therapeutics, Inc. (Nasdaq: KTPI). Prior to that, from 2006 to 2014, Mr. Renz held a variety of financial positions with Zalicus Pharmaceuticals Ltd., a biopharmaceutical company,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spacing w:after="0" w:line="77"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b w:val="1"/>
          <w:bCs w:val="1"/>
          <w:color w:val="auto"/>
        </w:rPr>
        <w:t>Elizabeth Grammer, Esq.</w:t>
      </w:r>
      <w:r>
        <w:rPr>
          <w:rFonts w:ascii="Times New Roman" w:cs="Times New Roman" w:eastAsia="Times New Roman" w:hAnsi="Times New Roman"/>
          <w:sz w:val="18"/>
          <w:szCs w:val="18"/>
          <w:color w:val="auto"/>
        </w:rPr>
        <w:t>, has served as our Chief Legal and Administrative Officer since January 2020,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served as our General Counsel from May 2014 to January 2020, and as our vice president responsible for legal affairs from December 2012 until May 2014. Ms. Grammer has also served as a director of Sagimet Biosciences, Inc. (Nasdaq: SGMT) since May 2021.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from 1998 until its acquisition by Genzyme Corporation, a biotechnology company, in 2020. Ms. Grammer received a B.A. from Boston University and a J.D. from Stanford Law School.</w:t>
      </w:r>
    </w:p>
    <w:p>
      <w:pPr>
        <w:spacing w:after="0" w:line="7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Laura Williams, M.D., M.P.H., </w:t>
      </w:r>
      <w:r>
        <w:rPr>
          <w:rFonts w:ascii="Times New Roman" w:cs="Times New Roman" w:eastAsia="Times New Roman" w:hAnsi="Times New Roman"/>
          <w:sz w:val="18"/>
          <w:szCs w:val="18"/>
          <w:color w:val="auto"/>
        </w:rPr>
        <w:t>has served as our Chief Patient Officer since April 2025 and as our Chief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since October 2021. Before that, Dr. Williams served as our Senior Vice President, Global Therapeutic Strategies and Patient Advocacy from November 2020 until October 2021. Dr. Williams serves on the board of directors of the National Kidney Foundation in Northern California, Oregon and Washington State (CNOW), as well as on the board of trustees of the American Kidney Fund. Previously, Dr. Williams served as a director of Imara, Inc. from June 2021 until its acquisition by Enliven Therapeutics, Inc (Nasdaq: ELVN) in February 2023. Prior to Ardelyx, Dr. Williams served as Senior Vice President, Head of Clinical Development and Biostatistics at AMAG Pharmaceuticals, a pharmaceutical company, from September 2017 to January 2020, and as Vice President, Clinical Development at Myovant Sciences (NYSE: MYOV) from September 2016 to August 2017. Dr. Williams held roles of increasing responsibility at AbbVie Pharmaceuticals (Nasdaq: ABBV) from January 2013 to July 2016, and at Abbott Laboratories, Inc. (NYSE: ABT) from July 1998 to December 2012. Dr. Williams received a B.S. degree in Pre-Medicine/Pre-Medical Studies and Biochemistry from Mississippi State University, a M.D. from University of Iowa, and a M.P.H. degree in Epidemiology from University of Washington, where she also completed a clinical fellowship in Infectious Diseases. Dr. Williams completed her residency training in Internal Medicine at University of Michigan, where she also served as Chief Medical Resident and Junior Faculty.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Mike Kelliher </w:t>
      </w:r>
      <w:r>
        <w:rPr>
          <w:rFonts w:ascii="Times New Roman" w:cs="Times New Roman" w:eastAsia="Times New Roman" w:hAnsi="Times New Roman"/>
          <w:sz w:val="17"/>
          <w:szCs w:val="17"/>
          <w:color w:val="auto"/>
        </w:rPr>
        <w:t>has served as our Executive Vice President, Corporate Development and Strategy since March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November 2014 to March 2024, Mr. Kelliher worked at Horizon Therapeutics (Nasdaq: NZNP), which was acquired in October 2023 by Amgen (Nasdaq: AMGN). Mr. Kelliher most recently served as Group Vice President, M&amp;A and Business Development at Horizon Therapeutics from January 2022 to March 2024 and Vice President Business Development from April 2016 to December 2021. Prior to his time at Horizon Therapeutics, from 2009 to 2014, Mr. Kelliher held financial roles at Elan Corporation (now Perrigo Company), a public pharmaceutical company. Mr. Kelliher received a Bachelor of Commerce degree from the University College Cork (Ireland).</w:t>
      </w:r>
    </w:p>
    <w:p>
      <w:pPr>
        <w:spacing w:after="0" w:line="63"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Eric Foster </w:t>
      </w:r>
      <w:r>
        <w:rPr>
          <w:rFonts w:ascii="Times New Roman" w:cs="Times New Roman" w:eastAsia="Times New Roman" w:hAnsi="Times New Roman"/>
          <w:sz w:val="17"/>
          <w:szCs w:val="17"/>
          <w:color w:val="auto"/>
        </w:rPr>
        <w:t>has served as our Chief Commercial Officer since August 2024. Before that, Mr. Foster served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Senior Vice President and U.S. General Manager at Amgen (Nasdaq: AMGN), following the acquisition of Horizon Therapeutics (Nasdaq: HZNP) in October 2023 where he served as Senior Vice President and General Manager of the Gout and Ophthalmology Business Units from October 2022 until October 2023 and Group Vice President and General Manager of the Gout Business Unit from May 2021 until October 2022. Prior to his time at Horizon Therapeutics, from 2010 to 2021, Mr. Foster held roles of increasing responsibility within the sales and marketing organization at GlaxoSmithKline Plc (LSE/NYSE: GSK) across a variety of immunology and rare disease products, including serving as Vice President of Immunology Marketing, Senior Global Marketing Director and Field Sales Vice President. Mr. Foster began his career in sales and market access at Johnson &amp; Johnson (NYSE: JNJ).</w:t>
      </w:r>
    </w:p>
    <w:p>
      <w:pPr>
        <w:spacing w:after="0" w:line="2" w:lineRule="exact"/>
        <w:rPr>
          <w:sz w:val="20"/>
          <w:szCs w:val="20"/>
          <w:color w:val="auto"/>
        </w:rPr>
      </w:pP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Mr. Foster holds a Bachelor of Arts in Economics degree from the University of Georgia and a Master of Business Administration from Auburn University.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following is a discussion and analysis of the compensation program for our named executive officers, or NEOs. This section covers our philosophy, programs, processes, decisions, and other relevant information for fiscal year 2024.</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NEOs for fiscal year 2024 were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Role</w:t>
            </w:r>
          </w:p>
        </w:tc>
      </w:tr>
      <w:tr>
        <w:trPr>
          <w:trHeight w:val="23"/>
        </w:trPr>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5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00" w:type="dxa"/>
            <w:vAlign w:val="bottom"/>
            <w:shd w:val="clear" w:color="auto" w:fill="CCEEFF"/>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(PEO or CEO)</w:t>
            </w:r>
          </w:p>
        </w:tc>
      </w:tr>
      <w:tr>
        <w:trPr>
          <w:trHeight w:val="23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Operations Officer (PFO or CFO)</w:t>
            </w:r>
          </w:p>
        </w:tc>
      </w:tr>
      <w:tr>
        <w:trPr>
          <w:trHeight w:val="247"/>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00" w:type="dxa"/>
            <w:vAlign w:val="bottom"/>
            <w:shd w:val="clear" w:color="auto" w:fill="CCEEFF"/>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r>
        <w:trPr>
          <w:trHeight w:val="28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Williams, M.D., M.P.H.</w:t>
            </w:r>
          </w:p>
        </w:tc>
        <w:tc>
          <w:tcPr>
            <w:tcW w:w="100" w:type="dxa"/>
            <w:vAlign w:val="bottom"/>
          </w:tcPr>
          <w:p>
            <w:pPr>
              <w:spacing w:after="0"/>
              <w:rPr>
                <w:sz w:val="24"/>
                <w:szCs w:val="24"/>
                <w:color w:val="auto"/>
              </w:rPr>
            </w:pPr>
          </w:p>
        </w:tc>
        <w:tc>
          <w:tcPr>
            <w:tcW w:w="55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Chief Medical Officer</w:t>
            </w:r>
            <w:r>
              <w:rPr>
                <w:rFonts w:ascii="Times New Roman" w:cs="Times New Roman" w:eastAsia="Times New Roman" w:hAnsi="Times New Roman"/>
                <w:sz w:val="29"/>
                <w:szCs w:val="29"/>
                <w:color w:val="auto"/>
                <w:vertAlign w:val="superscript"/>
              </w:rPr>
              <w:t>(1)</w:t>
            </w:r>
          </w:p>
        </w:tc>
      </w:tr>
      <w:tr>
        <w:trPr>
          <w:trHeight w:val="263"/>
        </w:trPr>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Kelliher</w:t>
            </w:r>
          </w:p>
        </w:tc>
        <w:tc>
          <w:tcPr>
            <w:tcW w:w="100" w:type="dxa"/>
            <w:vAlign w:val="bottom"/>
            <w:tcBorders>
              <w:bottom w:val="single" w:sz="8" w:color="CCEEFF"/>
            </w:tcBorders>
            <w:shd w:val="clear" w:color="auto" w:fill="CCEEFF"/>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Strategy</w:t>
            </w:r>
          </w:p>
        </w:tc>
      </w:tr>
      <w:tr>
        <w:trPr>
          <w:trHeight w:val="148"/>
        </w:trPr>
        <w:tc>
          <w:tcPr>
            <w:tcW w:w="1280" w:type="dxa"/>
            <w:vAlign w:val="bottom"/>
            <w:tcBorders>
              <w:bottom w:val="single" w:sz="8" w:color="auto"/>
            </w:tcBorders>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20" w:type="dxa"/>
            <w:vAlign w:val="bottom"/>
          </w:tcPr>
          <w:p>
            <w:pPr>
              <w:spacing w:after="0"/>
              <w:rPr>
                <w:sz w:val="12"/>
                <w:szCs w:val="12"/>
                <w:color w:val="auto"/>
              </w:rPr>
            </w:pPr>
          </w:p>
        </w:tc>
      </w:tr>
    </w:tbl>
    <w:p>
      <w:pPr>
        <w:spacing w:after="0" w:line="31" w:lineRule="exact"/>
        <w:rPr>
          <w:sz w:val="20"/>
          <w:szCs w:val="20"/>
          <w:color w:val="auto"/>
        </w:rPr>
      </w:pPr>
    </w:p>
    <w:p>
      <w:pPr>
        <w:ind w:left="640" w:right="4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Williams began the transition into her new role as Chief Patient Officer in early 2025; however, Dr. Williams will continue to serve as Chief Medical Officer until a new Chief Medical Officer has been identified and commenced employment.</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9" w:lineRule="exact"/>
        <w:rPr>
          <w:sz w:val="20"/>
          <w:szCs w:val="20"/>
          <w:color w:val="auto"/>
        </w:rPr>
      </w:pPr>
    </w:p>
    <w:p>
      <w:pPr>
        <w:ind w:left="300" w:right="379"/>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covers our key performance and organizational highlights, the resulting key compensation actions, and our governance best practices.</w:t>
      </w:r>
    </w:p>
    <w:p>
      <w:pPr>
        <w:spacing w:after="0" w:line="52"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We are a patient-focused biopharmaceutical company founded with a mission to discover, develop and commercialize innovative, first-in-class medicines that meet significant unmet medical needs. We operate in a highly competitive environment for talented senior executives that are needed to achieve our mission. As such, we offer competitive compensation to attract and retain these individuals within our overarching philosophy to pay for performance and create shareholder value.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2024 Business Performance and Organizational Highlights</w:t>
      </w:r>
    </w:p>
    <w:p>
      <w:pPr>
        <w:spacing w:after="0" w:line="11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2024 was an exceptional year for our Company, achieving net product sales revenue of $319.2 million through our two commercial products, IBSRELA® and XPHOZAH®.</w:t>
      </w:r>
    </w:p>
    <w:p>
      <w:pPr>
        <w:spacing w:after="0" w:line="92" w:lineRule="exact"/>
        <w:rPr>
          <w:sz w:val="20"/>
          <w:szCs w:val="20"/>
          <w:color w:val="auto"/>
        </w:rPr>
      </w:pPr>
    </w:p>
    <w:tbl>
      <w:tblPr>
        <w:tblLayout w:type="fixed"/>
        <w:tblInd w:w="310" w:type="dxa"/>
        <w:tblCellMar>
          <w:top w:w="0" w:type="dxa"/>
          <w:left w:w="0" w:type="dxa"/>
          <w:bottom w:w="0" w:type="dxa"/>
          <w:right w:w="0" w:type="dxa"/>
        </w:tblCellMar>
      </w:tblPr>
      <w:tr>
        <w:trPr>
          <w:trHeight w:val="394"/>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$158.3 million</w:t>
            </w:r>
          </w:p>
        </w:tc>
        <w:tc>
          <w:tcPr>
            <w:tcW w:w="4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$160.9 million</w:t>
            </w:r>
          </w:p>
        </w:tc>
      </w:tr>
      <w:tr>
        <w:trPr>
          <w:trHeight w:val="149"/>
        </w:trPr>
        <w:tc>
          <w:tcPr>
            <w:tcW w:w="422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 net product sales revenue of IBSRELA (tenapanor)</w:t>
            </w:r>
          </w:p>
        </w:tc>
        <w:tc>
          <w:tcPr>
            <w:tcW w:w="4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 net product sales revenue of XPHOZAH (tenapanor) in first</w:t>
            </w:r>
          </w:p>
        </w:tc>
      </w:tr>
      <w:tr>
        <w:trPr>
          <w:trHeight w:val="190"/>
        </w:trPr>
        <w:tc>
          <w:tcPr>
            <w:tcW w:w="422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full year of commercialization</w:t>
            </w:r>
          </w:p>
        </w:tc>
      </w:tr>
      <w:tr>
        <w:trPr>
          <w:trHeight w:val="2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86"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Other business achievements</w:t>
      </w:r>
    </w:p>
    <w:p>
      <w:pPr>
        <w:sectPr>
          <w:pgSz w:w="11900" w:h="16838" w:orient="portrait"/>
          <w:cols w:equalWidth="0" w:num="1">
            <w:col w:w="9019"/>
          </w:cols>
          <w:pgMar w:left="1440" w:top="114" w:right="1440" w:bottom="1440" w:gutter="0" w:footer="0" w:header="0"/>
        </w:sectPr>
      </w:pP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Strengthened our balance sheet. </w:t>
      </w:r>
      <w:r>
        <w:rPr>
          <w:rFonts w:ascii="Times New Roman" w:cs="Times New Roman" w:eastAsia="Times New Roman" w:hAnsi="Times New Roman"/>
          <w:sz w:val="18"/>
          <w:szCs w:val="18"/>
          <w:color w:val="auto"/>
        </w:rPr>
        <w:t>As of December 31, 2024, we had total cash, cash equivalents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short-term investments of $250.1 million, compared to $184.3 million as of December 31, 2023 primarily driven by our strong commercial performance and $50.0 million of additional proceeds that we drew in October 2024 under our loan agreement with investment affiliates managed by SLR Capital Partners (SLR).</w:t>
      </w:r>
    </w:p>
    <w:p>
      <w:pPr>
        <w:spacing w:after="0" w:line="71" w:lineRule="exact"/>
        <w:rPr>
          <w:sz w:val="20"/>
          <w:szCs w:val="20"/>
          <w:color w:val="auto"/>
        </w:rPr>
      </w:pPr>
    </w:p>
    <w:p>
      <w:pPr>
        <w:ind w:right="3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availability of capital. </w:t>
      </w:r>
      <w:r>
        <w:rPr>
          <w:rFonts w:ascii="Times New Roman" w:cs="Times New Roman" w:eastAsia="Times New Roman" w:hAnsi="Times New Roman"/>
          <w:sz w:val="18"/>
          <w:szCs w:val="18"/>
          <w:color w:val="auto"/>
        </w:rPr>
        <w:t>In October 2024, we amended our loan agreement with SLR.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amendment, in addition to drawing $50 million at Secured Overnight Financing Rate (SOFR) plus 4.02%, we also added the opportunity to draw an additional $50 million at the same interest rate on or before June 30, 2025. In addition, we extended the interest-only period for existing and new tranches under the loan agreement until July 1, 2028.</w:t>
      </w:r>
    </w:p>
    <w:p>
      <w:pPr>
        <w:spacing w:after="0" w:line="71" w:lineRule="exact"/>
        <w:rPr>
          <w:sz w:val="20"/>
          <w:szCs w:val="20"/>
          <w:color w:val="auto"/>
        </w:rPr>
      </w:pPr>
    </w:p>
    <w:p>
      <w:pPr>
        <w:sectPr>
          <w:pgSz w:w="11900" w:h="16838" w:orient="portrait"/>
          <w:cols w:equalWidth="0" w:num="2">
            <w:col w:w="1080" w:space="280"/>
            <w:col w:w="7659"/>
          </w:cols>
          <w:pgMar w:left="1440" w:top="114" w:right="1440" w:bottom="1440" w:gutter="0" w:footer="0" w:header="0"/>
          <w:type w:val="continuous"/>
        </w:sectPr>
      </w:pPr>
    </w:p>
    <w:p>
      <w:pPr>
        <w:ind w:left="1360" w:right="399" w:hanging="348"/>
        <w:spacing w:after="0" w:line="241" w:lineRule="auto"/>
        <w:tabs>
          <w:tab w:leader="none" w:pos="136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b w:val="1"/>
          <w:bCs w:val="1"/>
          <w:i w:val="1"/>
          <w:iCs w:val="1"/>
          <w:color w:val="auto"/>
        </w:rPr>
        <w:t xml:space="preserve">Growth in total scripts. </w:t>
      </w:r>
      <w:r>
        <w:rPr>
          <w:rFonts w:ascii="Times New Roman" w:cs="Times New Roman" w:eastAsia="Times New Roman" w:hAnsi="Times New Roman"/>
          <w:sz w:val="18"/>
          <w:szCs w:val="18"/>
          <w:color w:val="auto"/>
        </w:rPr>
        <w:t>Continued growing demand for IBSRELA and XPHOZAH throughout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demonstrated by increases in new and refill prescriptions as well as growth in new and repeat writing healthcare providers.</w:t>
      </w:r>
    </w:p>
    <w:p>
      <w:pPr>
        <w:spacing w:after="0" w:line="86" w:lineRule="exact"/>
        <w:rPr>
          <w:rFonts w:ascii="Times New Roman" w:cs="Times New Roman" w:eastAsia="Times New Roman" w:hAnsi="Times New Roman"/>
          <w:sz w:val="22"/>
          <w:szCs w:val="22"/>
          <w:color w:val="auto"/>
          <w:vertAlign w:val="superscript"/>
        </w:rPr>
      </w:pPr>
    </w:p>
    <w:p>
      <w:pPr>
        <w:ind w:left="1360" w:right="419" w:hanging="348"/>
        <w:spacing w:after="0" w:line="241" w:lineRule="auto"/>
        <w:tabs>
          <w:tab w:leader="none" w:pos="136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b w:val="1"/>
          <w:bCs w:val="1"/>
          <w:i w:val="1"/>
          <w:iCs w:val="1"/>
          <w:color w:val="auto"/>
        </w:rPr>
        <w:t xml:space="preserve">Initiated pediatric study. </w:t>
      </w:r>
      <w:r>
        <w:rPr>
          <w:rFonts w:ascii="Times New Roman" w:cs="Times New Roman" w:eastAsia="Times New Roman" w:hAnsi="Times New Roman"/>
          <w:sz w:val="18"/>
          <w:szCs w:val="18"/>
          <w:color w:val="auto"/>
        </w:rPr>
        <w:t>In 2024, we initiated a randomized, double-blind, placebo-controlled study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assess the efficacy, safety and tolerability of IBSRELA in pediatric patients (≥12 and &lt;18 years old) with IBS-C.</w:t>
      </w:r>
    </w:p>
    <w:p>
      <w:pPr>
        <w:spacing w:after="0" w:line="86" w:lineRule="exact"/>
        <w:rPr>
          <w:rFonts w:ascii="Times New Roman" w:cs="Times New Roman" w:eastAsia="Times New Roman" w:hAnsi="Times New Roman"/>
          <w:sz w:val="22"/>
          <w:szCs w:val="22"/>
          <w:color w:val="auto"/>
          <w:vertAlign w:val="superscript"/>
        </w:rPr>
      </w:pPr>
    </w:p>
    <w:p>
      <w:pPr>
        <w:ind w:left="1360" w:right="659" w:hanging="348"/>
        <w:spacing w:after="0" w:line="261" w:lineRule="auto"/>
        <w:tabs>
          <w:tab w:leader="none" w:pos="136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b w:val="1"/>
          <w:bCs w:val="1"/>
          <w:i w:val="1"/>
          <w:iCs w:val="1"/>
          <w:color w:val="auto"/>
        </w:rPr>
        <w:t xml:space="preserve">Delivered on our commitment to patients. </w:t>
      </w:r>
      <w:r>
        <w:rPr>
          <w:rFonts w:ascii="Times New Roman" w:cs="Times New Roman" w:eastAsia="Times New Roman" w:hAnsi="Times New Roman"/>
          <w:sz w:val="17"/>
          <w:szCs w:val="17"/>
          <w:color w:val="auto"/>
        </w:rPr>
        <w:t>In 2024, we reinforced our commitment to patients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advancing our legal and legislative efforts to exclude oral only drugs from the End Stage Renal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5" w:name="page26"/>
    <w:bookmarkEnd w:id="2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380" w:right="1360"/>
        <w:spacing w:after="0" w:line="266" w:lineRule="auto"/>
        <w:rPr>
          <w:sz w:val="20"/>
          <w:szCs w:val="20"/>
          <w:color w:val="auto"/>
        </w:rPr>
      </w:pPr>
      <w:r>
        <w:rPr>
          <w:rFonts w:ascii="Times New Roman" w:cs="Times New Roman" w:eastAsia="Times New Roman" w:hAnsi="Times New Roman"/>
          <w:sz w:val="18"/>
          <w:szCs w:val="18"/>
          <w:color w:val="auto"/>
        </w:rPr>
        <w:t>Disease Prospective Payment System and the Company continues to take measured steps to help preserve the decision making authority of nephrology healthcare providers in phosphate management under the newly enacted CMS policy.</w:t>
      </w:r>
    </w:p>
    <w:p>
      <w:pPr>
        <w:spacing w:after="0" w:line="64" w:lineRule="exact"/>
        <w:rPr>
          <w:sz w:val="20"/>
          <w:szCs w:val="20"/>
          <w:color w:val="auto"/>
        </w:rPr>
      </w:pPr>
    </w:p>
    <w:p>
      <w:pPr>
        <w:ind w:left="2000" w:hanging="348"/>
        <w:spacing w:after="0"/>
        <w:tabs>
          <w:tab w:leader="none" w:pos="2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Organizational highlights</w:t>
      </w:r>
    </w:p>
    <w:p>
      <w:pPr>
        <w:sectPr>
          <w:pgSz w:w="11900" w:h="16838" w:orient="portrait"/>
          <w:cols w:equalWidth="0" w:num="1">
            <w:col w:w="11020"/>
          </w:cols>
          <w:pgMar w:left="440" w:top="114" w:right="439" w:bottom="1440" w:gutter="0" w:footer="0" w:header="0"/>
        </w:sectPr>
      </w:pPr>
    </w:p>
    <w:p>
      <w:pPr>
        <w:spacing w:after="0" w:line="1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540"/>
        <w:spacing w:after="0" w:line="282" w:lineRule="auto"/>
        <w:rPr>
          <w:sz w:val="20"/>
          <w:szCs w:val="20"/>
          <w:color w:val="auto"/>
        </w:rPr>
      </w:pPr>
      <w:r>
        <w:rPr>
          <w:rFonts w:ascii="Times New Roman" w:cs="Times New Roman" w:eastAsia="Times New Roman" w:hAnsi="Times New Roman"/>
          <w:sz w:val="18"/>
          <w:szCs w:val="18"/>
          <w:color w:val="auto"/>
        </w:rPr>
        <w:t>In March 2024, the Company announced the appointment of veteran biopharma executive Michael Kelliher as Executive Vice President, Corporate Development and Strategy.</w:t>
      </w:r>
    </w:p>
    <w:p>
      <w:pPr>
        <w:spacing w:after="0" w:line="54" w:lineRule="exact"/>
        <w:rPr>
          <w:sz w:val="20"/>
          <w:szCs w:val="20"/>
          <w:color w:val="auto"/>
        </w:rPr>
      </w:pPr>
    </w:p>
    <w:p>
      <w:pPr>
        <w:ind w:right="1400"/>
        <w:spacing w:after="0" w:line="282" w:lineRule="auto"/>
        <w:rPr>
          <w:sz w:val="20"/>
          <w:szCs w:val="20"/>
          <w:color w:val="auto"/>
        </w:rPr>
      </w:pPr>
      <w:r>
        <w:rPr>
          <w:rFonts w:ascii="Times New Roman" w:cs="Times New Roman" w:eastAsia="Times New Roman" w:hAnsi="Times New Roman"/>
          <w:sz w:val="18"/>
          <w:szCs w:val="18"/>
          <w:color w:val="auto"/>
        </w:rPr>
        <w:t>In August 2024, the Company announced the appointment of experienced biopharma executive, Eric Foster, as Chief Commercial Officer.</w:t>
      </w:r>
    </w:p>
    <w:p>
      <w:pPr>
        <w:spacing w:after="0" w:line="187" w:lineRule="exact"/>
        <w:rPr>
          <w:sz w:val="20"/>
          <w:szCs w:val="20"/>
          <w:color w:val="auto"/>
        </w:rPr>
      </w:pPr>
    </w:p>
    <w:p>
      <w:pPr>
        <w:sectPr>
          <w:pgSz w:w="11900" w:h="16838" w:orient="portrait"/>
          <w:cols w:equalWidth="0" w:num="2">
            <w:col w:w="2080" w:space="280"/>
            <w:col w:w="8660"/>
          </w:cols>
          <w:pgMar w:left="440" w:top="114" w:right="4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i w:val="1"/>
          <w:iCs w:val="1"/>
          <w:color w:val="auto"/>
        </w:rPr>
        <w:t>2024 Compensation Actions</w:t>
      </w:r>
    </w:p>
    <w:p>
      <w:pPr>
        <w:spacing w:after="0" w:line="119" w:lineRule="exact"/>
        <w:rPr>
          <w:sz w:val="20"/>
          <w:szCs w:val="20"/>
          <w:color w:val="auto"/>
        </w:rPr>
      </w:pPr>
    </w:p>
    <w:p>
      <w:pPr>
        <w:ind w:left="1300" w:right="1360"/>
        <w:spacing w:after="0" w:line="261" w:lineRule="auto"/>
        <w:rPr>
          <w:sz w:val="20"/>
          <w:szCs w:val="20"/>
          <w:color w:val="auto"/>
        </w:rPr>
      </w:pPr>
      <w:r>
        <w:rPr>
          <w:rFonts w:ascii="Times New Roman" w:cs="Times New Roman" w:eastAsia="Times New Roman" w:hAnsi="Times New Roman"/>
          <w:sz w:val="18"/>
          <w:szCs w:val="18"/>
          <w:color w:val="auto"/>
        </w:rPr>
        <w:t>Our Compensation Committee (the “Committee” for purpose of this Compensation Discussion and Analysis section), or in the case of our CEO compensation, our full board of directors, took several actions related to our NEOs’ 2024 compensation. These actions were informed by our compensation philosophy and objectives, and other factors as detailed in the “Compensation Philosophy and Process” section.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20" w:type="dxa"/>
            <w:vAlign w:val="bottom"/>
            <w:tcBorders>
              <w:right w:val="single" w:sz="8" w:color="auto"/>
            </w:tcBorders>
          </w:tcPr>
          <w:p>
            <w:pPr>
              <w:spacing w:after="0"/>
              <w:rPr>
                <w:sz w:val="24"/>
                <w:szCs w:val="24"/>
                <w:color w:val="auto"/>
              </w:rPr>
            </w:pPr>
          </w:p>
        </w:tc>
        <w:tc>
          <w:tcPr>
            <w:tcW w:w="18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Topic</w:t>
            </w:r>
          </w:p>
        </w:tc>
        <w:tc>
          <w:tcPr>
            <w:tcW w:w="652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Key Actions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Base Salaries</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Approved 2024 salaries for our NEOs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increase in base salary from 2023 averaged 9.5% for our NEOs (excluding</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 Kelliher who started in March 2024), reflecting (i) a merit increase component,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well as (ii) market adjustments to bring NEOs to within a competitive range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3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260" w:type="dxa"/>
            <w:vAlign w:val="bottom"/>
            <w:tcBorders>
              <w:right w:val="single" w:sz="8" w:color="auto"/>
            </w:tcBorders>
          </w:tcPr>
          <w:p>
            <w:pPr>
              <w:ind w:left="80"/>
              <w:spacing w:after="0" w:line="252" w:lineRule="exact"/>
              <w:rPr>
                <w:sz w:val="20"/>
                <w:szCs w:val="20"/>
                <w:color w:val="auto"/>
              </w:rPr>
            </w:pPr>
            <w:r>
              <w:rPr>
                <w:rFonts w:ascii="Times New Roman" w:cs="Times New Roman" w:eastAsia="Times New Roman" w:hAnsi="Times New Roman"/>
                <w:sz w:val="18"/>
                <w:szCs w:val="18"/>
                <w:color w:val="auto"/>
              </w:rPr>
              <w:t>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market compensation group recommended by Pearl Meyer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3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“Market Data”)</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Borders>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6260" w:type="dxa"/>
            <w:vAlign w:val="bottom"/>
            <w:tcBorders>
              <w:bottom w:val="single" w:sz="8" w:color="auto"/>
              <w:right w:val="single" w:sz="8" w:color="auto"/>
            </w:tcBorders>
          </w:tcPr>
          <w:p>
            <w:pPr>
              <w:ind w:left="80"/>
              <w:spacing w:after="0" w:line="284" w:lineRule="exact"/>
              <w:rPr>
                <w:sz w:val="20"/>
                <w:szCs w:val="20"/>
                <w:color w:val="auto"/>
              </w:rPr>
            </w:pPr>
            <w:r>
              <w:rPr>
                <w:rFonts w:ascii="Times New Roman" w:cs="Times New Roman" w:eastAsia="Times New Roman" w:hAnsi="Times New Roman"/>
                <w:sz w:val="18"/>
                <w:szCs w:val="18"/>
                <w:color w:val="auto"/>
              </w:rPr>
              <w:t>Set Mr. Kelliher’s salary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Market Data</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Cash Performance</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color w:val="auto"/>
              </w:rPr>
              <w:t>Approved target bonus levels for each NEO for 2024</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Established corporate goals for 2024 across a number of key areas, including</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 regulatory, scientific, operational, and people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Evaluated performance relative to these goals and approved a corporate goal</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Borders>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score of 92% for 2024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Established a 2024 long-term incentive program, comprised of grants of stock</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options and restricted stock units (RSUs), each with a four-year vesting schedule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Approved grants to our NEOs within the established program</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Set grant amounts based on an average of a targeted long-term incentive value and 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targeted long-term incentive award as a percentage of common shares outstanding</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Applied this same logic to Mr. Kelliher’s grant upon his hiring</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320" w:type="dxa"/>
            <w:vAlign w:val="bottom"/>
            <w:tcBorders>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6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type w:val="continuous"/>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Key Governance Attributes</w:t>
      </w:r>
    </w:p>
    <w:p>
      <w:pPr>
        <w:spacing w:after="0" w:line="119"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Our compensation program is supported by a number of key features, processes, and decisions that reflect good governance and best practice.</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42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420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0" w:type="dxa"/>
            <w:vAlign w:val="bottom"/>
          </w:tcPr>
          <w:p>
            <w:pPr>
              <w:spacing w:after="0"/>
              <w:rPr>
                <w:sz w:val="1"/>
                <w:szCs w:val="1"/>
                <w:color w:val="auto"/>
              </w:rPr>
            </w:pPr>
          </w:p>
        </w:tc>
      </w:tr>
      <w:tr>
        <w:trPr>
          <w:trHeight w:val="2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20" w:type="dxa"/>
            <w:vAlign w:val="bottom"/>
            <w:tcBorders>
              <w:left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Evaluate compensation against a set of</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guarantees for increases to annual</w:t>
            </w:r>
          </w:p>
        </w:tc>
        <w:tc>
          <w:tcPr>
            <w:tcW w:w="0" w:type="dxa"/>
            <w:vAlign w:val="bottom"/>
          </w:tcPr>
          <w:p>
            <w:pPr>
              <w:spacing w:after="0"/>
              <w:rPr>
                <w:sz w:val="1"/>
                <w:szCs w:val="1"/>
                <w:color w:val="auto"/>
              </w:rPr>
            </w:pPr>
          </w:p>
        </w:tc>
      </w:tr>
      <w:tr>
        <w:trPr>
          <w:trHeight w:val="180"/>
        </w:trPr>
        <w:tc>
          <w:tcPr>
            <w:tcW w:w="4220" w:type="dxa"/>
            <w:vAlign w:val="bottom"/>
            <w:tcBorders>
              <w:left w:val="single" w:sz="8" w:color="auto"/>
              <w:right w:val="single" w:sz="8" w:color="auto"/>
            </w:tcBorders>
          </w:tcPr>
          <w:p>
            <w:pPr>
              <w:ind w:left="620"/>
              <w:spacing w:after="0" w:line="181" w:lineRule="exact"/>
              <w:rPr>
                <w:sz w:val="20"/>
                <w:szCs w:val="20"/>
                <w:color w:val="auto"/>
              </w:rPr>
            </w:pPr>
            <w:r>
              <w:rPr>
                <w:rFonts w:ascii="Times New Roman" w:cs="Times New Roman" w:eastAsia="Times New Roman" w:hAnsi="Times New Roman"/>
                <w:sz w:val="18"/>
                <w:szCs w:val="18"/>
                <w:color w:val="auto"/>
              </w:rPr>
              <w:t>comparable companies</w:t>
            </w:r>
          </w:p>
        </w:tc>
        <w:tc>
          <w:tcPr>
            <w:tcW w:w="200" w:type="dxa"/>
            <w:vAlign w:val="bottom"/>
          </w:tcPr>
          <w:p>
            <w:pPr>
              <w:spacing w:after="0"/>
              <w:rPr>
                <w:sz w:val="15"/>
                <w:szCs w:val="15"/>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6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compensation</w:t>
            </w:r>
          </w:p>
        </w:tc>
        <w:tc>
          <w:tcPr>
            <w:tcW w:w="0" w:type="dxa"/>
            <w:vAlign w:val="bottom"/>
          </w:tcPr>
          <w:p>
            <w:pPr>
              <w:spacing w:after="0"/>
              <w:rPr>
                <w:sz w:val="1"/>
                <w:szCs w:val="1"/>
                <w:color w:val="auto"/>
              </w:rPr>
            </w:pPr>
          </w:p>
        </w:tc>
      </w:tr>
      <w:tr>
        <w:trPr>
          <w:trHeight w:val="252"/>
        </w:trPr>
        <w:tc>
          <w:tcPr>
            <w:tcW w:w="4220" w:type="dxa"/>
            <w:vAlign w:val="bottom"/>
            <w:tcBorders>
              <w:left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Target our compensation opportunities within</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vMerge w:val="continue"/>
          </w:tcPr>
          <w:p>
            <w:pPr>
              <w:spacing w:after="0"/>
              <w:rPr>
                <w:sz w:val="21"/>
                <w:szCs w:val="21"/>
                <w:color w:val="auto"/>
              </w:rPr>
            </w:pP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single trigger vesting of equity in connection</w:t>
            </w:r>
          </w:p>
        </w:tc>
        <w:tc>
          <w:tcPr>
            <w:tcW w:w="0" w:type="dxa"/>
            <w:vAlign w:val="bottom"/>
          </w:tcPr>
          <w:p>
            <w:pPr>
              <w:spacing w:after="0"/>
              <w:rPr>
                <w:sz w:val="1"/>
                <w:szCs w:val="1"/>
                <w:color w:val="auto"/>
              </w:rPr>
            </w:pPr>
          </w:p>
        </w:tc>
      </w:tr>
      <w:tr>
        <w:trPr>
          <w:trHeight w:val="221"/>
        </w:trPr>
        <w:tc>
          <w:tcPr>
            <w:tcW w:w="4220" w:type="dxa"/>
            <w:vAlign w:val="bottom"/>
            <w:tcBorders>
              <w:left w:val="single" w:sz="8" w:color="auto"/>
              <w:right w:val="single" w:sz="8" w:color="auto"/>
            </w:tcBorders>
          </w:tcPr>
          <w:p>
            <w:pPr>
              <w:ind w:left="620"/>
              <w:spacing w:after="0" w:line="221" w:lineRule="exact"/>
              <w:rPr>
                <w:sz w:val="20"/>
                <w:szCs w:val="20"/>
                <w:color w:val="auto"/>
              </w:rPr>
            </w:pPr>
            <w:r>
              <w:rPr>
                <w:rFonts w:ascii="Times New Roman" w:cs="Times New Roman" w:eastAsia="Times New Roman" w:hAnsi="Times New Roman"/>
                <w:sz w:val="16"/>
                <w:szCs w:val="16"/>
                <w:color w:val="auto"/>
              </w:rPr>
              <w:t>established market ranges, typically the 50</w:t>
            </w:r>
            <w:r>
              <w:rPr>
                <w:rFonts w:ascii="Times New Roman" w:cs="Times New Roman" w:eastAsia="Times New Roman" w:hAnsi="Times New Roman"/>
                <w:sz w:val="25"/>
                <w:szCs w:val="25"/>
                <w:color w:val="auto"/>
                <w:vertAlign w:val="superscript"/>
              </w:rPr>
              <w:t>th</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 a change in control unless equity awards</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percentile with flexibility to adjust as business</w:t>
            </w:r>
          </w:p>
        </w:tc>
        <w:tc>
          <w:tcPr>
            <w:tcW w:w="200" w:type="dxa"/>
            <w:vAlign w:val="bottom"/>
          </w:tcPr>
          <w:p>
            <w:pPr>
              <w:spacing w:after="0"/>
              <w:rPr>
                <w:sz w:val="18"/>
                <w:szCs w:val="18"/>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are not assumed</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needs dictate</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vMerge w:val="continue"/>
          </w:tcPr>
          <w:p>
            <w:pPr>
              <w:spacing w:after="0"/>
              <w:rPr>
                <w:sz w:val="18"/>
                <w:szCs w:val="18"/>
                <w:color w:val="auto"/>
              </w:rPr>
            </w:pP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excessive perquisites or executive benefits</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multiple incentive plan metrics covering</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hedging or pledging of company stock</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key financial, scientific, operational, strategic,</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repricing of outstanding equity awards</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and people goals</w:t>
            </w:r>
          </w:p>
        </w:tc>
        <w:tc>
          <w:tcPr>
            <w:tcW w:w="200" w:type="dxa"/>
            <w:vAlign w:val="bottom"/>
          </w:tcPr>
          <w:p>
            <w:pPr>
              <w:spacing w:after="0"/>
              <w:rPr>
                <w:sz w:val="18"/>
                <w:szCs w:val="18"/>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without stockholder approval</w:t>
            </w:r>
          </w:p>
        </w:tc>
        <w:tc>
          <w:tcPr>
            <w:tcW w:w="0" w:type="dxa"/>
            <w:vAlign w:val="bottom"/>
          </w:tcPr>
          <w:p>
            <w:pPr>
              <w:spacing w:after="0"/>
              <w:rPr>
                <w:sz w:val="1"/>
                <w:szCs w:val="1"/>
                <w:color w:val="auto"/>
              </w:rPr>
            </w:pPr>
          </w:p>
        </w:tc>
      </w:tr>
      <w:tr>
        <w:trPr>
          <w:trHeight w:val="252"/>
        </w:trPr>
        <w:tc>
          <w:tcPr>
            <w:tcW w:w="4220" w:type="dxa"/>
            <w:vAlign w:val="bottom"/>
            <w:tcBorders>
              <w:left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Utilize both short- and long-term incentives to</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vMerge w:val="continue"/>
          </w:tcPr>
          <w:p>
            <w:pPr>
              <w:spacing w:after="0"/>
              <w:rPr>
                <w:sz w:val="21"/>
                <w:szCs w:val="21"/>
                <w:color w:val="auto"/>
              </w:rPr>
            </w:pP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excise tax gross ups</w:t>
            </w:r>
          </w:p>
        </w:tc>
        <w:tc>
          <w:tcPr>
            <w:tcW w:w="0" w:type="dxa"/>
            <w:vAlign w:val="bottom"/>
          </w:tcPr>
          <w:p>
            <w:pPr>
              <w:spacing w:after="0"/>
              <w:rPr>
                <w:sz w:val="1"/>
                <w:szCs w:val="1"/>
                <w:color w:val="auto"/>
              </w:rPr>
            </w:pPr>
          </w:p>
        </w:tc>
      </w:tr>
      <w:tr>
        <w:trPr>
          <w:trHeight w:val="180"/>
        </w:trPr>
        <w:tc>
          <w:tcPr>
            <w:tcW w:w="4220" w:type="dxa"/>
            <w:vAlign w:val="bottom"/>
            <w:tcBorders>
              <w:left w:val="single" w:sz="8" w:color="auto"/>
              <w:right w:val="single" w:sz="8" w:color="auto"/>
            </w:tcBorders>
          </w:tcPr>
          <w:p>
            <w:pPr>
              <w:ind w:left="620"/>
              <w:spacing w:after="0" w:line="181" w:lineRule="exact"/>
              <w:rPr>
                <w:sz w:val="20"/>
                <w:szCs w:val="20"/>
                <w:color w:val="auto"/>
              </w:rPr>
            </w:pPr>
            <w:r>
              <w:rPr>
                <w:rFonts w:ascii="Times New Roman" w:cs="Times New Roman" w:eastAsia="Times New Roman" w:hAnsi="Times New Roman"/>
                <w:sz w:val="18"/>
                <w:szCs w:val="18"/>
                <w:color w:val="auto"/>
              </w:rPr>
              <w:t>balance risk and reward</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220" w:type="dxa"/>
            <w:vAlign w:val="bottom"/>
            <w:tcBorders>
              <w:left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Allow the Committee full negative discretion to</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220" w:type="dxa"/>
            <w:vAlign w:val="bottom"/>
            <w:tcBorders>
              <w:left w:val="single" w:sz="8" w:color="auto"/>
              <w:right w:val="single" w:sz="8" w:color="auto"/>
            </w:tcBorders>
          </w:tcPr>
          <w:p>
            <w:pPr>
              <w:ind w:left="620"/>
              <w:spacing w:after="0" w:line="181" w:lineRule="exact"/>
              <w:rPr>
                <w:sz w:val="20"/>
                <w:szCs w:val="20"/>
                <w:color w:val="auto"/>
              </w:rPr>
            </w:pPr>
            <w:r>
              <w:rPr>
                <w:rFonts w:ascii="Times New Roman" w:cs="Times New Roman" w:eastAsia="Times New Roman" w:hAnsi="Times New Roman"/>
                <w:sz w:val="18"/>
                <w:szCs w:val="18"/>
                <w:color w:val="auto"/>
              </w:rPr>
              <w:t>reduce incentives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compensation recoupment policy</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220" w:type="dxa"/>
            <w:vAlign w:val="bottom"/>
            <w:tcBorders>
              <w:left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Engage an independent consultant to advise our</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220" w:type="dxa"/>
            <w:vAlign w:val="bottom"/>
            <w:tcBorders>
              <w:left w:val="single" w:sz="8" w:color="auto"/>
              <w:right w:val="single" w:sz="8" w:color="auto"/>
            </w:tcBorders>
          </w:tcPr>
          <w:p>
            <w:pPr>
              <w:ind w:left="620"/>
              <w:spacing w:after="0" w:line="181" w:lineRule="exact"/>
              <w:rPr>
                <w:sz w:val="20"/>
                <w:szCs w:val="20"/>
                <w:color w:val="auto"/>
              </w:rPr>
            </w:pPr>
            <w:r>
              <w:rPr>
                <w:rFonts w:ascii="Times New Roman" w:cs="Times New Roman" w:eastAsia="Times New Roman" w:hAnsi="Times New Roman"/>
                <w:sz w:val="18"/>
                <w:szCs w:val="18"/>
                <w:color w:val="auto"/>
              </w:rPr>
              <w:t>Committee</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4220" w:type="dxa"/>
            <w:vAlign w:val="bottom"/>
            <w:tcBorders>
              <w:left w:val="single" w:sz="8" w:color="auto"/>
              <w:bottom w:val="single" w:sz="8" w:color="auto"/>
              <w:right w:val="single" w:sz="8" w:color="auto"/>
            </w:tcBorders>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Assess the risk of our compensation program</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Process</w:t>
      </w:r>
    </w:p>
    <w:p>
      <w:pPr>
        <w:spacing w:after="0" w:line="121"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This section covers our key beliefs and objectives regarding the 2024 compensation program, and the process we undertake to evaluate compensation and make decisions.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11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support our overarching mission as a company; to discover, develop and commercialize innovative, first-in-class medicines that meet significant unmet medical needs. To achieve our mission, it is critical that our compensation program is structured to:</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individuals who can contribute meaningfully to our mission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individuals to achieve our business objectives that support our mission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 performance across a number of metrics to drive holistic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NEOs and shareholders to create value over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compensation philosophy allows for flexibility in establishing compensation levels and pay mix for NEOs. This flexibility is important to ensure our executive compensation program is competitive and that our compensation decisions appropriately reflect the contributions and profile of each of our NEOs. For all NEOs, the mix of target compensation elements is heavily weighted toward variable compensation, including our cash incentive and long-term incentive plans, that are based on a variety of strategic, financial, and operational goals, as well as the Company’s stock price performance. The CEO’s target compensation places a greater emphasis on variable compensation than that of the other NEOs because our CEO’s actions have a greater influence on the performance of the Company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158750</wp:posOffset>
            </wp:positionV>
            <wp:extent cx="4843145" cy="2280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4314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As a growth-oriented biopharmaceutical company in a rapidly changing industry, our evaluation of performance cannot always be captured though pre-established objectives. We therefore allow for an appropriate amount of informed judgement in arriving at compensation outcomes for NEOs as well as other employees in our Company. This informed judgement can be negative or positive, and is generally limited to the overall scoring of our corporate objectives at year end. The three-year history of bonus funding levels demonstrates the Committee’s rigor in determining corporate bonus ratings has been appropriate.</w:t>
      </w:r>
    </w:p>
    <w:p>
      <w:pPr>
        <w:spacing w:after="0" w:line="118"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26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gridSpan w:val="6"/>
          </w:tcPr>
          <w:p>
            <w:pPr>
              <w:ind w:left="2080"/>
              <w:spacing w:after="0"/>
              <w:rPr>
                <w:sz w:val="20"/>
                <w:szCs w:val="20"/>
                <w:color w:val="auto"/>
              </w:rPr>
            </w:pPr>
            <w:r>
              <w:rPr>
                <w:rFonts w:ascii="Times New Roman" w:cs="Times New Roman" w:eastAsia="Times New Roman" w:hAnsi="Times New Roman"/>
                <w:sz w:val="14"/>
                <w:szCs w:val="14"/>
                <w:b w:val="1"/>
                <w:bCs w:val="1"/>
                <w:color w:val="auto"/>
              </w:rPr>
              <w:t>Three Year Corporate Bonus Funding History (% of Target)</w:t>
            </w:r>
          </w:p>
        </w:tc>
      </w:tr>
      <w:tr>
        <w:trPr>
          <w:trHeight w:val="23"/>
        </w:trPr>
        <w:tc>
          <w:tcPr>
            <w:tcW w:w="260" w:type="dxa"/>
            <w:vAlign w:val="bottom"/>
            <w:tcBorders>
              <w:left w:val="single" w:sz="8" w:color="auto"/>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2540" w:type="dxa"/>
            <w:vAlign w:val="bottom"/>
            <w:tcBorders>
              <w:right w:val="single" w:sz="8" w:color="auto"/>
            </w:tcBorders>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6"/>
                <w:szCs w:val="16"/>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right"/>
              <w:ind w:right="12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60" w:type="dxa"/>
            <w:vAlign w:val="bottom"/>
            <w:tcBorders>
              <w:left w:val="single" w:sz="8" w:color="auto"/>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82"/>
        </w:trPr>
        <w:tc>
          <w:tcPr>
            <w:tcW w:w="260" w:type="dxa"/>
            <w:vAlign w:val="bottom"/>
            <w:tcBorders>
              <w:left w:val="single" w:sz="8" w:color="auto"/>
              <w:bottom w:val="single" w:sz="8" w:color="CCEEFF"/>
            </w:tcBorders>
            <w:shd w:val="clear" w:color="auto" w:fill="CCEEFF"/>
          </w:tcPr>
          <w:p>
            <w:pPr>
              <w:spacing w:after="0"/>
              <w:rPr>
                <w:sz w:val="24"/>
                <w:szCs w:val="24"/>
                <w:color w:val="auto"/>
              </w:rPr>
            </w:pPr>
          </w:p>
        </w:tc>
        <w:tc>
          <w:tcPr>
            <w:tcW w:w="2540" w:type="dxa"/>
            <w:vAlign w:val="bottom"/>
            <w:tcBorders>
              <w:bottom w:val="single" w:sz="8" w:color="CCEEFF"/>
              <w:right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tcBorders>
              <w:bottom w:val="single" w:sz="8" w:color="CCEEFF"/>
              <w:right w:val="single" w:sz="8" w:color="auto"/>
            </w:tcBorders>
            <w:shd w:val="clear" w:color="auto" w:fill="CCEEFF"/>
          </w:tcPr>
          <w:p>
            <w:pPr>
              <w:spacing w:after="0"/>
              <w:rPr>
                <w:sz w:val="24"/>
                <w:szCs w:val="24"/>
                <w:color w:val="auto"/>
              </w:rPr>
            </w:pPr>
          </w:p>
        </w:tc>
        <w:tc>
          <w:tcPr>
            <w:tcW w:w="2820" w:type="dxa"/>
            <w:vAlign w:val="bottom"/>
            <w:tcBorders>
              <w:bottom w:val="single" w:sz="8" w:color="CCEEFF"/>
              <w:right w:val="single" w:sz="8" w:color="auto"/>
            </w:tcBorders>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color w:val="auto"/>
              </w:rPr>
              <w:t>92%</w:t>
            </w:r>
          </w:p>
        </w:tc>
      </w:tr>
      <w:tr>
        <w:trPr>
          <w:trHeight w:val="318"/>
        </w:trPr>
        <w:tc>
          <w:tcPr>
            <w:tcW w:w="84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The Committee considers the following factors when determining compensation for our NEOs:</w:t>
            </w:r>
          </w:p>
        </w:tc>
      </w:tr>
      <w:tr>
        <w:trPr>
          <w:trHeight w:val="148"/>
        </w:trPr>
        <w:tc>
          <w:tcPr>
            <w:tcW w:w="2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r>
      <w:tr>
        <w:trPr>
          <w:trHeight w:val="267"/>
        </w:trPr>
        <w:tc>
          <w:tcPr>
            <w:tcW w:w="260" w:type="dxa"/>
            <w:vAlign w:val="bottom"/>
            <w:tcBorders>
              <w:left w:val="single" w:sz="8" w:color="auto"/>
            </w:tcBorders>
          </w:tcPr>
          <w:p>
            <w:pPr>
              <w:spacing w:after="0"/>
              <w:rPr>
                <w:sz w:val="23"/>
                <w:szCs w:val="23"/>
                <w:color w:val="auto"/>
              </w:rPr>
            </w:pPr>
          </w:p>
        </w:tc>
        <w:tc>
          <w:tcPr>
            <w:tcW w:w="330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Internal Factors</w:t>
            </w:r>
          </w:p>
        </w:tc>
        <w:tc>
          <w:tcPr>
            <w:tcW w:w="6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Borders>
              <w:right w:val="single" w:sz="8" w:color="auto"/>
            </w:tcBorders>
          </w:tcPr>
          <w:p>
            <w:pPr>
              <w:jc w:val="right"/>
              <w:ind w:right="1502"/>
              <w:spacing w:after="0"/>
              <w:rPr>
                <w:sz w:val="20"/>
                <w:szCs w:val="20"/>
                <w:color w:val="auto"/>
              </w:rPr>
            </w:pPr>
            <w:r>
              <w:rPr>
                <w:rFonts w:ascii="Times New Roman" w:cs="Times New Roman" w:eastAsia="Times New Roman" w:hAnsi="Times New Roman"/>
                <w:sz w:val="14"/>
                <w:szCs w:val="14"/>
                <w:b w:val="1"/>
                <w:bCs w:val="1"/>
                <w:color w:val="auto"/>
              </w:rPr>
              <w:t>External Factors</w:t>
            </w:r>
          </w:p>
        </w:tc>
      </w:tr>
      <w:tr>
        <w:trPr>
          <w:trHeight w:val="23"/>
        </w:trPr>
        <w:tc>
          <w:tcPr>
            <w:tcW w:w="260" w:type="dxa"/>
            <w:vAlign w:val="bottom"/>
            <w:tcBorders>
              <w:left w:val="single" w:sz="8" w:color="auto"/>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compensation levels</w:t>
            </w:r>
          </w:p>
        </w:tc>
        <w:tc>
          <w:tcPr>
            <w:tcW w:w="660" w:type="dxa"/>
            <w:vAlign w:val="bottom"/>
            <w:tcBorders>
              <w:right w:val="single" w:sz="8" w:color="auto"/>
            </w:tcBorders>
          </w:tcPr>
          <w:p>
            <w:pPr>
              <w:spacing w:after="0"/>
              <w:rPr>
                <w:sz w:val="20"/>
                <w:szCs w:val="20"/>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Current market conditions</w:t>
            </w:r>
          </w:p>
        </w:tc>
      </w:tr>
      <w:tr>
        <w:trPr>
          <w:trHeight w:val="297"/>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 performance</w:t>
            </w:r>
          </w:p>
        </w:tc>
        <w:tc>
          <w:tcPr>
            <w:tcW w:w="660" w:type="dxa"/>
            <w:vAlign w:val="bottom"/>
            <w:tcBorders>
              <w:right w:val="single" w:sz="8" w:color="auto"/>
            </w:tcBorders>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Current business conditions</w:t>
            </w:r>
          </w:p>
        </w:tc>
      </w:tr>
      <w:tr>
        <w:trPr>
          <w:trHeight w:val="297"/>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Individual performance</w:t>
            </w:r>
          </w:p>
        </w:tc>
        <w:tc>
          <w:tcPr>
            <w:tcW w:w="660" w:type="dxa"/>
            <w:vAlign w:val="bottom"/>
            <w:tcBorders>
              <w:right w:val="single" w:sz="8" w:color="auto"/>
            </w:tcBorders>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Labor market supply and demand</w:t>
            </w:r>
          </w:p>
        </w:tc>
      </w:tr>
      <w:tr>
        <w:trPr>
          <w:trHeight w:val="297"/>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Scope and criticality of NEO’s role</w:t>
            </w:r>
          </w:p>
        </w:tc>
        <w:tc>
          <w:tcPr>
            <w:tcW w:w="660" w:type="dxa"/>
            <w:vAlign w:val="bottom"/>
            <w:tcBorders>
              <w:right w:val="single" w:sz="8" w:color="auto"/>
            </w:tcBorders>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Compensation trends</w:t>
            </w:r>
          </w:p>
        </w:tc>
      </w:tr>
      <w:tr>
        <w:trPr>
          <w:trHeight w:val="297"/>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Outstanding equity value</w:t>
            </w:r>
          </w:p>
        </w:tc>
        <w:tc>
          <w:tcPr>
            <w:tcW w:w="660" w:type="dxa"/>
            <w:vAlign w:val="bottom"/>
            <w:tcBorders>
              <w:right w:val="single" w:sz="8" w:color="auto"/>
            </w:tcBorders>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Compensation levels at peer group</w:t>
            </w:r>
          </w:p>
        </w:tc>
      </w:tr>
      <w:tr>
        <w:trPr>
          <w:trHeight w:val="297"/>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Relative compensation to other NEOs</w:t>
            </w:r>
          </w:p>
        </w:tc>
        <w:tc>
          <w:tcPr>
            <w:tcW w:w="660" w:type="dxa"/>
            <w:vAlign w:val="bottom"/>
            <w:tcBorders>
              <w:right w:val="single" w:sz="8" w:color="auto"/>
            </w:tcBorders>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Results of our “say-on-pay” vote</w:t>
            </w:r>
          </w:p>
        </w:tc>
      </w:tr>
      <w:tr>
        <w:trPr>
          <w:trHeight w:val="40"/>
        </w:trPr>
        <w:tc>
          <w:tcPr>
            <w:tcW w:w="260" w:type="dxa"/>
            <w:vAlign w:val="bottom"/>
            <w:tcBorders>
              <w:left w:val="single" w:sz="8" w:color="auto"/>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bl>
    <w:p>
      <w:pPr>
        <w:spacing w:after="0" w:line="90" w:lineRule="exact"/>
        <w:rPr>
          <w:sz w:val="20"/>
          <w:szCs w:val="20"/>
          <w:color w:val="auto"/>
        </w:rPr>
      </w:pPr>
    </w:p>
    <w:p>
      <w:pPr>
        <w:ind w:left="300" w:right="1139"/>
        <w:spacing w:after="0" w:line="282" w:lineRule="auto"/>
        <w:rPr>
          <w:sz w:val="20"/>
          <w:szCs w:val="20"/>
          <w:color w:val="auto"/>
        </w:rPr>
      </w:pPr>
      <w:r>
        <w:rPr>
          <w:rFonts w:ascii="Times New Roman" w:cs="Times New Roman" w:eastAsia="Times New Roman" w:hAnsi="Times New Roman"/>
          <w:sz w:val="18"/>
          <w:szCs w:val="18"/>
          <w:color w:val="auto"/>
        </w:rPr>
        <w:t>The weighting of these and other relevant factors is determined on an individual basis for each NEO after consideration of the relevant facts and circumstances.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Review of 2024 “Say-on-Pay” Vote</w:t>
      </w:r>
    </w:p>
    <w:p>
      <w:pPr>
        <w:spacing w:after="0" w:line="119" w:lineRule="exact"/>
        <w:rPr>
          <w:sz w:val="20"/>
          <w:szCs w:val="20"/>
          <w:color w:val="auto"/>
        </w:rPr>
      </w:pPr>
    </w:p>
    <w:p>
      <w:pPr>
        <w:jc w:val="both"/>
        <w:ind w:left="300" w:right="519"/>
        <w:spacing w:after="0" w:line="266" w:lineRule="auto"/>
        <w:rPr>
          <w:sz w:val="20"/>
          <w:szCs w:val="20"/>
          <w:color w:val="auto"/>
        </w:rPr>
      </w:pPr>
      <w:r>
        <w:rPr>
          <w:rFonts w:ascii="Times New Roman" w:cs="Times New Roman" w:eastAsia="Times New Roman" w:hAnsi="Times New Roman"/>
          <w:sz w:val="18"/>
          <w:szCs w:val="18"/>
          <w:color w:val="auto"/>
        </w:rPr>
        <w:t>We currently hold an advisory vote of our NEO compensation each year. We carefully consider the results of this vote from the preceding year. At our 2024 Annual Meeting of Stockholders, approximately 94% of the votes were cast in favor of the compensation of our NEOs, as disclosed in our 2024 Proxy Statement. The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300" w:right="1360"/>
        <w:spacing w:after="0" w:line="266" w:lineRule="auto"/>
        <w:rPr>
          <w:sz w:val="20"/>
          <w:szCs w:val="20"/>
          <w:color w:val="auto"/>
        </w:rPr>
      </w:pPr>
      <w:r>
        <w:rPr>
          <w:rFonts w:ascii="Times New Roman" w:cs="Times New Roman" w:eastAsia="Times New Roman" w:hAnsi="Times New Roman"/>
          <w:sz w:val="18"/>
          <w:szCs w:val="18"/>
          <w:color w:val="auto"/>
        </w:rPr>
        <w:t>considered the results of the 2024 stockholder advisory vote on executive compensation when determining our 2025 executive compensation and will continue to consider our say-on-pay results, as well as feedback we receive throughout the year when making decisions about our executive compensation program.</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Compensation Process</w:t>
      </w:r>
    </w:p>
    <w:p>
      <w:pPr>
        <w:spacing w:after="0" w:line="119" w:lineRule="exact"/>
        <w:rPr>
          <w:sz w:val="20"/>
          <w:szCs w:val="20"/>
          <w:color w:val="auto"/>
        </w:rPr>
      </w:pPr>
    </w:p>
    <w:p>
      <w:pPr>
        <w:ind w:left="1300" w:right="1320"/>
        <w:spacing w:after="0" w:line="266" w:lineRule="auto"/>
        <w:rPr>
          <w:sz w:val="20"/>
          <w:szCs w:val="20"/>
          <w:color w:val="auto"/>
        </w:rPr>
      </w:pPr>
      <w:r>
        <w:rPr>
          <w:rFonts w:ascii="Times New Roman" w:cs="Times New Roman" w:eastAsia="Times New Roman" w:hAnsi="Times New Roman"/>
          <w:sz w:val="18"/>
          <w:szCs w:val="18"/>
          <w:color w:val="auto"/>
        </w:rPr>
        <w:t>Each year, the Committee undergoes a comprehensive process to review, evaluate, and make decisions regarding our compensation program. To support these efforts, the Committee engages with Pearl Meyer, its independent compensation consultant, as well as management.</w:t>
      </w:r>
    </w:p>
    <w:p>
      <w:pPr>
        <w:spacing w:after="0" w:line="64" w:lineRule="exact"/>
        <w:rPr>
          <w:sz w:val="20"/>
          <w:szCs w:val="20"/>
          <w:color w:val="auto"/>
        </w:rPr>
      </w:pPr>
    </w:p>
    <w:p>
      <w:pPr>
        <w:ind w:left="2000" w:right="1320" w:hanging="348"/>
        <w:spacing w:after="0" w:line="257" w:lineRule="auto"/>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Role of the Committee</w:t>
      </w:r>
      <w:r>
        <w:rPr>
          <w:rFonts w:ascii="Times New Roman" w:cs="Times New Roman" w:eastAsia="Times New Roman" w:hAnsi="Times New Roman"/>
          <w:sz w:val="18"/>
          <w:szCs w:val="18"/>
          <w:color w:val="auto"/>
        </w:rPr>
        <w:t>. Our Committee, appointed by our board of directors,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establishing, implementing and monitoring our compensation philosophy and objectives, overseeing and approving the compensation elements and targets for each of our NEOs, making determinations concerning our incentive programs, administering our Company’s stock-based compensation plans, and approving the benefits offered to NEOs. Compensation decisions for the CEO are subject to review and approval by the full board of directors.</w:t>
      </w:r>
    </w:p>
    <w:p>
      <w:pPr>
        <w:spacing w:after="0" w:line="74" w:lineRule="exact"/>
        <w:rPr>
          <w:rFonts w:ascii="Times New Roman" w:cs="Times New Roman" w:eastAsia="Times New Roman" w:hAnsi="Times New Roman"/>
          <w:sz w:val="18"/>
          <w:szCs w:val="18"/>
          <w:color w:val="auto"/>
        </w:rPr>
      </w:pPr>
    </w:p>
    <w:p>
      <w:pPr>
        <w:ind w:left="2000" w:right="1320" w:hanging="348"/>
        <w:spacing w:after="0" w:line="272" w:lineRule="auto"/>
        <w:tabs>
          <w:tab w:leader="none" w:pos="2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The Role of Management</w:t>
      </w:r>
      <w:r>
        <w:rPr>
          <w:rFonts w:ascii="Times New Roman" w:cs="Times New Roman" w:eastAsia="Times New Roman" w:hAnsi="Times New Roman"/>
          <w:sz w:val="17"/>
          <w:szCs w:val="17"/>
          <w:color w:val="auto"/>
        </w:rPr>
        <w:t>. Our CEO annually reviews each NEO’s performance (excluding himself),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recommends salary adjustments and incentive awards with the Committee. Our Chief Legal and Administrative Officer provides data and participates in Committee meetings to provide context and perspective on appropriate matters. Collectively, our CEO and Chief Legal and Administrative Officer also develop, with assistance from other executive officers, and propose corporate objectives for the purpose of our annual cash-based incentives, and may also assist in developing other compensation proposals as may come up from time to time. While our Committee utilizes this information, the ultimate decisions regarding fiscal 2024 executive compensation were made by our Committee and our board of directors.</w:t>
      </w:r>
    </w:p>
    <w:p>
      <w:pPr>
        <w:spacing w:after="0" w:line="63" w:lineRule="exact"/>
        <w:rPr>
          <w:rFonts w:ascii="Times New Roman" w:cs="Times New Roman" w:eastAsia="Times New Roman" w:hAnsi="Times New Roman"/>
          <w:sz w:val="17"/>
          <w:szCs w:val="17"/>
          <w:color w:val="auto"/>
        </w:rPr>
      </w:pPr>
    </w:p>
    <w:p>
      <w:pPr>
        <w:ind w:left="2000" w:right="1360" w:hanging="348"/>
        <w:spacing w:after="0" w:line="262" w:lineRule="auto"/>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Role of the Independent Consultant</w:t>
      </w:r>
      <w:r>
        <w:rPr>
          <w:rFonts w:ascii="Times New Roman" w:cs="Times New Roman" w:eastAsia="Times New Roman" w:hAnsi="Times New Roman"/>
          <w:sz w:val="18"/>
          <w:szCs w:val="18"/>
          <w:color w:val="auto"/>
        </w:rPr>
        <w:t>. Pearl Meyer serves as the Committee’s independent consultant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provides information and advice on executive and non-employee director compensation matters to the Committee. Pearl Meyer advises the Committee on all the principal aspects of executive compensation, and attends meetings of the Committee when requested.</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Use of Market Data</w:t>
      </w:r>
    </w:p>
    <w:p>
      <w:pPr>
        <w:spacing w:after="0" w:line="119" w:lineRule="exact"/>
        <w:rPr>
          <w:sz w:val="20"/>
          <w:szCs w:val="20"/>
          <w:color w:val="auto"/>
        </w:rPr>
      </w:pPr>
    </w:p>
    <w:p>
      <w:pPr>
        <w:ind w:left="1300" w:right="1500"/>
        <w:spacing w:after="0" w:line="261" w:lineRule="auto"/>
        <w:rPr>
          <w:sz w:val="20"/>
          <w:szCs w:val="20"/>
          <w:color w:val="auto"/>
        </w:rPr>
      </w:pPr>
      <w:r>
        <w:rPr>
          <w:rFonts w:ascii="Times New Roman" w:cs="Times New Roman" w:eastAsia="Times New Roman" w:hAnsi="Times New Roman"/>
          <w:sz w:val="18"/>
          <w:szCs w:val="18"/>
          <w:color w:val="auto"/>
        </w:rPr>
        <w:t>When making compensation decisions, our board of directors and compensation committee considered advice and Market Data provided by Pearl Meyer. Pearl Meyer recommended a market compensation group in 2023 that informed 2024 compensation program decisions. The recommended peer group reflected companies with the following characteristics, which were determined to be reflective of our Company’s profile at that time.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320" w:type="dxa"/>
            <w:vAlign w:val="bottom"/>
            <w:tcBorders>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Company Profile</w:t>
            </w: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based</w:t>
            </w:r>
          </w:p>
        </w:tc>
        <w:tc>
          <w:tcPr>
            <w:tcW w:w="1300" w:type="dxa"/>
            <w:vAlign w:val="bottom"/>
          </w:tcPr>
          <w:p>
            <w:pPr>
              <w:spacing w:after="0"/>
              <w:rPr>
                <w:sz w:val="24"/>
                <w:szCs w:val="24"/>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Traded on a major stock exchange</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Biotechnology or pharmaceutical company</w:t>
            </w:r>
          </w:p>
        </w:tc>
        <w:tc>
          <w:tcPr>
            <w:tcW w:w="1300" w:type="dxa"/>
            <w:vAlign w:val="bottom"/>
          </w:tcPr>
          <w:p>
            <w:pPr>
              <w:spacing w:after="0"/>
              <w:rPr>
                <w:sz w:val="18"/>
                <w:szCs w:val="18"/>
                <w:color w:val="auto"/>
              </w:rPr>
            </w:pPr>
          </w:p>
        </w:tc>
      </w:tr>
      <w:tr>
        <w:trPr>
          <w:trHeight w:val="241"/>
        </w:trPr>
        <w:tc>
          <w:tcPr>
            <w:tcW w:w="1320" w:type="dxa"/>
            <w:vAlign w:val="bottom"/>
            <w:tcBorders>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Commercial stage</w:t>
            </w:r>
          </w:p>
        </w:tc>
        <w:tc>
          <w:tcPr>
            <w:tcW w:w="1300" w:type="dxa"/>
            <w:vAlign w:val="bottom"/>
          </w:tcPr>
          <w:p>
            <w:pPr>
              <w:spacing w:after="0"/>
              <w:rPr>
                <w:sz w:val="20"/>
                <w:szCs w:val="20"/>
                <w:color w:val="auto"/>
              </w:rPr>
            </w:pPr>
          </w:p>
        </w:tc>
      </w:tr>
      <w:tr>
        <w:trPr>
          <w:trHeight w:val="211"/>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Size</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Market capitalization of $200 million to $2,500 million</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Revenues of $40 million to $400 million</w:t>
            </w:r>
          </w:p>
        </w:tc>
        <w:tc>
          <w:tcPr>
            <w:tcW w:w="1300" w:type="dxa"/>
            <w:vAlign w:val="bottom"/>
          </w:tcPr>
          <w:p>
            <w:pPr>
              <w:spacing w:after="0"/>
              <w:rPr>
                <w:sz w:val="18"/>
                <w:szCs w:val="18"/>
                <w:color w:val="auto"/>
              </w:rPr>
            </w:pPr>
          </w:p>
        </w:tc>
      </w:tr>
      <w:tr>
        <w:trPr>
          <w:trHeight w:val="241"/>
        </w:trPr>
        <w:tc>
          <w:tcPr>
            <w:tcW w:w="1320" w:type="dxa"/>
            <w:vAlign w:val="bottom"/>
            <w:tcBorders>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Full time employees of 40 to 500</w:t>
            </w:r>
          </w:p>
        </w:tc>
        <w:tc>
          <w:tcPr>
            <w:tcW w:w="1300" w:type="dxa"/>
            <w:vAlign w:val="bottom"/>
          </w:tcPr>
          <w:p>
            <w:pPr>
              <w:spacing w:after="0"/>
              <w:rPr>
                <w:sz w:val="20"/>
                <w:szCs w:val="20"/>
                <w:color w:val="auto"/>
              </w:rPr>
            </w:pPr>
          </w:p>
        </w:tc>
      </w:tr>
      <w:tr>
        <w:trPr>
          <w:trHeight w:val="211"/>
        </w:trPr>
        <w:tc>
          <w:tcPr>
            <w:tcW w:w="13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Preference for nephrology or gastroenterology indications</w:t>
            </w: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Preference for headquartered in California or Massachusetts</w:t>
            </w:r>
          </w:p>
        </w:tc>
        <w:tc>
          <w:tcPr>
            <w:tcW w:w="1300" w:type="dxa"/>
            <w:vAlign w:val="bottom"/>
          </w:tcPr>
          <w:p>
            <w:pPr>
              <w:spacing w:after="0"/>
              <w:rPr>
                <w:sz w:val="20"/>
                <w:szCs w:val="20"/>
                <w:color w:val="auto"/>
              </w:rPr>
            </w:pPr>
          </w:p>
        </w:tc>
      </w:tr>
      <w:tr>
        <w:trPr>
          <w:trHeight w:val="40"/>
        </w:trPr>
        <w:tc>
          <w:tcPr>
            <w:tcW w:w="1320" w:type="dxa"/>
            <w:vAlign w:val="bottom"/>
            <w:tcBorders>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6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425"/>
        </w:trPr>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tcPr>
          <w:p>
            <w:pPr>
              <w:spacing w:after="0"/>
              <w:rPr>
                <w:sz w:val="24"/>
                <w:szCs w:val="24"/>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Based on this criteria, Pearl Meyer recommended, and the Committee approved, the following 20 companies to serve as the peer group for setting 2024 compensation.</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0"/>
              </w:rPr>
              <w:t>   • </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Akebia</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Eagle Pharmaceuticals,</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Ironwood</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Rigel Pharmaceuticals,</w:t>
            </w:r>
          </w:p>
        </w:tc>
      </w:tr>
      <w:tr>
        <w:trPr>
          <w:trHeight w:val="216"/>
        </w:trPr>
        <w:tc>
          <w:tcPr>
            <w:tcW w:w="34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Therapeutics, Inc.</w:t>
            </w:r>
          </w:p>
        </w:tc>
        <w:tc>
          <w:tcPr>
            <w:tcW w:w="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8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 Inc.</w:t>
            </w:r>
          </w:p>
        </w:tc>
        <w:tc>
          <w:tcPr>
            <w:tcW w:w="28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Catalyst</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Enanta</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Karyopharm</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Travere Therapeutics,</w:t>
            </w:r>
          </w:p>
        </w:tc>
      </w:tr>
      <w:tr>
        <w:trPr>
          <w:trHeight w:val="216"/>
        </w:trPr>
        <w:tc>
          <w:tcPr>
            <w:tcW w:w="34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w:t>
            </w:r>
          </w:p>
        </w:tc>
        <w:tc>
          <w:tcPr>
            <w:tcW w:w="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 Inc.</w:t>
            </w:r>
          </w:p>
        </w:tc>
        <w:tc>
          <w:tcPr>
            <w:tcW w:w="28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Therapeutics Inc.</w:t>
            </w:r>
          </w:p>
        </w:tc>
        <w:tc>
          <w:tcPr>
            <w:tcW w:w="28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34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EyePoint</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MannKind Corporation</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Vericel Corporation</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Coherus</w:t>
            </w:r>
          </w:p>
        </w:tc>
        <w:tc>
          <w:tcPr>
            <w:tcW w:w="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 Inc.</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Mirum</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Xencor, Inc.</w:t>
            </w:r>
          </w:p>
        </w:tc>
      </w:tr>
      <w:tr>
        <w:trPr>
          <w:trHeight w:val="216"/>
        </w:trPr>
        <w:tc>
          <w:tcPr>
            <w:tcW w:w="34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BioSciences, Inc.</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Heron Therapeutics,</w:t>
            </w:r>
          </w:p>
        </w:tc>
        <w:tc>
          <w:tcPr>
            <w:tcW w:w="28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 Inc.</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Xeris Biopharma</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Collegium</w:t>
            </w:r>
          </w:p>
        </w:tc>
        <w:tc>
          <w:tcPr>
            <w:tcW w:w="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Ocular Therapeutix,</w:t>
            </w:r>
          </w:p>
        </w:tc>
        <w:tc>
          <w:tcPr>
            <w:tcW w:w="28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Holdings, Inc.</w:t>
            </w:r>
          </w:p>
        </w:tc>
      </w:tr>
      <w:tr>
        <w:trPr>
          <w:trHeight w:val="216"/>
        </w:trPr>
        <w:tc>
          <w:tcPr>
            <w:tcW w:w="34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 Inc.</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9"/>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Intercept</w:t>
            </w:r>
          </w:p>
        </w:tc>
        <w:tc>
          <w:tcPr>
            <w:tcW w:w="28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Deciphera</w:t>
            </w:r>
          </w:p>
        </w:tc>
        <w:tc>
          <w:tcPr>
            <w:tcW w:w="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 Inc.</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Pharmaceuticals,</w:t>
            </w: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4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In addition to the compensation peer group detailed above, Pearl Meyer also made use of compensation survey data in leveling our NEO compensation to the market. Like the compensation peer group, this survey data was customized to reflect companies that have a similar profile to our Company to ensure the comparisons were appropriate.</w:t>
      </w:r>
    </w:p>
    <w:p>
      <w:pPr>
        <w:spacing w:after="0" w:line="72" w:lineRule="exact"/>
        <w:rPr>
          <w:sz w:val="20"/>
          <w:szCs w:val="20"/>
          <w:color w:val="auto"/>
        </w:rPr>
      </w:pPr>
    </w:p>
    <w:p>
      <w:pPr>
        <w:ind w:left="300" w:right="1099"/>
        <w:spacing w:after="0" w:line="282" w:lineRule="auto"/>
        <w:rPr>
          <w:sz w:val="20"/>
          <w:szCs w:val="20"/>
          <w:color w:val="auto"/>
        </w:rPr>
      </w:pPr>
      <w:r>
        <w:rPr>
          <w:rFonts w:ascii="Times New Roman" w:cs="Times New Roman" w:eastAsia="Times New Roman" w:hAnsi="Times New Roman"/>
          <w:sz w:val="18"/>
          <w:szCs w:val="18"/>
          <w:color w:val="auto"/>
        </w:rPr>
        <w:t>The Committee generally references compensation paid by the peer group companies to similarly situated employees at the 50th percentile when evaluating the compensation levels of our NEOs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Program</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For fiscal year 2024, our executive compensation program consisted of the following elements, each established as part of our program in order to achieve the compensation objective specified below:</w:t>
      </w:r>
    </w:p>
    <w:p>
      <w:pPr>
        <w:spacing w:after="0" w:line="88"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4"/>
          <w:szCs w:val="14"/>
          <w:b w:val="1"/>
          <w:bCs w:val="1"/>
          <w:color w:val="auto"/>
        </w:rPr>
        <w:t>Compensation Element</w:t>
      </w:r>
      <w:r>
        <w:rPr>
          <w:sz w:val="20"/>
          <w:szCs w:val="20"/>
          <w:color w:val="auto"/>
        </w:rPr>
        <w:tab/>
      </w:r>
      <w:r>
        <w:rPr>
          <w:rFonts w:ascii="Times New Roman" w:cs="Times New Roman" w:eastAsia="Times New Roman" w:hAnsi="Times New Roman"/>
          <w:sz w:val="14"/>
          <w:szCs w:val="14"/>
          <w:b w:val="1"/>
          <w:bCs w:val="1"/>
          <w:color w:val="auto"/>
        </w:rPr>
        <w:t>Compensation Objectives Designed to be Achieved and 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67945</wp:posOffset>
            </wp:positionV>
            <wp:extent cx="5349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Base Salary</w:t>
      </w:r>
    </w:p>
    <w:p>
      <w:pPr>
        <w:spacing w:after="0" w:line="360" w:lineRule="exact"/>
        <w:rPr>
          <w:sz w:val="20"/>
          <w:szCs w:val="20"/>
          <w:color w:val="auto"/>
        </w:rPr>
      </w:pPr>
    </w:p>
    <w:p>
      <w:pPr>
        <w:ind w:left="300" w:right="680"/>
        <w:spacing w:after="0" w:line="312" w:lineRule="auto"/>
        <w:rPr>
          <w:sz w:val="20"/>
          <w:szCs w:val="20"/>
          <w:color w:val="auto"/>
        </w:rPr>
      </w:pPr>
      <w:r>
        <w:rPr>
          <w:rFonts w:ascii="Times New Roman" w:cs="Times New Roman" w:eastAsia="Times New Roman" w:hAnsi="Times New Roman"/>
          <w:sz w:val="17"/>
          <w:szCs w:val="17"/>
          <w:color w:val="auto"/>
        </w:rPr>
        <w:t>Cash-Based Incentive Compensation</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200" w:lineRule="exact"/>
        <w:rPr>
          <w:sz w:val="20"/>
          <w:szCs w:val="20"/>
          <w:color w:val="auto"/>
        </w:rPr>
      </w:pPr>
    </w:p>
    <w:p>
      <w:pPr>
        <w:spacing w:after="0" w:line="37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Severance and Other Benefits Potentially Payable upon Termination of Employment or Change in Control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Base salary attracts and retains talented executives, recognizes individual roles and responsibilities and provides stable income.</w:t>
      </w:r>
    </w:p>
    <w:p>
      <w:pPr>
        <w:spacing w:after="0" w:line="81" w:lineRule="exact"/>
        <w:rPr>
          <w:sz w:val="20"/>
          <w:szCs w:val="20"/>
          <w:color w:val="auto"/>
        </w:rPr>
      </w:pPr>
    </w:p>
    <w:p>
      <w:pPr>
        <w:ind w:right="959"/>
        <w:spacing w:after="0" w:line="282" w:lineRule="auto"/>
        <w:rPr>
          <w:sz w:val="20"/>
          <w:szCs w:val="20"/>
          <w:color w:val="auto"/>
        </w:rPr>
      </w:pPr>
      <w:r>
        <w:rPr>
          <w:rFonts w:ascii="Times New Roman" w:cs="Times New Roman" w:eastAsia="Times New Roman" w:hAnsi="Times New Roman"/>
          <w:sz w:val="18"/>
          <w:szCs w:val="18"/>
          <w:color w:val="auto"/>
        </w:rPr>
        <w:t>Directly ties pay to key corporate metrics, which we believe will lead to sustained value for all stakeholders over the long term.</w:t>
      </w:r>
    </w:p>
    <w:p>
      <w:pPr>
        <w:spacing w:after="0" w:line="81" w:lineRule="exact"/>
        <w:rPr>
          <w:sz w:val="20"/>
          <w:szCs w:val="20"/>
          <w:color w:val="auto"/>
        </w:rPr>
      </w:pPr>
    </w:p>
    <w:p>
      <w:pPr>
        <w:ind w:right="359"/>
        <w:spacing w:after="0" w:line="266" w:lineRule="auto"/>
        <w:rPr>
          <w:sz w:val="20"/>
          <w:szCs w:val="20"/>
          <w:color w:val="auto"/>
        </w:rPr>
      </w:pPr>
      <w:r>
        <w:rPr>
          <w:rFonts w:ascii="Times New Roman" w:cs="Times New Roman" w:eastAsia="Times New Roman" w:hAnsi="Times New Roman"/>
          <w:sz w:val="18"/>
          <w:szCs w:val="18"/>
          <w:color w:val="auto"/>
        </w:rPr>
        <w:t>Equity-based compensation, provided in the form of stock options and restricted stock units, reinforces the importance of a long-term, ownership orientation, creates alignment with our stockholders, and promotes retention.</w:t>
      </w:r>
    </w:p>
    <w:p>
      <w:pPr>
        <w:spacing w:after="0" w:line="95" w:lineRule="exact"/>
        <w:rPr>
          <w:sz w:val="20"/>
          <w:szCs w:val="20"/>
          <w:color w:val="auto"/>
        </w:rPr>
      </w:pPr>
    </w:p>
    <w:p>
      <w:pPr>
        <w:ind w:right="299"/>
        <w:spacing w:after="0" w:line="282" w:lineRule="auto"/>
        <w:rPr>
          <w:sz w:val="20"/>
          <w:szCs w:val="20"/>
          <w:color w:val="auto"/>
        </w:rPr>
      </w:pPr>
      <w:r>
        <w:rPr>
          <w:rFonts w:ascii="Times New Roman" w:cs="Times New Roman" w:eastAsia="Times New Roman" w:hAnsi="Times New Roman"/>
          <w:sz w:val="18"/>
          <w:szCs w:val="18"/>
          <w:color w:val="auto"/>
        </w:rPr>
        <w:t>Provides our executives security to focus on executing our strategies that support achieving our mission.</w:t>
      </w:r>
    </w:p>
    <w:p>
      <w:pPr>
        <w:spacing w:after="0" w:line="512" w:lineRule="exact"/>
        <w:rPr>
          <w:sz w:val="20"/>
          <w:szCs w:val="20"/>
          <w:color w:val="auto"/>
        </w:rPr>
      </w:pPr>
    </w:p>
    <w:p>
      <w:pPr>
        <w:sectPr>
          <w:pgSz w:w="11900" w:h="16838" w:orient="portrait"/>
          <w:cols w:equalWidth="0" w:num="2">
            <w:col w:w="2540" w:space="340"/>
            <w:col w:w="6139"/>
          </w:cols>
          <w:pgMar w:left="1440" w:top="114" w:right="1440" w:bottom="1440" w:gutter="0" w:footer="0" w:header="0"/>
          <w:type w:val="continuous"/>
        </w:sect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color w:val="auto"/>
        </w:rPr>
        <w:t>Retirement, Health and Welfare</w:t>
      </w:r>
      <w:r>
        <w:rPr>
          <w:sz w:val="20"/>
          <w:szCs w:val="20"/>
          <w:color w:val="auto"/>
        </w:rPr>
        <w:tab/>
      </w:r>
      <w:r>
        <w:rPr>
          <w:rFonts w:ascii="Times New Roman" w:cs="Times New Roman" w:eastAsia="Times New Roman" w:hAnsi="Times New Roman"/>
          <w:sz w:val="18"/>
          <w:szCs w:val="18"/>
          <w:color w:val="auto"/>
        </w:rPr>
        <w:t>Provides our executives with security to focus on executing our strategies that</w:t>
      </w:r>
    </w:p>
    <w:p>
      <w:pPr>
        <w:spacing w:after="0" w:line="27"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color w:val="auto"/>
        </w:rPr>
        <w:t>Benefits</w:t>
      </w:r>
      <w:r>
        <w:rPr>
          <w:sz w:val="20"/>
          <w:szCs w:val="20"/>
          <w:color w:val="auto"/>
        </w:rPr>
        <w:tab/>
      </w:r>
      <w:r>
        <w:rPr>
          <w:rFonts w:ascii="Times New Roman" w:cs="Times New Roman" w:eastAsia="Times New Roman" w:hAnsi="Times New Roman"/>
          <w:sz w:val="18"/>
          <w:szCs w:val="18"/>
          <w:color w:val="auto"/>
        </w:rPr>
        <w:t>support achieving our mission.</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base salaries of our NEOs are an important part of their total compensation package, and are intended to reflect their respective positions, duties and responsibilities. Base salary is a visible and stable fixed component of our compensation program. Base salaries for our NEOs were initially established through arms-length negotiation at the time an executive was hired. Generally, the Committee will review our NEO base salaries on an annual basis, and more frequently in such cases as a promotion or change in role.</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During fiscal year 2024, the Committee increased the annual base salary for Messrs. Raab and Renz, Ms. Grammer and Dr. Williams by 10%, 10%, 10% and 8%, respectively, following the Committee’s evaluation of each NEO’s individual performance and its review of Market Data. Mr. Kelliher’s annual base salary was established in connection with his commencement of employment with us. In establishing Mr. Kelliher’s annual base salary as part of arm’s length negotiations with him, the Committee considered the annual base salaries of other NEOs, Mr. Kelliher’s experience and Market Data.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the base salaries of our NEOs for fiscal year 2024:</w:t>
      </w:r>
    </w:p>
    <w:p>
      <w:pPr>
        <w:spacing w:after="0" w:line="142"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2720" w:type="dxa"/>
            <w:vAlign w:val="bottom"/>
            <w:tcBorders>
              <w:top w:val="single" w:sz="8" w:color="auto"/>
              <w:left w:val="single" w:sz="8" w:color="auto"/>
            </w:tcBorders>
          </w:tcPr>
          <w:p>
            <w:pPr>
              <w:spacing w:after="0"/>
              <w:rPr>
                <w:sz w:val="24"/>
                <w:szCs w:val="24"/>
                <w:color w:val="auto"/>
              </w:rPr>
            </w:pPr>
          </w:p>
        </w:tc>
        <w:tc>
          <w:tcPr>
            <w:tcW w:w="5740" w:type="dxa"/>
            <w:vAlign w:val="bottom"/>
            <w:tcBorders>
              <w:top w:val="single" w:sz="8" w:color="auto"/>
              <w:right w:val="single" w:sz="8" w:color="auto"/>
            </w:tcBorders>
            <w:gridSpan w:val="2"/>
          </w:tcPr>
          <w:p>
            <w:pPr>
              <w:jc w:val="right"/>
              <w:ind w:right="3090"/>
              <w:spacing w:after="0"/>
              <w:rPr>
                <w:sz w:val="20"/>
                <w:szCs w:val="20"/>
                <w:color w:val="auto"/>
              </w:rPr>
            </w:pPr>
            <w:r>
              <w:rPr>
                <w:rFonts w:ascii="Times New Roman" w:cs="Times New Roman" w:eastAsia="Times New Roman" w:hAnsi="Times New Roman"/>
                <w:sz w:val="14"/>
                <w:szCs w:val="14"/>
                <w:b w:val="1"/>
                <w:bCs w:val="1"/>
                <w:color w:val="auto"/>
              </w:rPr>
              <w:t>NEO Fiscal Year 2024 Base Salary</w:t>
            </w:r>
          </w:p>
        </w:tc>
      </w:tr>
      <w:tr>
        <w:trPr>
          <w:trHeight w:val="23"/>
        </w:trPr>
        <w:tc>
          <w:tcPr>
            <w:tcW w:w="2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8"/>
        </w:trPr>
        <w:tc>
          <w:tcPr>
            <w:tcW w:w="2720" w:type="dxa"/>
            <w:vAlign w:val="bottom"/>
            <w:tcBorders>
              <w:left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Michael Raab</w:t>
            </w:r>
          </w:p>
        </w:tc>
        <w:tc>
          <w:tcPr>
            <w:tcW w:w="4960" w:type="dxa"/>
            <w:vAlign w:val="bottom"/>
            <w:tcBorders>
              <w:bottom w:val="single" w:sz="8" w:color="CCEEFF"/>
              <w:right w:val="single" w:sz="8" w:color="auto"/>
            </w:tcBorders>
            <w:shd w:val="clear" w:color="auto" w:fill="CCEEFF"/>
          </w:tcPr>
          <w:p>
            <w:pPr>
              <w:spacing w:after="0"/>
              <w:rPr>
                <w:sz w:val="22"/>
                <w:szCs w:val="22"/>
                <w:color w:val="auto"/>
              </w:rPr>
            </w:pP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r>
      <w:tr>
        <w:trPr>
          <w:trHeight w:val="237"/>
        </w:trPr>
        <w:tc>
          <w:tcPr>
            <w:tcW w:w="272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Justin Renz</w:t>
            </w:r>
          </w:p>
        </w:tc>
        <w:tc>
          <w:tcPr>
            <w:tcW w:w="496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$517,000</w:t>
            </w:r>
          </w:p>
        </w:tc>
      </w:tr>
      <w:tr>
        <w:trPr>
          <w:trHeight w:val="27"/>
        </w:trPr>
        <w:tc>
          <w:tcPr>
            <w:tcW w:w="2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8"/>
        </w:trPr>
        <w:tc>
          <w:tcPr>
            <w:tcW w:w="2720" w:type="dxa"/>
            <w:vAlign w:val="bottom"/>
            <w:tcBorders>
              <w:left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Elizabeth Grammer</w:t>
            </w:r>
          </w:p>
        </w:tc>
        <w:tc>
          <w:tcPr>
            <w:tcW w:w="4960" w:type="dxa"/>
            <w:vAlign w:val="bottom"/>
            <w:tcBorders>
              <w:bottom w:val="single" w:sz="8" w:color="CCEEFF"/>
              <w:right w:val="single" w:sz="8" w:color="auto"/>
            </w:tcBorders>
            <w:shd w:val="clear" w:color="auto" w:fill="CCEEFF"/>
          </w:tcPr>
          <w:p>
            <w:pPr>
              <w:spacing w:after="0"/>
              <w:rPr>
                <w:sz w:val="22"/>
                <w:szCs w:val="22"/>
                <w:color w:val="auto"/>
              </w:rPr>
            </w:pP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$509,300</w:t>
            </w:r>
          </w:p>
        </w:tc>
      </w:tr>
      <w:tr>
        <w:trPr>
          <w:trHeight w:val="237"/>
        </w:trPr>
        <w:tc>
          <w:tcPr>
            <w:tcW w:w="272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Laura Williams, M.D., M.P.H.</w:t>
            </w:r>
          </w:p>
        </w:tc>
        <w:tc>
          <w:tcPr>
            <w:tcW w:w="496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$522,720</w:t>
            </w:r>
          </w:p>
        </w:tc>
      </w:tr>
      <w:tr>
        <w:trPr>
          <w:trHeight w:val="27"/>
        </w:trPr>
        <w:tc>
          <w:tcPr>
            <w:tcW w:w="2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7"/>
        </w:trPr>
        <w:tc>
          <w:tcPr>
            <w:tcW w:w="2720" w:type="dxa"/>
            <w:vAlign w:val="bottom"/>
            <w:tcBorders>
              <w:left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Michael Kelliher</w:t>
            </w:r>
          </w:p>
        </w:tc>
        <w:tc>
          <w:tcPr>
            <w:tcW w:w="4960" w:type="dxa"/>
            <w:vAlign w:val="bottom"/>
            <w:tcBorders>
              <w:bottom w:val="single" w:sz="8" w:color="CCEEFF"/>
              <w:right w:val="single" w:sz="8" w:color="auto"/>
            </w:tcBorders>
            <w:shd w:val="clear" w:color="auto" w:fill="CCEEFF"/>
          </w:tcPr>
          <w:p>
            <w:pPr>
              <w:spacing w:after="0"/>
              <w:rPr>
                <w:sz w:val="22"/>
                <w:szCs w:val="22"/>
                <w:color w:val="auto"/>
              </w:rPr>
            </w:pP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r>
      <w:tr>
        <w:trPr>
          <w:trHeight w:val="20"/>
        </w:trPr>
        <w:tc>
          <w:tcPr>
            <w:tcW w:w="2720" w:type="dxa"/>
            <w:vAlign w:val="bottom"/>
            <w:tcBorders>
              <w:left w:val="single" w:sz="8" w:color="auto"/>
            </w:tcBorders>
            <w:shd w:val="clear" w:color="auto" w:fill="000000"/>
          </w:tcPr>
          <w:p>
            <w:pPr>
              <w:spacing w:after="0" w:line="20" w:lineRule="exact"/>
              <w:rPr>
                <w:sz w:val="1"/>
                <w:szCs w:val="1"/>
                <w:color w:val="auto"/>
              </w:rPr>
            </w:pPr>
          </w:p>
        </w:tc>
        <w:tc>
          <w:tcPr>
            <w:tcW w:w="49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Cash-Based Incentive Compensation</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consider annual cash incentive bonuses to be an important component of our total compensation program and provides incentives necessary to retain and motivate NEOs. For 2024, our NEOs were eligible to receive performance-based cash incentives pursuant to the achievement of certain corporate performance objectives, as well as reflecting on their individual performance (excluding our CEO, who has a bonus opportunity based entirely on corporate performance).</w:t>
      </w:r>
    </w:p>
    <w:p>
      <w:pPr>
        <w:spacing w:after="0" w:line="75"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performance goals for these annual performance cash bonuses were evaluated by our compensation committee and approved by our board of directors. The determination of the bonus amounts paid to our NEOs generally reflects a number of considerations, including the NEO’s target bonus opportunity and the performance of the Company against corporate goals, as well as their individual performance.</w:t>
      </w:r>
    </w:p>
    <w:p>
      <w:pPr>
        <w:spacing w:after="0" w:line="72"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Each NEO’s target bonus opportunity for 2024 performance is expressed as a percentage of base salary and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1114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114425"/>
                    </a:xfrm>
                    <a:prstGeom prst="rect">
                      <a:avLst/>
                    </a:prstGeom>
                    <a:noFill/>
                  </pic:spPr>
                </pic:pic>
              </a:graphicData>
            </a:graphic>
          </wp:anchor>
        </w:drawing>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NEO Fiscal Year 2024 Target Cash Incentive (% of Base Salary)</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7720" w:type="dxa"/>
            <w:vAlign w:val="bottom"/>
            <w:tcBorders>
              <w:top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Michael Raab</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top w:val="single" w:sz="8" w:color="auto"/>
            </w:tcBorders>
          </w:tcPr>
          <w:p>
            <w:pPr>
              <w:spacing w:after="0"/>
              <w:rPr>
                <w:sz w:val="24"/>
                <w:szCs w:val="24"/>
                <w:color w:val="auto"/>
              </w:rPr>
            </w:pPr>
          </w:p>
        </w:tc>
      </w:tr>
      <w:tr>
        <w:trPr>
          <w:trHeight w:val="237"/>
        </w:trPr>
        <w:tc>
          <w:tcPr>
            <w:tcW w:w="7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Justin Renz</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auto"/>
            </w:tcBorders>
          </w:tcPr>
          <w:p>
            <w:pPr>
              <w:spacing w:after="0"/>
              <w:rPr>
                <w:sz w:val="20"/>
                <w:szCs w:val="20"/>
                <w:color w:val="auto"/>
              </w:rPr>
            </w:pPr>
          </w:p>
        </w:tc>
      </w:tr>
      <w:tr>
        <w:trPr>
          <w:trHeight w:val="27"/>
        </w:trPr>
        <w:tc>
          <w:tcPr>
            <w:tcW w:w="7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772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Elizabeth Grammer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2"/>
                <w:szCs w:val="22"/>
                <w:color w:val="auto"/>
              </w:rPr>
            </w:pPr>
          </w:p>
        </w:tc>
      </w:tr>
      <w:tr>
        <w:trPr>
          <w:trHeight w:val="237"/>
        </w:trPr>
        <w:tc>
          <w:tcPr>
            <w:tcW w:w="7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Laura Williams, M.D., M.P.H.</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auto"/>
            </w:tcBorders>
          </w:tcPr>
          <w:p>
            <w:pPr>
              <w:spacing w:after="0"/>
              <w:rPr>
                <w:sz w:val="20"/>
                <w:szCs w:val="20"/>
                <w:color w:val="auto"/>
              </w:rPr>
            </w:pPr>
          </w:p>
        </w:tc>
      </w:tr>
      <w:tr>
        <w:trPr>
          <w:trHeight w:val="27"/>
        </w:trPr>
        <w:tc>
          <w:tcPr>
            <w:tcW w:w="7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Michael Kelliher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2"/>
                <w:szCs w:val="22"/>
                <w:color w:val="auto"/>
              </w:rPr>
            </w:pPr>
          </w:p>
        </w:tc>
      </w:tr>
      <w:tr>
        <w:trPr>
          <w:trHeight w:val="20"/>
        </w:trPr>
        <w:tc>
          <w:tcPr>
            <w:tcW w:w="77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Our board of directors or our Committee has historically reviewed these target percentages annually to ensure they are appropriate and competitive, but does not follow a formula in determining them, though internal parity among NEOs and Market Data have the most impact on each NEO’s target percentage. Accordingly, following its review of Market Data, the Committee increased Mr. Raab’s target percentage by 10% over the target percentage for fiscal year 2023 and Mr. Renz’s, Ms. Grammer’s and Dr. Williams’ target percentage by 5% over their target percentage for fiscal 2023. Mr. Kelliher’s target percentage was established in connection with his commencement of employment in March 2024.</w:t>
      </w:r>
    </w:p>
    <w:p>
      <w:pPr>
        <w:spacing w:after="0" w:line="8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For determining performance bonus amounts for our NEOs for 2024, the Committee established the following percentage allocations for corporate performance and individual performance for each NEO. These allocations are unchanged from the previous year. The Committee believes that the CEO’s bonus should be based entirely on corporate performance given the scope and nature of the role as principal executive officer and his responsibility for the Company as a whole. The Committee determined that other NEOs should have a majority of their annual performance cash bonus determined by corporate performance, however some portion should reflect their performance as an individual and functional leader of the Company. The following table provides the breakout of corporate and individual performance, where applicable.</w:t>
      </w:r>
    </w:p>
    <w:p>
      <w:pPr>
        <w:spacing w:after="0" w:line="122"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368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Role</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Performance</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Allocation</w:t>
            </w:r>
          </w:p>
        </w:tc>
        <w:tc>
          <w:tcPr>
            <w:tcW w:w="0" w:type="dxa"/>
            <w:vAlign w:val="bottom"/>
          </w:tcPr>
          <w:p>
            <w:pPr>
              <w:spacing w:after="0"/>
              <w:rPr>
                <w:sz w:val="1"/>
                <w:szCs w:val="1"/>
                <w:color w:val="auto"/>
              </w:rPr>
            </w:pPr>
          </w:p>
        </w:tc>
      </w:tr>
      <w:tr>
        <w:trPr>
          <w:trHeight w:val="190"/>
        </w:trPr>
        <w:tc>
          <w:tcPr>
            <w:tcW w:w="3680" w:type="dxa"/>
            <w:vAlign w:val="bottom"/>
            <w:tcBorders>
              <w:left w:val="single" w:sz="8" w:color="auto"/>
              <w:right w:val="single" w:sz="8" w:color="auto"/>
            </w:tcBorders>
            <w:vMerge w:val="continue"/>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2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760" w:type="dxa"/>
            <w:vAlign w:val="bottom"/>
            <w:tcBorders>
              <w:bottom w:val="single" w:sz="8" w:color="CCEEFF"/>
              <w:right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6"/>
        </w:trPr>
        <w:tc>
          <w:tcPr>
            <w:tcW w:w="36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NEO</w:t>
            </w:r>
          </w:p>
        </w:tc>
        <w:tc>
          <w:tcPr>
            <w:tcW w:w="1760" w:type="dxa"/>
            <w:vAlign w:val="bottom"/>
            <w:tcBorders>
              <w:top w:val="single" w:sz="8" w:color="auto"/>
              <w:right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80%</w:t>
            </w:r>
          </w:p>
        </w:tc>
        <w:tc>
          <w:tcPr>
            <w:tcW w:w="1780" w:type="dxa"/>
            <w:vAlign w:val="bottom"/>
            <w:tcBorders>
              <w:top w:val="single" w:sz="8" w:color="auto"/>
              <w:right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79"/>
        <w:spacing w:after="0" w:line="282" w:lineRule="auto"/>
        <w:rPr>
          <w:sz w:val="20"/>
          <w:szCs w:val="20"/>
          <w:color w:val="auto"/>
        </w:rPr>
      </w:pPr>
      <w:r>
        <w:rPr>
          <w:rFonts w:ascii="Times New Roman" w:cs="Times New Roman" w:eastAsia="Times New Roman" w:hAnsi="Times New Roman"/>
          <w:sz w:val="18"/>
          <w:szCs w:val="18"/>
          <w:color w:val="auto"/>
        </w:rPr>
        <w:t>At the beginning of 2024, our Committee and board of directors set our corporate performance goals which covered a broad array of categories that were important to achieving our mission and creating stockholder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Each category has an assigned weight, which underscores the relative importance of the goal. Additionally, each category has a number of goals which serve as an evaluation tool for the Committee at year end when assessing Company performance. The Committee has the authority to provide no credit, partial credit, full credit, or more for each category and in total. The scoring of each category reflects the Committee’s evaluation, which sums to a total corporate score based on the category weightings.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Discussion of Corporate Objective Goal Scoring</w:t>
      </w:r>
    </w:p>
    <w:p>
      <w:pPr>
        <w:spacing w:after="0" w:line="121"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Committee reviewed each category of corporate objectives, as well as management’s proposed scoring and underlying rationale, in approving the corporate funding total for 2024.</w:t>
      </w:r>
    </w:p>
    <w:p>
      <w:pPr>
        <w:spacing w:after="0" w:line="92"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39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5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46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Score</w:t>
            </w:r>
          </w:p>
        </w:tc>
        <w:tc>
          <w:tcPr>
            <w:tcW w:w="146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 Score</w:t>
            </w:r>
          </w:p>
        </w:tc>
      </w:tr>
      <w:tr>
        <w:trPr>
          <w:trHeight w:val="23"/>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68"/>
        </w:trPr>
        <w:tc>
          <w:tcPr>
            <w:tcW w:w="39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Product Revenue</w:t>
            </w:r>
          </w:p>
        </w:tc>
        <w:tc>
          <w:tcPr>
            <w:tcW w:w="1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4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104.5%</w:t>
            </w:r>
          </w:p>
        </w:tc>
        <w:tc>
          <w:tcPr>
            <w:tcW w:w="1460" w:type="dxa"/>
            <w:vAlign w:val="bottom"/>
            <w:tcBorders>
              <w:bottom w:val="single" w:sz="8" w:color="CCEEFF"/>
              <w:right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rPr>
              <w:t>57.48%</w:t>
            </w:r>
          </w:p>
        </w:tc>
      </w:tr>
      <w:tr>
        <w:trPr>
          <w:trHeight w:val="237"/>
        </w:trPr>
        <w:tc>
          <w:tcPr>
            <w:tcW w:w="39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Regulatory &amp; Government Affairs</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1460" w:type="dxa"/>
            <w:vAlign w:val="bottom"/>
            <w:tcBorders>
              <w:top w:val="single" w:sz="8" w:color="auto"/>
              <w:right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68"/>
        </w:trPr>
        <w:tc>
          <w:tcPr>
            <w:tcW w:w="39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Pipeline</w:t>
            </w:r>
          </w:p>
        </w:tc>
        <w:tc>
          <w:tcPr>
            <w:tcW w:w="1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4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1460" w:type="dxa"/>
            <w:vAlign w:val="bottom"/>
            <w:tcBorders>
              <w:bottom w:val="single" w:sz="8" w:color="CCEEFF"/>
              <w:right w:val="single" w:sz="8" w:color="auto"/>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39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Operational</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1460" w:type="dxa"/>
            <w:vAlign w:val="bottom"/>
            <w:tcBorders>
              <w:top w:val="single" w:sz="8" w:color="auto"/>
              <w:right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8"/>
              </w:rPr>
              <w:t>6.38%</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68"/>
        </w:trPr>
        <w:tc>
          <w:tcPr>
            <w:tcW w:w="39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w:t>
            </w:r>
          </w:p>
        </w:tc>
        <w:tc>
          <w:tcPr>
            <w:tcW w:w="1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4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460" w:type="dxa"/>
            <w:vAlign w:val="bottom"/>
            <w:tcBorders>
              <w:bottom w:val="single" w:sz="8" w:color="CCEEFF"/>
              <w:right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rPr>
              <w:t>10.15%</w:t>
            </w:r>
          </w:p>
        </w:tc>
      </w:tr>
      <w:tr>
        <w:trPr>
          <w:trHeight w:val="237"/>
        </w:trPr>
        <w:tc>
          <w:tcPr>
            <w:tcW w:w="39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People &amp; Compliance</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1460" w:type="dxa"/>
            <w:vAlign w:val="bottom"/>
            <w:tcBorders>
              <w:top w:val="single" w:sz="8" w:color="auto"/>
              <w:right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57"/>
        </w:trPr>
        <w:tc>
          <w:tcPr>
            <w:tcW w:w="39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4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60" w:type="dxa"/>
            <w:vAlign w:val="bottom"/>
            <w:tcBorders>
              <w:bottom w:val="single" w:sz="8" w:color="CCEEFF"/>
              <w:right w:val="single" w:sz="8" w:color="auto"/>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9"/>
              </w:rPr>
              <w:t>92.0%*</w:t>
            </w:r>
          </w:p>
        </w:tc>
      </w:tr>
      <w:tr>
        <w:trPr>
          <w:trHeight w:val="20"/>
        </w:trPr>
        <w:tc>
          <w:tcPr>
            <w:tcW w:w="3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  Weighed score does not add to the total due to rounding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Goals</w:t>
      </w:r>
    </w:p>
    <w:p>
      <w:pPr>
        <w:spacing w:after="0" w:line="115" w:lineRule="exact"/>
        <w:rPr>
          <w:sz w:val="20"/>
          <w:szCs w:val="20"/>
          <w:color w:val="auto"/>
        </w:rPr>
      </w:pPr>
    </w:p>
    <w:p>
      <w:pPr>
        <w:ind w:left="1000" w:right="459" w:hanging="348"/>
        <w:spacing w:after="0" w:line="25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Revenue. </w:t>
      </w:r>
      <w:r>
        <w:rPr>
          <w:rFonts w:ascii="Times New Roman" w:cs="Times New Roman" w:eastAsia="Times New Roman" w:hAnsi="Times New Roman"/>
          <w:sz w:val="18"/>
          <w:szCs w:val="18"/>
          <w:color w:val="auto"/>
        </w:rPr>
        <w:t>The goals for this category related to our net product sales revenue for IBSRELA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XPHOZAH. While the distribution of net revenue was different than budgeted, the Company achieved combined revenue levels that exceeded the total budgeted net revenue for the year. Specifically, the Company budgeted aggregate net product revenue for IBSRELA and XPHOZAH was $258.7 million, with IBSRELA net product revenue budgeted at $174.5 million and XPHOZAH net product revenue budgeted at $84.2 million. </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and Government Affairs. </w:t>
      </w:r>
      <w:r>
        <w:rPr>
          <w:rFonts w:ascii="Times New Roman" w:cs="Times New Roman" w:eastAsia="Times New Roman" w:hAnsi="Times New Roman"/>
          <w:sz w:val="18"/>
          <w:szCs w:val="18"/>
          <w:color w:val="auto"/>
        </w:rPr>
        <w:t>The goals for this category related to maintaining and expanding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patients in support of our mission. Access to our products can be impacted by matters over which we have significant influence, including our distribution strategy and patient assistance programs, but can also be impacted by matters over which our influence is much more limited, such as payor coverage. The Company made significant progress in positively impacting access for our patients and achieved some, but not all of the goals, which resulted in a partial credit score based on the Committee’s assessment of the Company’s performance in advancing patient access through various actions.</w:t>
      </w:r>
    </w:p>
    <w:p>
      <w:pPr>
        <w:spacing w:after="0" w:line="74" w:lineRule="exact"/>
        <w:rPr>
          <w:rFonts w:ascii="Times New Roman" w:cs="Times New Roman" w:eastAsia="Times New Roman" w:hAnsi="Times New Roman"/>
          <w:sz w:val="18"/>
          <w:szCs w:val="18"/>
          <w:color w:val="auto"/>
        </w:rPr>
      </w:pPr>
    </w:p>
    <w:p>
      <w:pPr>
        <w:ind w:left="1000" w:right="339" w:hanging="348"/>
        <w:spacing w:after="0" w:line="275"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Pipeline. </w:t>
      </w:r>
      <w:r>
        <w:rPr>
          <w:rFonts w:ascii="Times New Roman" w:cs="Times New Roman" w:eastAsia="Times New Roman" w:hAnsi="Times New Roman"/>
          <w:sz w:val="17"/>
          <w:szCs w:val="17"/>
          <w:color w:val="auto"/>
        </w:rPr>
        <w:t>The goals for this category related to activities in support of advancing our pipeline. Among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them was hiring a head of corporate development and strategy, as well as conducting a strategic evaluation of our product pipeline and other discovery related items. The Committee determined that the Company achieved some, but not all of these goals, resulting in a partial credit score on this category based on the Committee’s evaluation of the progress made towards various pipeline initiatives and the opportunities presented to the board of directors for expansion of IBSRELA and XPHOZAH in new territories.</w:t>
      </w:r>
    </w:p>
    <w:p>
      <w:pPr>
        <w:spacing w:after="0" w:line="60" w:lineRule="exact"/>
        <w:rPr>
          <w:rFonts w:ascii="Times New Roman" w:cs="Times New Roman" w:eastAsia="Times New Roman" w:hAnsi="Times New Roman"/>
          <w:sz w:val="17"/>
          <w:szCs w:val="17"/>
          <w:color w:val="auto"/>
        </w:rPr>
      </w:pPr>
    </w:p>
    <w:p>
      <w:pPr>
        <w:ind w:left="1000" w:right="479" w:hanging="348"/>
        <w:spacing w:after="0" w:line="259"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Operational. </w:t>
      </w:r>
      <w:r>
        <w:rPr>
          <w:rFonts w:ascii="Times New Roman" w:cs="Times New Roman" w:eastAsia="Times New Roman" w:hAnsi="Times New Roman"/>
          <w:sz w:val="18"/>
          <w:szCs w:val="18"/>
          <w:color w:val="auto"/>
        </w:rPr>
        <w:t>These goals related to our manufacturing and supply chain efforts. Specifically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levels, executing on commercial supply agreements, and manufacturing facility buildouts. The Committee awarded credit to the Company for entering into commercial supply agreements with two manufacturers during 2024, however, partial credit was deducted from this category based on the Committee’s evaluation of the management of inventory levels.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w:t>
      </w:r>
      <w:r>
        <w:rPr>
          <w:rFonts w:ascii="Times New Roman" w:cs="Times New Roman" w:eastAsia="Times New Roman" w:hAnsi="Times New Roman"/>
          <w:sz w:val="18"/>
          <w:szCs w:val="18"/>
          <w:color w:val="auto"/>
        </w:rPr>
        <w:t>These goals related to managing our operating expenses to ensure appropriate cash levels.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exceeded its target goal with respect to budget expense performance. Total operating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819"/>
        <w:spacing w:after="0" w:line="261" w:lineRule="auto"/>
        <w:rPr>
          <w:sz w:val="20"/>
          <w:szCs w:val="20"/>
          <w:color w:val="auto"/>
        </w:rPr>
      </w:pPr>
      <w:r>
        <w:rPr>
          <w:rFonts w:ascii="Times New Roman" w:cs="Times New Roman" w:eastAsia="Times New Roman" w:hAnsi="Times New Roman"/>
          <w:sz w:val="18"/>
          <w:szCs w:val="18"/>
          <w:color w:val="auto"/>
        </w:rPr>
        <w:t>expenses were approximately $311 million for fiscal year 2024 as compared to the annual operating budget of $326 million. The Committee also assessed the Company’s year-end cash balance of approximately $251 million, using its discretion to score performance, and awarded the Company enhanced credit on this category.</w:t>
      </w:r>
    </w:p>
    <w:p>
      <w:pPr>
        <w:spacing w:after="0" w:line="68" w:lineRule="exact"/>
        <w:rPr>
          <w:sz w:val="20"/>
          <w:szCs w:val="20"/>
          <w:color w:val="auto"/>
        </w:rPr>
      </w:pPr>
    </w:p>
    <w:p>
      <w:pPr>
        <w:ind w:left="1000" w:right="319" w:hanging="348"/>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People. </w:t>
      </w:r>
      <w:r>
        <w:rPr>
          <w:rFonts w:ascii="Times New Roman" w:cs="Times New Roman" w:eastAsia="Times New Roman" w:hAnsi="Times New Roman"/>
          <w:sz w:val="18"/>
          <w:szCs w:val="18"/>
          <w:color w:val="auto"/>
        </w:rPr>
        <w:t>These goals related to advancing our organizational capabilities and culture. Specifically, the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centered around identification and retention of key talent, development of succession plans, and compliance rates on company-provided training. The Company completed a succession planning exercise and identified and hired key talent. The Company also improved in its achievement of its compliance training goal as compared to fiscal year 2023 but fell short of the target of having 95% of compliance training complete by new hires within 60 days of their start date. Overall, the Committee determined that the Company achieved most, but not all of the underlying goals and awarded partial credit on this category.</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Discussion of Individual Goal Scoring</w:t>
      </w:r>
    </w:p>
    <w:p>
      <w:pPr>
        <w:spacing w:after="0" w:line="11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 addition to the corporate goal scoring, the Committee also evaluated each NEO for their individual performance in consultation with the CEO. Given the collective success of the team during 2024, the CEO recommended, and the Committee approved, that all NEOs would receive an individual score equal to the corporate score.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2024 Cash Incentive Payouts</w:t>
      </w:r>
    </w:p>
    <w:p>
      <w:pPr>
        <w:spacing w:after="0" w:line="131"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60" w:type="dxa"/>
            <w:vAlign w:val="bottom"/>
            <w:tcBorders>
              <w:top w:val="single" w:sz="8" w:color="auto"/>
              <w:left w:val="single" w:sz="8" w:color="auto"/>
            </w:tcBorders>
          </w:tcPr>
          <w:p>
            <w:pPr>
              <w:spacing w:after="0"/>
              <w:rPr>
                <w:sz w:val="21"/>
                <w:szCs w:val="21"/>
                <w:color w:val="auto"/>
              </w:rPr>
            </w:pPr>
          </w:p>
        </w:tc>
        <w:tc>
          <w:tcPr>
            <w:tcW w:w="42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right w:val="single" w:sz="8" w:color="auto"/>
            </w:tcBorders>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Achieved</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right w:val="single" w:sz="8" w:color="auto"/>
            </w:tcBorders>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4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49"/>
        </w:trPr>
        <w:tc>
          <w:tcPr>
            <w:tcW w:w="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NEO</w:t>
            </w:r>
          </w:p>
        </w:tc>
        <w:tc>
          <w:tcPr>
            <w:tcW w:w="7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4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right w:val="single" w:sz="8" w:color="auto"/>
            </w:tcBorders>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740" w:type="dxa"/>
            <w:vAlign w:val="bottom"/>
            <w:tcBorders>
              <w:right w:val="single" w:sz="8" w:color="auto"/>
            </w:tcBorders>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60" w:type="dxa"/>
            <w:vAlign w:val="bottom"/>
            <w:tcBorders>
              <w:left w:val="single" w:sz="8" w:color="auto"/>
            </w:tcBorders>
          </w:tcPr>
          <w:p>
            <w:pPr>
              <w:spacing w:after="0"/>
              <w:rPr>
                <w:sz w:val="16"/>
                <w:szCs w:val="16"/>
                <w:color w:val="auto"/>
              </w:rPr>
            </w:pPr>
          </w:p>
        </w:tc>
        <w:tc>
          <w:tcPr>
            <w:tcW w:w="4200" w:type="dxa"/>
            <w:vAlign w:val="bottom"/>
            <w:tcBorders>
              <w:right w:val="single" w:sz="8" w:color="auto"/>
            </w:tcBorders>
            <w:vMerge w:val="continue"/>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0" w:type="dxa"/>
            <w:vAlign w:val="bottom"/>
          </w:tcPr>
          <w:p>
            <w:pPr>
              <w:spacing w:after="0"/>
              <w:rPr>
                <w:sz w:val="16"/>
                <w:szCs w:val="16"/>
                <w:color w:val="auto"/>
              </w:rPr>
            </w:pPr>
          </w:p>
        </w:tc>
        <w:tc>
          <w:tcPr>
            <w:tcW w:w="90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4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3"/>
        </w:trPr>
        <w:tc>
          <w:tcPr>
            <w:tcW w:w="60" w:type="dxa"/>
            <w:vAlign w:val="bottom"/>
            <w:tcBorders>
              <w:left w:val="single" w:sz="8" w:color="auto"/>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42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Raab</w:t>
            </w:r>
          </w:p>
        </w:tc>
        <w:tc>
          <w:tcPr>
            <w:tcW w:w="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$770,000</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9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$539,000</w:t>
            </w:r>
          </w:p>
        </w:tc>
        <w:tc>
          <w:tcPr>
            <w:tcW w:w="780" w:type="dxa"/>
            <w:vAlign w:val="bottom"/>
            <w:tcBorders>
              <w:bottom w:val="single" w:sz="8" w:color="CCEEFF"/>
              <w:right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$495,880</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0" w:type="dxa"/>
            <w:vAlign w:val="bottom"/>
          </w:tcPr>
          <w:p>
            <w:pPr>
              <w:spacing w:after="0"/>
              <w:rPr>
                <w:sz w:val="1"/>
                <w:szCs w:val="1"/>
                <w:color w:val="auto"/>
              </w:rPr>
            </w:pPr>
          </w:p>
        </w:tc>
      </w:tr>
      <w:tr>
        <w:trPr>
          <w:trHeight w:val="236"/>
        </w:trPr>
        <w:tc>
          <w:tcPr>
            <w:tcW w:w="60" w:type="dxa"/>
            <w:vAlign w:val="bottom"/>
            <w:tcBorders>
              <w:top w:val="single" w:sz="8" w:color="auto"/>
              <w:left w:val="single" w:sz="8" w:color="auto"/>
            </w:tcBorders>
          </w:tcPr>
          <w:p>
            <w:pPr>
              <w:spacing w:after="0"/>
              <w:rPr>
                <w:sz w:val="20"/>
                <w:szCs w:val="20"/>
                <w:color w:val="auto"/>
              </w:rPr>
            </w:pPr>
          </w:p>
        </w:tc>
        <w:tc>
          <w:tcPr>
            <w:tcW w:w="42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Justin Renz</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$517,000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9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$232,650</w:t>
            </w:r>
          </w:p>
        </w:tc>
        <w:tc>
          <w:tcPr>
            <w:tcW w:w="780" w:type="dxa"/>
            <w:vAlign w:val="bottom"/>
            <w:tcBorders>
              <w:top w:val="single" w:sz="8" w:color="auto"/>
              <w:right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$214,038</w:t>
            </w: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42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Elizabeth Grammer</w:t>
            </w:r>
          </w:p>
        </w:tc>
        <w:tc>
          <w:tcPr>
            <w:tcW w:w="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$509,300</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9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$229,185</w:t>
            </w:r>
          </w:p>
        </w:tc>
        <w:tc>
          <w:tcPr>
            <w:tcW w:w="780" w:type="dxa"/>
            <w:vAlign w:val="bottom"/>
            <w:tcBorders>
              <w:bottom w:val="single" w:sz="8" w:color="CCEEFF"/>
              <w:right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$210,850</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0" w:type="dxa"/>
            <w:vAlign w:val="bottom"/>
          </w:tcPr>
          <w:p>
            <w:pPr>
              <w:spacing w:after="0"/>
              <w:rPr>
                <w:sz w:val="1"/>
                <w:szCs w:val="1"/>
                <w:color w:val="auto"/>
              </w:rPr>
            </w:pPr>
          </w:p>
        </w:tc>
      </w:tr>
      <w:tr>
        <w:trPr>
          <w:trHeight w:val="237"/>
        </w:trPr>
        <w:tc>
          <w:tcPr>
            <w:tcW w:w="60" w:type="dxa"/>
            <w:vAlign w:val="bottom"/>
            <w:tcBorders>
              <w:top w:val="single" w:sz="8" w:color="auto"/>
              <w:left w:val="single" w:sz="8" w:color="auto"/>
            </w:tcBorders>
          </w:tcPr>
          <w:p>
            <w:pPr>
              <w:spacing w:after="0"/>
              <w:rPr>
                <w:sz w:val="20"/>
                <w:szCs w:val="20"/>
                <w:color w:val="auto"/>
              </w:rPr>
            </w:pPr>
          </w:p>
        </w:tc>
        <w:tc>
          <w:tcPr>
            <w:tcW w:w="42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Laura Williams, M.D., M.P.H.</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$522,720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9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$235,224</w:t>
            </w:r>
          </w:p>
        </w:tc>
        <w:tc>
          <w:tcPr>
            <w:tcW w:w="780" w:type="dxa"/>
            <w:vAlign w:val="bottom"/>
            <w:tcBorders>
              <w:top w:val="single" w:sz="8" w:color="auto"/>
              <w:right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$216,406</w:t>
            </w: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42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Kelliher</w:t>
            </w:r>
          </w:p>
        </w:tc>
        <w:tc>
          <w:tcPr>
            <w:tcW w:w="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97"/>
              </w:rPr>
              <w:t>$198,000</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4"/>
              </w:rPr>
              <w:t>$182,160</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42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In addition to our formal cash incentive program, the Committee may approve discretionary bonuses to be paid to our NEOs from time to time, when it determines it to be appropriate to attract and retain talent, reward performance, or incentivize future results. There were no such bonuses awarded for fiscal year 2024.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The Committee views equity-based compensation as a critical component of our total compensation program. Equity-based compensation creates an ownership culture among our NEOs that provides an incentive to contribute to our mission and align interest of NEOs with those of our stockholders. We do not currently have any formal policy for determining the number of equity-based awards to grant to NEOs, though our Committee does reference the Market Data from our independent consultant when approving annual equity awards, as well as reflects on our philosophy, program objectives, and key factors as described above.</w:t>
      </w:r>
    </w:p>
    <w:p>
      <w:pPr>
        <w:spacing w:after="0" w:line="79"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For 2024, the Committee reviewed Market Data that captured both the grant date fair value of long-term incentives provided, as well as the size of long-term incentive grants expressed as a percentage of a company’s common shares outstanding at that time. The Committee determined both reference points were important given the volatility of our share price leading up to the grant date, as well as the Committee’s desire to balance delivering competitive value and awards that were not excessively dilutive to stockholders or punitive to our NEOs on that basis.</w:t>
      </w:r>
    </w:p>
    <w:p>
      <w:pPr>
        <w:spacing w:after="0" w:line="60"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Committee determined to allocate 50% of each NEO’s equity award to time-vesting stock options and 50% to time-vesting Restricted Stock Units (RSUs) applying a 1.28 to 1 ratio for options to RSUs. The Committee reviewed Market Data and considered its desire to balance risk and reward, the volatility of our stock, and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99"/>
        <w:spacing w:after="0" w:line="262" w:lineRule="auto"/>
        <w:rPr>
          <w:sz w:val="20"/>
          <w:szCs w:val="20"/>
          <w:color w:val="auto"/>
        </w:rPr>
      </w:pPr>
      <w:r>
        <w:rPr>
          <w:rFonts w:ascii="Times New Roman" w:cs="Times New Roman" w:eastAsia="Times New Roman" w:hAnsi="Times New Roman"/>
          <w:sz w:val="18"/>
          <w:szCs w:val="18"/>
          <w:color w:val="auto"/>
        </w:rPr>
        <w:t>motivational and retention aspects of the awards in arriving at the decision to grant an equal mix of stock options and RSUs (after applying the 1.28 to 1 ratio of options to RSUs described above). In sizing each equity award, the Committee referenced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Market Data, as well as internal equity among NEOs.</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such, on January 16, 2024, in connection with our annual compensation review and approvals, the Committee approved the following grants to each of our NEOs other than Mr. Kelliher, who was not yet employed at our Company. Mr. Kelliher received a new hire grant upon commencing employment with us in March 2024, which was structured in the same fashion as the annual grants, while reflecting arm’s length negotiations.</w:t>
      </w:r>
    </w:p>
    <w:p>
      <w:pPr>
        <w:spacing w:after="0" w:line="105"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60" w:type="dxa"/>
            <w:vAlign w:val="bottom"/>
            <w:tcBorders>
              <w:top w:val="single" w:sz="8" w:color="auto"/>
              <w:left w:val="single" w:sz="8" w:color="auto"/>
            </w:tcBorders>
          </w:tcPr>
          <w:p>
            <w:pPr>
              <w:spacing w:after="0"/>
              <w:rPr>
                <w:sz w:val="21"/>
                <w:szCs w:val="21"/>
                <w:color w:val="auto"/>
              </w:rPr>
            </w:pPr>
          </w:p>
        </w:tc>
        <w:tc>
          <w:tcPr>
            <w:tcW w:w="398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Borders>
              <w:top w:val="single" w:sz="8" w:color="auto"/>
            </w:tcBorders>
          </w:tcPr>
          <w:p>
            <w:pPr>
              <w:spacing w:after="0"/>
              <w:rPr>
                <w:sz w:val="21"/>
                <w:szCs w:val="21"/>
                <w:color w:val="auto"/>
              </w:rPr>
            </w:pPr>
          </w:p>
        </w:tc>
        <w:tc>
          <w:tcPr>
            <w:tcW w:w="118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Resulting Grant</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tcPr>
          <w:p>
            <w:pPr>
              <w:spacing w:after="0"/>
              <w:rPr>
                <w:sz w:val="12"/>
                <w:szCs w:val="12"/>
                <w:color w:val="auto"/>
              </w:rPr>
            </w:pPr>
          </w:p>
        </w:tc>
        <w:tc>
          <w:tcPr>
            <w:tcW w:w="39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NEO</w:t>
            </w:r>
          </w:p>
        </w:tc>
        <w:tc>
          <w:tcPr>
            <w:tcW w:w="80" w:type="dxa"/>
            <w:vAlign w:val="bottom"/>
          </w:tcPr>
          <w:p>
            <w:pPr>
              <w:spacing w:after="0"/>
              <w:rPr>
                <w:sz w:val="12"/>
                <w:szCs w:val="12"/>
                <w:color w:val="auto"/>
              </w:rPr>
            </w:pPr>
          </w:p>
        </w:tc>
        <w:tc>
          <w:tcPr>
            <w:tcW w:w="860" w:type="dxa"/>
            <w:vAlign w:val="bottom"/>
            <w:tcBorders>
              <w:right w:val="single" w:sz="8" w:color="auto"/>
            </w:tcBorders>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1180" w:type="dxa"/>
            <w:vAlign w:val="bottom"/>
            <w:tcBorders>
              <w:right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6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auto"/>
            </w:tcBorders>
          </w:tcPr>
          <w:p>
            <w:pPr>
              <w:spacing w:after="0"/>
              <w:rPr>
                <w:sz w:val="16"/>
                <w:szCs w:val="16"/>
                <w:color w:val="auto"/>
              </w:rPr>
            </w:pPr>
          </w:p>
        </w:tc>
        <w:tc>
          <w:tcPr>
            <w:tcW w:w="39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60" w:type="dxa"/>
            <w:vAlign w:val="bottom"/>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6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39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Raab</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8"/>
              </w:rPr>
              <w:t>Annual</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605,904</w:t>
            </w:r>
          </w:p>
        </w:tc>
        <w:tc>
          <w:tcPr>
            <w:tcW w:w="12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475,000</w:t>
            </w:r>
          </w:p>
        </w:tc>
        <w:tc>
          <w:tcPr>
            <w:tcW w:w="11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$8,335,121</w:t>
            </w:r>
          </w:p>
        </w:tc>
        <w:tc>
          <w:tcPr>
            <w:tcW w:w="0" w:type="dxa"/>
            <w:vAlign w:val="bottom"/>
          </w:tcPr>
          <w:p>
            <w:pPr>
              <w:spacing w:after="0"/>
              <w:rPr>
                <w:sz w:val="1"/>
                <w:szCs w:val="1"/>
                <w:color w:val="auto"/>
              </w:rPr>
            </w:pPr>
          </w:p>
        </w:tc>
      </w:tr>
      <w:tr>
        <w:trPr>
          <w:trHeight w:val="237"/>
        </w:trPr>
        <w:tc>
          <w:tcPr>
            <w:tcW w:w="60" w:type="dxa"/>
            <w:vAlign w:val="bottom"/>
            <w:tcBorders>
              <w:top w:val="single" w:sz="8" w:color="auto"/>
              <w:left w:val="single" w:sz="8" w:color="auto"/>
            </w:tcBorders>
          </w:tcPr>
          <w:p>
            <w:pPr>
              <w:spacing w:after="0"/>
              <w:rPr>
                <w:sz w:val="20"/>
                <w:szCs w:val="20"/>
                <w:color w:val="auto"/>
              </w:rPr>
            </w:pPr>
          </w:p>
        </w:tc>
        <w:tc>
          <w:tcPr>
            <w:tcW w:w="3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Justin Renz</w:t>
            </w: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color w:val="auto"/>
                <w:w w:val="98"/>
              </w:rPr>
              <w:t>Annual</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164,000</w:t>
            </w:r>
          </w:p>
        </w:tc>
        <w:tc>
          <w:tcPr>
            <w:tcW w:w="12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127,750</w:t>
            </w:r>
          </w:p>
        </w:tc>
        <w:tc>
          <w:tcPr>
            <w:tcW w:w="11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$2,248,883</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39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Elizabeth Grammer</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8"/>
              </w:rPr>
              <w:t>Annual</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164,000</w:t>
            </w:r>
          </w:p>
        </w:tc>
        <w:tc>
          <w:tcPr>
            <w:tcW w:w="12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127,750</w:t>
            </w:r>
          </w:p>
        </w:tc>
        <w:tc>
          <w:tcPr>
            <w:tcW w:w="11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$2,248,883</w:t>
            </w:r>
          </w:p>
        </w:tc>
        <w:tc>
          <w:tcPr>
            <w:tcW w:w="0" w:type="dxa"/>
            <w:vAlign w:val="bottom"/>
          </w:tcPr>
          <w:p>
            <w:pPr>
              <w:spacing w:after="0"/>
              <w:rPr>
                <w:sz w:val="1"/>
                <w:szCs w:val="1"/>
                <w:color w:val="auto"/>
              </w:rPr>
            </w:pPr>
          </w:p>
        </w:tc>
      </w:tr>
      <w:tr>
        <w:trPr>
          <w:trHeight w:val="237"/>
        </w:trPr>
        <w:tc>
          <w:tcPr>
            <w:tcW w:w="60" w:type="dxa"/>
            <w:vAlign w:val="bottom"/>
            <w:tcBorders>
              <w:top w:val="single" w:sz="8" w:color="auto"/>
              <w:left w:val="single" w:sz="8" w:color="auto"/>
            </w:tcBorders>
          </w:tcPr>
          <w:p>
            <w:pPr>
              <w:spacing w:after="0"/>
              <w:rPr>
                <w:sz w:val="20"/>
                <w:szCs w:val="20"/>
                <w:color w:val="auto"/>
              </w:rPr>
            </w:pPr>
          </w:p>
        </w:tc>
        <w:tc>
          <w:tcPr>
            <w:tcW w:w="3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Laura Williams, M.D., M.P.H.</w:t>
            </w: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color w:val="auto"/>
                <w:w w:val="98"/>
              </w:rPr>
              <w:t>Annual</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152,127</w:t>
            </w:r>
          </w:p>
        </w:tc>
        <w:tc>
          <w:tcPr>
            <w:tcW w:w="12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118,750</w:t>
            </w:r>
          </w:p>
        </w:tc>
        <w:tc>
          <w:tcPr>
            <w:tcW w:w="11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$2,088,255</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39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Kelliher</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New Hire</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205,000</w:t>
            </w: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color w:val="auto"/>
              </w:rPr>
              <w:t>160,000</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$2,470,303</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3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Each annual stock option grant disclosed above vests and becomes exercisable in substantially equal monthly installments over four years from the grant date, subject to each holder continuing to provide services to us through such dates. The New Hire stock option grant awarded to Mr. Kelliher also vests and becomes exercisable over four years from the grant date, subject to Mr. Kelliher continuing to provide services to us through such dates but contains a one-year cliff vest of 25% of the award, with vesting thereafter on a monthly ratable basis. The Annual RSU grants vest in substantially equal quarterly installments over four years on each of the Company’s designated quarterly RSU vest dates following the grant date, subject to each holder continuing to provide services to us through such dates. Our New Hire RSUs contain a one-year cliff vest of 25% of the award, with vesting thereafter on a quarterly ratable basis.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Retirement Programs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Our NEOs are eligible to participate in the 401(k) plan on the same terms as other full-time employees. We believe that providing a vehicle for tax-deferred retirement savings through our 401(k) plan adds to the overall desirability of our executive compensation package and further incentivizes our employees, including our NEOs, in accordance with our compensation policies. In 2023, the compensation committee and board of directors approved matching employer contributions under our 401(k) plan for all employees participating in the 401(k) plan, with all contributions to vest immediately, and the Company match to be 0.5% of the first 3% of the employee’s contribution.</w:t>
      </w:r>
    </w:p>
    <w:p>
      <w:pPr>
        <w:spacing w:after="0" w:line="84"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our health and welfare plans. These health and welfare plans include medical, dental and vision benefits; short-term and long-term disability insurance; and supplemental life and AD&amp;D insurance.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ind w:left="300" w:right="1059"/>
        <w:spacing w:after="0" w:line="282" w:lineRule="auto"/>
        <w:rPr>
          <w:sz w:val="20"/>
          <w:szCs w:val="20"/>
          <w:color w:val="auto"/>
        </w:rPr>
      </w:pPr>
      <w:r>
        <w:rPr>
          <w:rFonts w:ascii="Times New Roman" w:cs="Times New Roman" w:eastAsia="Times New Roman" w:hAnsi="Times New Roman"/>
          <w:sz w:val="18"/>
          <w:szCs w:val="18"/>
          <w:color w:val="auto"/>
        </w:rPr>
        <w:t>We did not provide any perquisites or personal benefits to our NEOs not otherwise made available to other employees in 2024.</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Employment and Severance Arrangements</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We have entered into an employment agreement with our CEO and an offer letter and a change in control severance agreement with each of our other NEOs. Our CEO’s employment agreement and our NEOs’ offer letters set forth the terms and conditions of employment of our NEOs, including base salary and standard employee benefit plan participation and, in the case of offer letters, initial equity awards. Our CEO’s employment agreement and other NEOs’ change in control severance agreements provide for severance benefits and payments upon certain terminations without cause or resignations for good reason. The Committee believes that these types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of arrangements are necessary to attract and retain executive talent and are a customary component of executive compensation. In particular, such arrangements can serve to mitigate a potential disincentive for them when they are evaluating a potential acquisition of the Company and can encourage retention through the conclusion of the transaction. The payments and benefits provided under our CEO’s employment agreement and our other NEOs’ change in control severance agreements are described in more detail and quantified below under “—Potential Payments Upon Termination or Change in Control.”</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Aspects of our Compensation Program</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Recovery of Erroneously Awarded Compensation Policy</w:t>
      </w:r>
    </w:p>
    <w:p>
      <w:pPr>
        <w:spacing w:after="0" w:line="119"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Our Policy for Recovery of Erroneously Awarded Compensation (the “Clawback Policy”) is intended to comply with SEC and Nasdaq listing standards and maintain a culture of focused, diligent, and responsible management that discourages conduct detrimental to our growth. Accordingly, as set forth in the Clawback Policy, we are required to recover certain erroneously paid incentive-based compensation of our current and former executive officers in the event we are required to prepare a qualifying accounting restatement. The Clawback Policy provides that such erroneously paid incentive-based compensation may also be recovered from other compensation payable by us.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Equity Granting Practices</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From time to time, we grant equity awards, including stock options and RSUs, to our employees, including our NEOs. Our typical practice is to grant employee equity awards upon an individual’s commencement of employment. We typically grant annual refresh employee equity grants in the first quarter of each fiscal year, which refresh grants are typically approved at a regularly scheduled meeting of the Committee occurring in such quarter. In addition, non-employee directors receive grants of initial and annual equity awards, at the time of a director’s initial appointment or election to the board and at the time of each annual meeting of our stockholders, respectively, pursuant to our non-employee director compensation program. We do not otherwise maintain any written policies on the timing of awards of stock options, stock appreciation rights, or similar instruments with option-like features. The Committee considers whether there is any material nonpublic information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w:t>
      </w:r>
    </w:p>
    <w:p>
      <w:pPr>
        <w:spacing w:after="0" w:line="82"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During fiscal year 2024, we did not grant stock options or similar option-like instruments to our NEOs during the four business days prior to or the one business day following the filing of our periodic reports or the filing or furnishing of a Form 8-K that discloses MNPI.</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Insider Trading</w:t>
      </w:r>
    </w:p>
    <w:p>
      <w:pPr>
        <w:spacing w:after="0" w:line="11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All employees, officers, members of our board of directors and certain consultants of the Company are subject to our Insider Trading Compliance Policy. The policy prohibits the covered individuals from purchasing or selling any of our securities while in possession of material nonpublic information. 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Accounting and Tax Considerations</w:t>
      </w:r>
    </w:p>
    <w:p>
      <w:pPr>
        <w:spacing w:after="0" w:line="11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As a general matter, our Committee reviews and considers the various tax and accounting implications of compensation programs we utilize. We account for equity compensation paid to our employees under the rules of Financial Accounting Standards Board Accounting Standard Codification Topic 718, Compensation—Stock Compensation (“ASC Topic 718”). Accounting standards also require us to record cash compensation as an expense at the time the obligation is accrued.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Risk Assessment</w:t>
      </w:r>
    </w:p>
    <w:p>
      <w:pPr>
        <w:spacing w:after="0" w:line="11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Committee carefully considered whether our compensation policies and practices were reasonably likely to have a material adverse effect on the Company. The Committee believes that the mix and design of our compensation plans and policies do not encourage management to assume excessive risks and are not reasonably likely to have a material adverse effect on the Company. The Committee considered several factors in assessing the overall risk of our compensation program:</w:t>
      </w:r>
    </w:p>
    <w:p>
      <w:pPr>
        <w:spacing w:after="0" w:line="210" w:lineRule="exact"/>
        <w:rPr>
          <w:sz w:val="20"/>
          <w:szCs w:val="20"/>
          <w:color w:val="auto"/>
        </w:rPr>
      </w:pPr>
    </w:p>
    <w:p>
      <w:pPr>
        <w:ind w:left="720" w:right="299" w:hanging="428"/>
        <w:spacing w:after="0" w:line="261"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offer a base salary component of compensation, as well as certain health and welfare benefits, to provide employees fixed compensation and support regardless of performance</w:t>
      </w:r>
    </w:p>
    <w:p>
      <w:pPr>
        <w:spacing w:after="0" w:line="8" w:lineRule="exact"/>
        <w:rPr>
          <w:rFonts w:ascii="MS PGothic" w:cs="MS PGothic" w:eastAsia="MS PGothic" w:hAnsi="MS PGothic"/>
          <w:sz w:val="18"/>
          <w:szCs w:val="18"/>
          <w:color w:val="auto"/>
        </w:rPr>
      </w:pPr>
    </w:p>
    <w:p>
      <w:pPr>
        <w:ind w:left="720" w:right="299" w:hanging="428"/>
        <w:spacing w:after="0" w:line="261"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Cash Based Incentive Compensation Program has a range of metrics and outcomes that promote a balanced view of performance and is not binary in application</w:t>
      </w:r>
    </w:p>
    <w:p>
      <w:pPr>
        <w:spacing w:after="0" w:line="8" w:lineRule="exact"/>
        <w:rPr>
          <w:rFonts w:ascii="MS PGothic" w:cs="MS PGothic" w:eastAsia="MS PGothic" w:hAnsi="MS PGothic"/>
          <w:sz w:val="18"/>
          <w:szCs w:val="18"/>
          <w:color w:val="auto"/>
        </w:rPr>
      </w:pPr>
    </w:p>
    <w:p>
      <w:pPr>
        <w:ind w:left="720" w:right="299" w:hanging="428"/>
        <w:spacing w:after="0" w:line="261"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Certain aspects of the Company’s Cash Based Incentive Program include qualitative consideration, which restrain the influence of formulae or quantitative factors on excessive risk taking</w:t>
      </w:r>
    </w:p>
    <w:p>
      <w:pPr>
        <w:spacing w:after="0" w:line="8" w:lineRule="exact"/>
        <w:rPr>
          <w:rFonts w:ascii="MS PGothic" w:cs="MS PGothic" w:eastAsia="MS PGothic" w:hAnsi="MS PGothic"/>
          <w:sz w:val="18"/>
          <w:szCs w:val="18"/>
          <w:color w:val="auto"/>
        </w:rPr>
      </w:pPr>
    </w:p>
    <w:p>
      <w:pPr>
        <w:ind w:left="720" w:right="319" w:hanging="428"/>
        <w:spacing w:after="0" w:line="261"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use multiple incentive plan metrics covering key financial, scientific, operational, strategic, and people goals</w:t>
      </w:r>
    </w:p>
    <w:p>
      <w:pPr>
        <w:spacing w:after="0" w:line="8" w:lineRule="exact"/>
        <w:rPr>
          <w:rFonts w:ascii="MS PGothic" w:cs="MS PGothic" w:eastAsia="MS PGothic" w:hAnsi="MS PGothic"/>
          <w:sz w:val="18"/>
          <w:szCs w:val="18"/>
          <w:color w:val="auto"/>
        </w:rPr>
      </w:pP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set performance goals that we believe are reasonable to achieve</w:t>
      </w:r>
    </w:p>
    <w:p>
      <w:pPr>
        <w:spacing w:after="0" w:line="55" w:lineRule="exact"/>
        <w:rPr>
          <w:rFonts w:ascii="MS PGothic" w:cs="MS PGothic" w:eastAsia="MS PGothic" w:hAnsi="MS PGothic"/>
          <w:sz w:val="18"/>
          <w:szCs w:val="18"/>
          <w:color w:val="auto"/>
        </w:rPr>
      </w:pP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Committee has full discretion to adjust the Cash Based Incentive Compensation funding at the end of year</w:t>
      </w:r>
    </w:p>
    <w:p>
      <w:pPr>
        <w:spacing w:after="0" w:line="36" w:lineRule="exact"/>
        <w:rPr>
          <w:rFonts w:ascii="MS PGothic" w:cs="MS PGothic" w:eastAsia="MS PGothic" w:hAnsi="MS PGothic"/>
          <w:sz w:val="18"/>
          <w:szCs w:val="18"/>
          <w:color w:val="auto"/>
        </w:rPr>
      </w:pP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utilize both short- and long-term incentives to balance risk and reward</w:t>
      </w:r>
    </w:p>
    <w:p>
      <w:pPr>
        <w:spacing w:after="0" w:line="36" w:lineRule="exact"/>
        <w:rPr>
          <w:rFonts w:ascii="MS PGothic" w:cs="MS PGothic" w:eastAsia="MS PGothic" w:hAnsi="MS PGothic"/>
          <w:sz w:val="18"/>
          <w:szCs w:val="18"/>
          <w:color w:val="auto"/>
        </w:rPr>
      </w:pPr>
    </w:p>
    <w:p>
      <w:pPr>
        <w:ind w:left="720" w:right="319" w:hanging="428"/>
        <w:spacing w:after="0" w:line="249"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grant long-term incentive awards that have a multi-year vesting schedule to promote a long-term view and decision-making</w:t>
      </w:r>
    </w:p>
    <w:p>
      <w:pPr>
        <w:spacing w:after="0" w:line="10" w:lineRule="exact"/>
        <w:rPr>
          <w:rFonts w:ascii="MS PGothic" w:cs="MS PGothic" w:eastAsia="MS PGothic" w:hAnsi="MS PGothic"/>
          <w:sz w:val="18"/>
          <w:szCs w:val="18"/>
          <w:color w:val="auto"/>
        </w:rPr>
      </w:pP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maintain a Clawback Policy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OF THE BOARD OF DIRECTORS</w:t>
      </w:r>
    </w:p>
    <w:p>
      <w:pPr>
        <w:spacing w:after="0" w:line="119" w:lineRule="exact"/>
        <w:rPr>
          <w:sz w:val="20"/>
          <w:szCs w:val="20"/>
          <w:color w:val="auto"/>
        </w:rPr>
      </w:pPr>
    </w:p>
    <w:p>
      <w:pPr>
        <w:ind w:left="300" w:right="53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p>
    <w:p>
      <w:pPr>
        <w:spacing w:after="0" w:line="67"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disclosure set forth above under the heading “Compensation Discussion and Analysis” with management and, based on such review and discussions, it has recommended to the board of directors that the “Compensation Discussion and Analysis” be included in this proxy statement and incorporated by reference into our Annual Report on Form 10-K for the fiscal year ended December 31, 2024.</w:t>
      </w:r>
    </w:p>
    <w:p>
      <w:pPr>
        <w:spacing w:after="0" w:line="20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4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David Mott, Chairperson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Robert Bazemore</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Muna Bhanji</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Richard Rodgers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the compensation earned by each of our named executive officers during the fiscal years ended December 31, 2024, 2023 and 2022.</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88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22"/>
                <w:szCs w:val="22"/>
                <w:b w:val="1"/>
                <w:bCs w:val="1"/>
                <w:color w:val="auto"/>
                <w:w w:val="86"/>
                <w:vertAlign w:val="superscript"/>
              </w:rPr>
              <w:t>(1)</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92"/>
              </w:rPr>
              <w:t>($)</w:t>
            </w:r>
            <w:r>
              <w:rPr>
                <w:rFonts w:ascii="Times New Roman" w:cs="Times New Roman" w:eastAsia="Times New Roman" w:hAnsi="Times New Roman"/>
                <w:sz w:val="22"/>
                <w:szCs w:val="22"/>
                <w:b w:val="1"/>
                <w:bCs w:val="1"/>
                <w:color w:val="auto"/>
                <w:w w:val="92"/>
                <w:vertAlign w:val="superscript"/>
              </w:rPr>
              <w:t>(1)</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22"/>
                <w:szCs w:val="22"/>
                <w:b w:val="1"/>
                <w:bCs w:val="1"/>
                <w:color w:val="auto"/>
                <w:w w:val="86"/>
                <w:vertAlign w:val="superscript"/>
              </w:rPr>
              <w:t>(2)</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92"/>
              </w:rPr>
              <w:t>($)</w:t>
            </w:r>
            <w:r>
              <w:rPr>
                <w:rFonts w:ascii="Times New Roman" w:cs="Times New Roman" w:eastAsia="Times New Roman" w:hAnsi="Times New Roman"/>
                <w:sz w:val="22"/>
                <w:szCs w:val="22"/>
                <w:b w:val="1"/>
                <w:bCs w:val="1"/>
                <w:color w:val="auto"/>
                <w:w w:val="92"/>
                <w:vertAlign w:val="superscript"/>
              </w:rPr>
              <w:t>(3)</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Raab</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2024 770,000</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4,170,500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4,164,621</w:t>
            </w:r>
          </w:p>
        </w:tc>
        <w:tc>
          <w:tcPr>
            <w:tcW w:w="96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495,880</w:t>
            </w:r>
          </w:p>
        </w:tc>
        <w:tc>
          <w:tcPr>
            <w:tcW w:w="9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5,164</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9,606,165</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Chief</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700,000</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2,395,694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4,950</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4,118,144</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Officer and</w:t>
            </w:r>
          </w:p>
        </w:tc>
        <w:tc>
          <w:tcPr>
            <w:tcW w:w="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650,000</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r>
              <w:rPr>
                <w:rFonts w:ascii="Times New Roman" w:cs="Times New Roman" w:eastAsia="Times New Roman" w:hAnsi="Times New Roman"/>
                <w:sz w:val="26"/>
                <w:szCs w:val="26"/>
                <w:color w:val="auto"/>
                <w:vertAlign w:val="superscript"/>
              </w:rPr>
              <w:t>(4)</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517,020</w:t>
            </w:r>
          </w:p>
        </w:tc>
        <w:tc>
          <w:tcPr>
            <w:tcW w:w="960" w:type="dxa"/>
            <w:vAlign w:val="bottom"/>
            <w:gridSpan w:val="2"/>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331,500</w:t>
            </w:r>
          </w:p>
        </w:tc>
        <w:tc>
          <w:tcPr>
            <w:tcW w:w="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1,947,020</w:t>
            </w:r>
          </w:p>
        </w:tc>
        <w:tc>
          <w:tcPr>
            <w:tcW w:w="0" w:type="dxa"/>
            <w:vAlign w:val="bottom"/>
          </w:tcPr>
          <w:p>
            <w:pPr>
              <w:spacing w:after="0"/>
              <w:rPr>
                <w:sz w:val="1"/>
                <w:szCs w:val="1"/>
                <w:color w:val="auto"/>
              </w:rPr>
            </w:pPr>
          </w:p>
        </w:tc>
      </w:tr>
      <w:tr>
        <w:trPr>
          <w:trHeight w:val="164"/>
        </w:trPr>
        <w:tc>
          <w:tcPr>
            <w:tcW w:w="23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Justin Renz</w:t>
            </w:r>
          </w:p>
        </w:tc>
        <w:tc>
          <w:tcPr>
            <w:tcW w:w="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517,000</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1,121,645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1,127,238</w:t>
            </w:r>
          </w:p>
        </w:tc>
        <w:tc>
          <w:tcPr>
            <w:tcW w:w="960" w:type="dxa"/>
            <w:vAlign w:val="bottom"/>
            <w:gridSpan w:val="2"/>
          </w:tcPr>
          <w:p>
            <w:pPr>
              <w:jc w:val="right"/>
              <w:ind w:right="107"/>
              <w:spacing w:after="0"/>
              <w:rPr>
                <w:sz w:val="20"/>
                <w:szCs w:val="20"/>
                <w:color w:val="auto"/>
              </w:rPr>
            </w:pPr>
            <w:r>
              <w:rPr>
                <w:rFonts w:ascii="Times New Roman" w:cs="Times New Roman" w:eastAsia="Times New Roman" w:hAnsi="Times New Roman"/>
                <w:sz w:val="16"/>
                <w:szCs w:val="16"/>
                <w:color w:val="auto"/>
              </w:rPr>
              <w:t>214,038</w:t>
            </w:r>
          </w:p>
        </w:tc>
        <w:tc>
          <w:tcPr>
            <w:tcW w:w="94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rPr>
              <w:t>3,932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2,983,853</w:t>
            </w:r>
          </w:p>
        </w:tc>
        <w:tc>
          <w:tcPr>
            <w:tcW w:w="0" w:type="dxa"/>
            <w:vAlign w:val="bottom"/>
          </w:tcPr>
          <w:p>
            <w:pPr>
              <w:spacing w:after="0"/>
              <w:rPr>
                <w:sz w:val="1"/>
                <w:szCs w:val="1"/>
                <w:color w:val="auto"/>
              </w:rPr>
            </w:pPr>
          </w:p>
        </w:tc>
      </w:tr>
      <w:tr>
        <w:trPr>
          <w:trHeight w:val="203"/>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Operations Officer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00" w:type="dxa"/>
            <w:vAlign w:val="bottom"/>
            <w:gridSpan w:val="5"/>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Elizabeth Grammer</w:t>
            </w:r>
          </w:p>
        </w:tc>
        <w:tc>
          <w:tcPr>
            <w:tcW w:w="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2024 509,300</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1,121,645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1,127,238</w:t>
            </w:r>
          </w:p>
        </w:tc>
        <w:tc>
          <w:tcPr>
            <w:tcW w:w="96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210,850</w:t>
            </w:r>
          </w:p>
        </w:tc>
        <w:tc>
          <w:tcPr>
            <w:tcW w:w="9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4,273</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2,973,306</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Legal and</w:t>
            </w:r>
          </w:p>
        </w:tc>
        <w:tc>
          <w:tcPr>
            <w:tcW w:w="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2023 463,300</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748,121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4,950</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1,630,871</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Administrative Officer</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Laura Williams, M.D., M.P.H.</w:t>
            </w:r>
          </w:p>
        </w:tc>
        <w:tc>
          <w:tcPr>
            <w:tcW w:w="80" w:type="dxa"/>
            <w:vAlign w:val="bottom"/>
          </w:tcPr>
          <w:p>
            <w:pPr>
              <w:spacing w:after="0"/>
              <w:rPr>
                <w:sz w:val="17"/>
                <w:szCs w:val="17"/>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2024 522,720</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1,042,625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1,045,630</w:t>
            </w:r>
          </w:p>
        </w:tc>
        <w:tc>
          <w:tcPr>
            <w:tcW w:w="960" w:type="dxa"/>
            <w:vAlign w:val="bottom"/>
            <w:gridSpan w:val="2"/>
          </w:tcPr>
          <w:p>
            <w:pPr>
              <w:jc w:val="right"/>
              <w:ind w:right="107"/>
              <w:spacing w:after="0"/>
              <w:rPr>
                <w:sz w:val="20"/>
                <w:szCs w:val="20"/>
                <w:color w:val="auto"/>
              </w:rPr>
            </w:pPr>
            <w:r>
              <w:rPr>
                <w:rFonts w:ascii="Times New Roman" w:cs="Times New Roman" w:eastAsia="Times New Roman" w:hAnsi="Times New Roman"/>
                <w:sz w:val="16"/>
                <w:szCs w:val="16"/>
                <w:color w:val="auto"/>
              </w:rPr>
              <w:t>216,406</w:t>
            </w:r>
          </w:p>
        </w:tc>
        <w:tc>
          <w:tcPr>
            <w:tcW w:w="80" w:type="dxa"/>
            <w:vAlign w:val="bottom"/>
          </w:tcPr>
          <w:p>
            <w:pPr>
              <w:spacing w:after="0"/>
              <w:rPr>
                <w:sz w:val="17"/>
                <w:szCs w:val="17"/>
                <w:color w:val="auto"/>
              </w:rPr>
            </w:pP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2,827,381</w:t>
            </w:r>
          </w:p>
        </w:tc>
        <w:tc>
          <w:tcPr>
            <w:tcW w:w="0" w:type="dxa"/>
            <w:vAlign w:val="bottom"/>
          </w:tcPr>
          <w:p>
            <w:pPr>
              <w:spacing w:after="0"/>
              <w:rPr>
                <w:sz w:val="1"/>
                <w:szCs w:val="1"/>
                <w:color w:val="auto"/>
              </w:rPr>
            </w:pPr>
          </w:p>
        </w:tc>
      </w:tr>
      <w:tr>
        <w:trPr>
          <w:trHeight w:val="253"/>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2023 483,600</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181,210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748,121</w:t>
            </w:r>
          </w:p>
        </w:tc>
        <w:tc>
          <w:tcPr>
            <w:tcW w:w="100" w:type="dxa"/>
            <w:vAlign w:val="bottom"/>
          </w:tcPr>
          <w:p>
            <w:pPr>
              <w:spacing w:after="0"/>
              <w:rPr>
                <w:sz w:val="21"/>
                <w:szCs w:val="21"/>
                <w:color w:val="auto"/>
              </w:rPr>
            </w:pP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1,627,431</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4"/>
                <w:szCs w:val="24"/>
                <w:color w:val="auto"/>
              </w:rPr>
            </w:pP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2022 465,000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r>
              <w:rPr>
                <w:rFonts w:ascii="Times New Roman" w:cs="Times New Roman" w:eastAsia="Times New Roman" w:hAnsi="Times New Roman"/>
                <w:sz w:val="26"/>
                <w:szCs w:val="26"/>
                <w:color w:val="auto"/>
                <w:vertAlign w:val="superscript"/>
              </w:rPr>
              <w:t>(4)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141,811</w:t>
            </w:r>
          </w:p>
        </w:tc>
        <w:tc>
          <w:tcPr>
            <w:tcW w:w="960" w:type="dxa"/>
            <w:vAlign w:val="bottom"/>
            <w:gridSpan w:val="2"/>
          </w:tcPr>
          <w:p>
            <w:pPr>
              <w:jc w:val="right"/>
              <w:ind w:right="107"/>
              <w:spacing w:after="0"/>
              <w:rPr>
                <w:sz w:val="20"/>
                <w:szCs w:val="20"/>
                <w:color w:val="auto"/>
              </w:rPr>
            </w:pPr>
            <w:r>
              <w:rPr>
                <w:rFonts w:ascii="Times New Roman" w:cs="Times New Roman" w:eastAsia="Times New Roman" w:hAnsi="Times New Roman"/>
                <w:sz w:val="16"/>
                <w:szCs w:val="16"/>
                <w:color w:val="auto"/>
              </w:rPr>
              <w:t>158,800</w:t>
            </w:r>
          </w:p>
        </w:tc>
        <w:tc>
          <w:tcPr>
            <w:tcW w:w="80" w:type="dxa"/>
            <w:vAlign w:val="bottom"/>
          </w:tcPr>
          <w:p>
            <w:pPr>
              <w:spacing w:after="0"/>
              <w:rPr>
                <w:sz w:val="24"/>
                <w:szCs w:val="24"/>
                <w:color w:val="auto"/>
              </w:rPr>
            </w:pP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1,055,211</w:t>
            </w:r>
          </w:p>
        </w:tc>
        <w:tc>
          <w:tcPr>
            <w:tcW w:w="0" w:type="dxa"/>
            <w:vAlign w:val="bottom"/>
          </w:tcPr>
          <w:p>
            <w:pPr>
              <w:spacing w:after="0"/>
              <w:rPr>
                <w:sz w:val="1"/>
                <w:szCs w:val="1"/>
                <w:color w:val="auto"/>
              </w:rPr>
            </w:pPr>
          </w:p>
        </w:tc>
      </w:tr>
      <w:tr>
        <w:trPr>
          <w:trHeight w:val="241"/>
        </w:trPr>
        <w:tc>
          <w:tcPr>
            <w:tcW w:w="230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Michael Kelliher</w:t>
            </w:r>
            <w:r>
              <w:rPr>
                <w:rFonts w:ascii="Times New Roman" w:cs="Times New Roman" w:eastAsia="Times New Roman" w:hAnsi="Times New Roman"/>
                <w:sz w:val="26"/>
                <w:szCs w:val="26"/>
                <w:color w:val="auto"/>
                <w:vertAlign w:val="superscript"/>
              </w:rPr>
              <w:t>(5)</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2024 338,461</w:t>
            </w: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1,238,303</w:t>
            </w:r>
          </w:p>
        </w:tc>
        <w:tc>
          <w:tcPr>
            <w:tcW w:w="96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182,160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2,990,924</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EVP, Corporate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Development and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Strategy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line="229"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13 to the audited financial statements included in our Annual Report on Form 10-K filed on February 20, 2025.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w:t>
      </w:r>
    </w:p>
    <w:p>
      <w:pPr>
        <w:spacing w:after="0" w:line="18"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Non-Equity Incentive Plan Compensation column represent annual cash performance-based bonuses earned by our NEOs pursuant to the achievement of certain company performance objectives.</w:t>
      </w: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All Other Compensation column represent employer matching contributions under our 401(k) plan.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discretionary retention bonuses paid to our NEOs in December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Kelliher commenced employment with us on March 25,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Grants of Plan-Based Awards Table</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 Non-</w:t>
            </w:r>
          </w:p>
        </w:tc>
        <w:tc>
          <w:tcPr>
            <w:tcW w:w="8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8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Plan Awards</w:t>
            </w:r>
            <w:r>
              <w:rPr>
                <w:rFonts w:ascii="Times New Roman" w:cs="Times New Roman" w:eastAsia="Times New Roman" w:hAnsi="Times New Roman"/>
                <w:sz w:val="18"/>
                <w:szCs w:val="18"/>
                <w:b w:val="1"/>
                <w:bCs w:val="1"/>
                <w:color w:val="auto"/>
                <w:vertAlign w:val="superscript"/>
              </w:rPr>
              <w:t>(1)</w:t>
            </w:r>
          </w:p>
        </w:tc>
        <w:tc>
          <w:tcPr>
            <w:tcW w:w="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6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480" w:type="dxa"/>
            <w:vAlign w:val="bottom"/>
            <w:vMerge w:val="restart"/>
          </w:tcPr>
          <w:p>
            <w:pPr>
              <w:jc w:val="center"/>
              <w:ind w:left="488"/>
              <w:spacing w:after="0" w:line="137"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040" w:type="dxa"/>
            <w:vAlign w:val="bottom"/>
            <w:vMerge w:val="restart"/>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0" w:type="dxa"/>
            <w:vAlign w:val="bottom"/>
            <w:vMerge w:val="restart"/>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award</w:t>
            </w:r>
          </w:p>
        </w:tc>
        <w:tc>
          <w:tcPr>
            <w:tcW w:w="0" w:type="dxa"/>
            <w:vAlign w:val="bottom"/>
          </w:tcPr>
          <w:p>
            <w:pPr>
              <w:spacing w:after="0"/>
              <w:rPr>
                <w:sz w:val="1"/>
                <w:szCs w:val="1"/>
                <w:color w:val="auto"/>
              </w:rPr>
            </w:pPr>
          </w:p>
        </w:tc>
      </w:tr>
      <w:tr>
        <w:trPr>
          <w:trHeight w:val="50"/>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48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Grant</w:t>
      </w:r>
    </w:p>
    <w:p>
      <w:pPr>
        <w:jc w:val="center"/>
        <w:ind w:right="439"/>
        <w:spacing w:after="0" w:line="229" w:lineRule="auto"/>
        <w:rPr>
          <w:sz w:val="20"/>
          <w:szCs w:val="20"/>
          <w:color w:val="auto"/>
        </w:rPr>
      </w:pPr>
      <w:r>
        <w:rPr>
          <w:rFonts w:ascii="Times New Roman" w:cs="Times New Roman" w:eastAsia="Times New Roman" w:hAnsi="Times New Roman"/>
          <w:sz w:val="14"/>
          <w:szCs w:val="14"/>
          <w:b w:val="1"/>
          <w:bCs w:val="1"/>
          <w:color w:val="auto"/>
        </w:rPr>
        <w:t>date fair</w:t>
      </w:r>
    </w:p>
    <w:p>
      <w:pPr>
        <w:jc w:val="center"/>
        <w:ind w:right="439"/>
        <w:spacing w:after="0" w:line="221" w:lineRule="auto"/>
        <w:rPr>
          <w:sz w:val="20"/>
          <w:szCs w:val="20"/>
          <w:color w:val="auto"/>
        </w:rPr>
      </w:pPr>
      <w:r>
        <w:rPr>
          <w:rFonts w:ascii="Times New Roman" w:cs="Times New Roman" w:eastAsia="Times New Roman" w:hAnsi="Times New Roman"/>
          <w:sz w:val="14"/>
          <w:szCs w:val="14"/>
          <w:b w:val="1"/>
          <w:bCs w:val="1"/>
          <w:color w:val="auto"/>
        </w:rPr>
        <w:t>value of</w:t>
      </w:r>
    </w:p>
    <w:p>
      <w:pPr>
        <w:jc w:val="center"/>
        <w:ind w:right="439"/>
        <w:spacing w:after="0" w:line="222" w:lineRule="auto"/>
        <w:rPr>
          <w:sz w:val="20"/>
          <w:szCs w:val="20"/>
          <w:color w:val="auto"/>
        </w:rPr>
      </w:pPr>
      <w:r>
        <w:rPr>
          <w:rFonts w:ascii="Times New Roman" w:cs="Times New Roman" w:eastAsia="Times New Roman" w:hAnsi="Times New Roman"/>
          <w:sz w:val="14"/>
          <w:szCs w:val="14"/>
          <w:b w:val="1"/>
          <w:bCs w:val="1"/>
          <w:color w:val="auto"/>
        </w:rPr>
        <w:t>stock and</w:t>
      </w:r>
    </w:p>
    <w:p>
      <w:pPr>
        <w:jc w:val="center"/>
        <w:ind w:right="439"/>
        <w:spacing w:after="0" w:line="221" w:lineRule="auto"/>
        <w:rPr>
          <w:sz w:val="20"/>
          <w:szCs w:val="20"/>
          <w:color w:val="auto"/>
        </w:rPr>
      </w:pPr>
      <w:r>
        <w:rPr>
          <w:rFonts w:ascii="Times New Roman" w:cs="Times New Roman" w:eastAsia="Times New Roman" w:hAnsi="Times New Roman"/>
          <w:sz w:val="14"/>
          <w:szCs w:val="14"/>
          <w:b w:val="1"/>
          <w:bCs w:val="1"/>
          <w:color w:val="auto"/>
        </w:rPr>
        <w:t>option</w:t>
      </w:r>
    </w:p>
    <w:p>
      <w:pPr>
        <w:jc w:val="center"/>
        <w:ind w:right="439"/>
        <w:spacing w:after="0" w:line="233" w:lineRule="auto"/>
        <w:rPr>
          <w:sz w:val="20"/>
          <w:szCs w:val="20"/>
          <w:color w:val="auto"/>
        </w:rPr>
      </w:pPr>
      <w:r>
        <w:rPr>
          <w:rFonts w:ascii="Times New Roman" w:cs="Times New Roman" w:eastAsia="Times New Roman" w:hAnsi="Times New Roman"/>
          <w:sz w:val="14"/>
          <w:szCs w:val="14"/>
          <w:b w:val="1"/>
          <w:bCs w:val="1"/>
          <w:color w:val="auto"/>
        </w:rPr>
        <w:t>awards</w:t>
      </w:r>
    </w:p>
    <w:p>
      <w:pPr>
        <w:jc w:val="center"/>
        <w:ind w:right="479"/>
        <w:spacing w:after="0" w:line="186" w:lineRule="auto"/>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1"/>
          <w:szCs w:val="11"/>
          <w:b w:val="1"/>
          <w:bCs w:val="1"/>
          <w:color w:val="auto"/>
        </w:rPr>
        <w:t>(2)</w:t>
      </w:r>
    </w:p>
    <w:p>
      <w:pPr>
        <w:spacing w:after="0" w:line="3" w:lineRule="exact"/>
        <w:rPr>
          <w:sz w:val="20"/>
          <w:szCs w:val="20"/>
          <w:color w:val="auto"/>
        </w:rPr>
      </w:pPr>
    </w:p>
    <w:p>
      <w:pPr>
        <w:sectPr>
          <w:pgSz w:w="11900" w:h="16838" w:orient="portrait"/>
          <w:cols w:equalWidth="0" w:num="2">
            <w:col w:w="7720" w:space="280"/>
            <w:col w:w="1019"/>
          </w:cols>
          <w:pgMar w:left="1440" w:top="114" w:right="1440" w:bottom="1440" w:gutter="0" w:footer="0" w:header="0"/>
        </w:sectPr>
      </w:pPr>
    </w:p>
    <w:tbl>
      <w:tblPr>
        <w:tblLayout w:type="fixed"/>
        <w:tblInd w:w="300" w:type="dxa"/>
        <w:tblCellMar>
          <w:top w:w="0" w:type="dxa"/>
          <w:left w:w="0" w:type="dxa"/>
          <w:bottom w:w="0" w:type="dxa"/>
          <w:right w:w="0" w:type="dxa"/>
        </w:tblCellMar>
      </w:tblPr>
      <w:tr>
        <w:trPr>
          <w:trHeight w:val="310"/>
        </w:trPr>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40" w:type="dxa"/>
            <w:vAlign w:val="bottom"/>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w w:val="90"/>
              </w:rPr>
              <w:t>Option</w:t>
            </w:r>
            <w:r>
              <w:rPr>
                <w:rFonts w:ascii="Times New Roman" w:cs="Times New Roman" w:eastAsia="Times New Roman" w:hAnsi="Times New Roman"/>
                <w:sz w:val="29"/>
                <w:szCs w:val="29"/>
                <w:color w:val="auto"/>
                <w:w w:val="90"/>
                <w:vertAlign w:val="superscript"/>
              </w:rPr>
              <w:t>(3)</w:t>
            </w:r>
          </w:p>
        </w:tc>
        <w:tc>
          <w:tcPr>
            <w:tcW w:w="140" w:type="dxa"/>
            <w:vAlign w:val="bottom"/>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605,904</w:t>
            </w:r>
          </w:p>
        </w:tc>
        <w:tc>
          <w:tcPr>
            <w:tcW w:w="140" w:type="dxa"/>
            <w:vAlign w:val="bottom"/>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$4,164,421</w:t>
            </w:r>
          </w:p>
        </w:tc>
        <w:tc>
          <w:tcPr>
            <w:tcW w:w="0" w:type="dxa"/>
            <w:vAlign w:val="bottom"/>
          </w:tcPr>
          <w:p>
            <w:pPr>
              <w:spacing w:after="0"/>
              <w:rPr>
                <w:sz w:val="1"/>
                <w:szCs w:val="1"/>
                <w:color w:val="auto"/>
              </w:rPr>
            </w:pPr>
          </w:p>
        </w:tc>
      </w:tr>
      <w:tr>
        <w:trPr>
          <w:trHeight w:val="283"/>
        </w:trPr>
        <w:tc>
          <w:tcPr>
            <w:tcW w:w="1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RSU</w:t>
            </w:r>
            <w:r>
              <w:rPr>
                <w:rFonts w:ascii="Times New Roman" w:cs="Times New Roman" w:eastAsia="Times New Roman" w:hAnsi="Times New Roman"/>
                <w:sz w:val="29"/>
                <w:szCs w:val="29"/>
                <w:color w:val="auto"/>
                <w:vertAlign w:val="superscript"/>
              </w:rPr>
              <w:t>(4)</w:t>
            </w:r>
          </w:p>
        </w:tc>
        <w:tc>
          <w:tcPr>
            <w:tcW w:w="10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$4,170,500</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$539,000</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680" w:type="dxa"/>
            <w:vAlign w:val="bottom"/>
          </w:tcPr>
          <w:p>
            <w:pPr>
              <w:spacing w:after="0" w:line="283" w:lineRule="exact"/>
              <w:rPr>
                <w:sz w:val="20"/>
                <w:szCs w:val="20"/>
                <w:color w:val="auto"/>
              </w:rPr>
            </w:pPr>
            <w:r>
              <w:rPr>
                <w:rFonts w:ascii="Times New Roman" w:cs="Times New Roman" w:eastAsia="Times New Roman" w:hAnsi="Times New Roman"/>
                <w:sz w:val="18"/>
                <w:szCs w:val="18"/>
                <w:color w:val="auto"/>
                <w:w w:val="90"/>
              </w:rPr>
              <w:t>Option</w:t>
            </w:r>
            <w:r>
              <w:rPr>
                <w:rFonts w:ascii="Times New Roman" w:cs="Times New Roman" w:eastAsia="Times New Roman" w:hAnsi="Times New Roman"/>
                <w:sz w:val="29"/>
                <w:szCs w:val="29"/>
                <w:color w:val="auto"/>
                <w:w w:val="90"/>
                <w:vertAlign w:val="superscript"/>
              </w:rPr>
              <w:t>(3)</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$1,127,238</w:t>
            </w:r>
          </w:p>
        </w:tc>
        <w:tc>
          <w:tcPr>
            <w:tcW w:w="0" w:type="dxa"/>
            <w:vAlign w:val="bottom"/>
          </w:tcPr>
          <w:p>
            <w:pPr>
              <w:spacing w:after="0"/>
              <w:rPr>
                <w:sz w:val="1"/>
                <w:szCs w:val="1"/>
                <w:color w:val="auto"/>
              </w:rPr>
            </w:pPr>
          </w:p>
        </w:tc>
      </w:tr>
      <w:tr>
        <w:trPr>
          <w:trHeight w:val="280"/>
        </w:trPr>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line="280" w:lineRule="exact"/>
              <w:rPr>
                <w:sz w:val="20"/>
                <w:szCs w:val="20"/>
                <w:color w:val="auto"/>
              </w:rPr>
            </w:pPr>
            <w:r>
              <w:rPr>
                <w:rFonts w:ascii="Times New Roman" w:cs="Times New Roman" w:eastAsia="Times New Roman" w:hAnsi="Times New Roman"/>
                <w:sz w:val="18"/>
                <w:szCs w:val="18"/>
                <w:color w:val="auto"/>
              </w:rPr>
              <w:t>RSU</w:t>
            </w:r>
            <w:r>
              <w:rPr>
                <w:rFonts w:ascii="Times New Roman" w:cs="Times New Roman" w:eastAsia="Times New Roman" w:hAnsi="Times New Roman"/>
                <w:sz w:val="29"/>
                <w:szCs w:val="29"/>
                <w:color w:val="auto"/>
                <w:vertAlign w:val="superscript"/>
              </w:rPr>
              <w:t>(4)</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127,750</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$1,121,645</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$232,650</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680" w:type="dxa"/>
            <w:vAlign w:val="bottom"/>
            <w:shd w:val="clear" w:color="auto" w:fill="CCEEFF"/>
          </w:tcPr>
          <w:p>
            <w:pPr>
              <w:spacing w:after="0" w:line="290" w:lineRule="exact"/>
              <w:rPr>
                <w:sz w:val="20"/>
                <w:szCs w:val="20"/>
                <w:color w:val="auto"/>
              </w:rPr>
            </w:pPr>
            <w:r>
              <w:rPr>
                <w:rFonts w:ascii="Times New Roman" w:cs="Times New Roman" w:eastAsia="Times New Roman" w:hAnsi="Times New Roman"/>
                <w:sz w:val="18"/>
                <w:szCs w:val="18"/>
                <w:color w:val="auto"/>
                <w:w w:val="90"/>
              </w:rPr>
              <w:t>Option</w:t>
            </w:r>
            <w:r>
              <w:rPr>
                <w:rFonts w:ascii="Times New Roman" w:cs="Times New Roman" w:eastAsia="Times New Roman" w:hAnsi="Times New Roman"/>
                <w:sz w:val="29"/>
                <w:szCs w:val="29"/>
                <w:color w:val="auto"/>
                <w:w w:val="90"/>
                <w:vertAlign w:val="superscript"/>
              </w:rPr>
              <w:t>(3)</w:t>
            </w:r>
          </w:p>
        </w:tc>
        <w:tc>
          <w:tcPr>
            <w:tcW w:w="10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$1,127,238</w:t>
            </w:r>
          </w:p>
        </w:tc>
        <w:tc>
          <w:tcPr>
            <w:tcW w:w="0" w:type="dxa"/>
            <w:vAlign w:val="bottom"/>
          </w:tcPr>
          <w:p>
            <w:pPr>
              <w:spacing w:after="0"/>
              <w:rPr>
                <w:sz w:val="1"/>
                <w:szCs w:val="1"/>
                <w:color w:val="auto"/>
              </w:rPr>
            </w:pPr>
          </w:p>
        </w:tc>
      </w:tr>
      <w:tr>
        <w:trPr>
          <w:trHeight w:val="283"/>
        </w:trPr>
        <w:tc>
          <w:tcPr>
            <w:tcW w:w="1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RSU</w:t>
            </w:r>
            <w:r>
              <w:rPr>
                <w:rFonts w:ascii="Times New Roman" w:cs="Times New Roman" w:eastAsia="Times New Roman" w:hAnsi="Times New Roman"/>
                <w:sz w:val="29"/>
                <w:szCs w:val="29"/>
                <w:color w:val="auto"/>
                <w:vertAlign w:val="superscript"/>
              </w:rPr>
              <w:t>(4)</w:t>
            </w:r>
          </w:p>
        </w:tc>
        <w:tc>
          <w:tcPr>
            <w:tcW w:w="10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$1,121,645</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$229,185</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Williams,</w:t>
            </w:r>
          </w:p>
        </w:tc>
        <w:tc>
          <w:tcPr>
            <w:tcW w:w="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Option</w:t>
            </w:r>
            <w:r>
              <w:rPr>
                <w:rFonts w:ascii="Times New Roman" w:cs="Times New Roman" w:eastAsia="Times New Roman" w:hAnsi="Times New Roman"/>
                <w:sz w:val="25"/>
                <w:szCs w:val="25"/>
                <w:color w:val="auto"/>
                <w:vertAlign w:val="superscript"/>
              </w:rPr>
              <w:t>(3)</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152,127</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$1,045,630</w:t>
            </w:r>
          </w:p>
        </w:tc>
        <w:tc>
          <w:tcPr>
            <w:tcW w:w="0" w:type="dxa"/>
            <w:vAlign w:val="bottom"/>
          </w:tcPr>
          <w:p>
            <w:pPr>
              <w:spacing w:after="0"/>
              <w:rPr>
                <w:sz w:val="1"/>
                <w:szCs w:val="1"/>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M.D., M.P.H.</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w:t>
            </w:r>
            <w:r>
              <w:rPr>
                <w:rFonts w:ascii="Times New Roman" w:cs="Times New Roman" w:eastAsia="Times New Roman" w:hAnsi="Times New Roman"/>
                <w:sz w:val="29"/>
                <w:szCs w:val="29"/>
                <w:color w:val="auto"/>
                <w:vertAlign w:val="superscript"/>
              </w:rPr>
              <w:t>(4)</w:t>
            </w:r>
          </w:p>
        </w:tc>
        <w:tc>
          <w:tcPr>
            <w:tcW w:w="100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118,750</w:t>
            </w:r>
          </w:p>
        </w:tc>
        <w:tc>
          <w:tcPr>
            <w:tcW w:w="14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$1,042,625</w:t>
            </w:r>
          </w:p>
        </w:tc>
        <w:tc>
          <w:tcPr>
            <w:tcW w:w="0" w:type="dxa"/>
            <w:vAlign w:val="bottom"/>
          </w:tcPr>
          <w:p>
            <w:pPr>
              <w:spacing w:after="0"/>
              <w:rPr>
                <w:sz w:val="1"/>
                <w:szCs w:val="1"/>
                <w:color w:val="auto"/>
              </w:rPr>
            </w:pPr>
          </w:p>
        </w:tc>
      </w:tr>
      <w:tr>
        <w:trPr>
          <w:trHeight w:val="112"/>
        </w:trPr>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$​11,762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$235,224</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Kelliher</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line="290" w:lineRule="exact"/>
              <w:rPr>
                <w:sz w:val="20"/>
                <w:szCs w:val="20"/>
                <w:color w:val="auto"/>
              </w:rPr>
            </w:pPr>
            <w:r>
              <w:rPr>
                <w:rFonts w:ascii="Times New Roman" w:cs="Times New Roman" w:eastAsia="Times New Roman" w:hAnsi="Times New Roman"/>
                <w:sz w:val="18"/>
                <w:szCs w:val="18"/>
                <w:color w:val="auto"/>
                <w:w w:val="90"/>
              </w:rPr>
              <w:t>Option</w:t>
            </w:r>
            <w:r>
              <w:rPr>
                <w:rFonts w:ascii="Times New Roman" w:cs="Times New Roman" w:eastAsia="Times New Roman" w:hAnsi="Times New Roman"/>
                <w:sz w:val="29"/>
                <w:szCs w:val="29"/>
                <w:color w:val="auto"/>
                <w:w w:val="90"/>
                <w:vertAlign w:val="superscript"/>
              </w:rPr>
              <w:t>(5)</w:t>
            </w:r>
          </w:p>
        </w:tc>
        <w:tc>
          <w:tcPr>
            <w:tcW w:w="10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3/25/2024</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$1,238,303</w:t>
            </w:r>
          </w:p>
        </w:tc>
        <w:tc>
          <w:tcPr>
            <w:tcW w:w="0" w:type="dxa"/>
            <w:vAlign w:val="bottom"/>
          </w:tcPr>
          <w:p>
            <w:pPr>
              <w:spacing w:after="0"/>
              <w:rPr>
                <w:sz w:val="1"/>
                <w:szCs w:val="1"/>
                <w:color w:val="auto"/>
              </w:rPr>
            </w:pPr>
          </w:p>
        </w:tc>
      </w:tr>
      <w:tr>
        <w:trPr>
          <w:trHeight w:val="283"/>
        </w:trPr>
        <w:tc>
          <w:tcPr>
            <w:tcW w:w="1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RSU</w:t>
            </w:r>
            <w:r>
              <w:rPr>
                <w:rFonts w:ascii="Times New Roman" w:cs="Times New Roman" w:eastAsia="Times New Roman" w:hAnsi="Times New Roman"/>
                <w:sz w:val="29"/>
                <w:szCs w:val="29"/>
                <w:color w:val="auto"/>
                <w:vertAlign w:val="superscript"/>
              </w:rPr>
              <w:t>(6)</w:t>
            </w:r>
          </w:p>
        </w:tc>
        <w:tc>
          <w:tcPr>
            <w:tcW w:w="10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3/25/2024</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$1,232,000</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Non-equity incentive plan awards consist of performance-based cash bonuses earned based on achievement of pre-determined performance criteria during fiscal year 2024. There is no maximum payout amount under the non-equity incentive plan. The 2024 cash incentive bonus determinations are described in more detail above under the heading “Cash-Based Incentive Compensation.”</w:t>
      </w:r>
    </w:p>
    <w:p>
      <w:pPr>
        <w:spacing w:after="0" w:line="14" w:lineRule="exact"/>
        <w:rPr>
          <w:rFonts w:ascii="Times New Roman" w:cs="Times New Roman" w:eastAsia="Times New Roman" w:hAnsi="Times New Roman"/>
          <w:sz w:val="14"/>
          <w:szCs w:val="14"/>
          <w:color w:val="auto"/>
        </w:rPr>
      </w:pPr>
    </w:p>
    <w:p>
      <w:pPr>
        <w:ind w:left="640" w:right="339" w:hanging="348"/>
        <w:spacing w:after="0" w:line="236"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RSU and stock option awards granted to our named executive officers, computed in accordance with ASC Topic 718 and excluding the effect of estimated forfeitures related to service-based vesting conditions. The assumptions used in the valuation of these awards are set forth in Note 13 to the audited financial statements included in our Annual Report on Form 10-K filed on February 20, 2025.</w:t>
      </w:r>
    </w:p>
    <w:p>
      <w:pPr>
        <w:spacing w:after="0" w:line="14"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grants of stock options to our NEOs, except Mr. Kelliher, in 2024. The option awards vest in substantially equal monthly installments over four years from the vesting commencement date, subject to the holder continuing to provide services to us through each such date.</w:t>
      </w:r>
    </w:p>
    <w:p>
      <w:pPr>
        <w:spacing w:after="0" w:line="14"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grants of RSU awards to our NEOs, except Mr. Kelliher, in 2024. The awards of restricted stock units vest in substantially equal quarterly installments over four years from the vesting commencement date, on each of February 19; May 19; August 19 and November 19, subject to the holder continuing to provide services to us through each such date.</w:t>
      </w:r>
    </w:p>
    <w:p>
      <w:pPr>
        <w:spacing w:after="0" w:line="14" w:lineRule="exact"/>
        <w:rPr>
          <w:rFonts w:ascii="Times New Roman" w:cs="Times New Roman" w:eastAsia="Times New Roman" w:hAnsi="Times New Roman"/>
          <w:sz w:val="14"/>
          <w:szCs w:val="14"/>
          <w:color w:val="auto"/>
        </w:rPr>
      </w:pPr>
    </w:p>
    <w:p>
      <w:pPr>
        <w:jc w:val="both"/>
        <w:ind w:left="640" w:right="57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new hire grant of stock options to Mr. Kelliher. The option award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w:t>
      </w:r>
    </w:p>
    <w:p>
      <w:pPr>
        <w:spacing w:after="0" w:line="14" w:lineRule="exact"/>
        <w:rPr>
          <w:rFonts w:ascii="Times New Roman" w:cs="Times New Roman" w:eastAsia="Times New Roman" w:hAnsi="Times New Roman"/>
          <w:sz w:val="14"/>
          <w:szCs w:val="14"/>
          <w:color w:val="auto"/>
        </w:rPr>
      </w:pPr>
    </w:p>
    <w:p>
      <w:pPr>
        <w:ind w:left="640" w:right="4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new hire grant of RSU awards to Mr. Kelliher. The restricted stock unit award vests as to 25% of the restricted stock units subject to the award on May 19, 2025, and as to 1/16th of the shares subject to the restricted stock unit on each February 19; May 19; August 19 and November 19, subject to the holder continuing to provide services to us through each such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exercise of options to purchase shares of our common stock by our NEOs during 2024, and the vesting of RSUs with respect to shares of our common stock that were held by our NEOs during the year ended December 31, 2024.</w:t>
      </w:r>
    </w:p>
    <w:p>
      <w:pPr>
        <w:spacing w:after="0" w:line="92"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9"/>
        </w:trPr>
        <w:tc>
          <w:tcPr>
            <w:tcW w:w="1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6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gridSpan w:val="2"/>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52"/>
              <w:spacing w:after="0" w:line="189"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21"/>
                <w:szCs w:val="21"/>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4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138,853</w:t>
            </w:r>
          </w:p>
        </w:tc>
        <w:tc>
          <w:tcPr>
            <w:tcW w:w="14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467,051</w:t>
            </w:r>
          </w:p>
        </w:tc>
        <w:tc>
          <w:tcPr>
            <w:tcW w:w="14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1/16/2034</w:t>
            </w:r>
          </w:p>
        </w:tc>
        <w:tc>
          <w:tcPr>
            <w:tcW w:w="12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356,248</w:t>
            </w:r>
          </w:p>
        </w:tc>
        <w:tc>
          <w:tcPr>
            <w:tcW w:w="14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1,806,177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538,583</w:t>
            </w:r>
          </w:p>
        </w:tc>
        <w:tc>
          <w:tcPr>
            <w:tcW w:w="10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585,417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1/5/2033</w:t>
            </w:r>
          </w:p>
        </w:tc>
        <w:tc>
          <w:tcPr>
            <w:tcW w:w="1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125,000</w:t>
            </w:r>
          </w:p>
        </w:tc>
        <w:tc>
          <w:tcPr>
            <w:tcW w:w="10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633,750</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1/6/2022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330,416</w:t>
            </w:r>
          </w:p>
        </w:tc>
        <w:tc>
          <w:tcPr>
            <w:tcW w:w="10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189,584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1/6/2032</w:t>
            </w:r>
          </w:p>
        </w:tc>
        <w:tc>
          <w:tcPr>
            <w:tcW w:w="1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37,500</w:t>
            </w:r>
          </w:p>
        </w:tc>
        <w:tc>
          <w:tcPr>
            <w:tcW w:w="10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190,125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507,168</w:t>
            </w:r>
          </w:p>
        </w:tc>
        <w:tc>
          <w:tcPr>
            <w:tcW w:w="10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10,791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1/9/2020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557,460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1/17/2019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455,000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7/26/2018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1/16/2018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390,348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79,535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8/8/2027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318,141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1/18/2027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301,258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Justin Renz</w:t>
            </w:r>
          </w:p>
        </w:tc>
        <w:tc>
          <w:tcPr>
            <w:tcW w:w="140" w:type="dxa"/>
            <w:vAlign w:val="bottom"/>
          </w:tcPr>
          <w:p>
            <w:pPr>
              <w:spacing w:after="0"/>
              <w:rPr>
                <w:sz w:val="17"/>
                <w:szCs w:val="17"/>
                <w:color w:val="auto"/>
              </w:rPr>
            </w:pPr>
          </w:p>
        </w:tc>
        <w:tc>
          <w:tcPr>
            <w:tcW w:w="104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rPr>
              <w:t>1/16/2024</w:t>
            </w:r>
          </w:p>
        </w:tc>
        <w:tc>
          <w:tcPr>
            <w:tcW w:w="140" w:type="dxa"/>
            <w:vAlign w:val="bottom"/>
          </w:tcPr>
          <w:p>
            <w:pPr>
              <w:spacing w:after="0"/>
              <w:rPr>
                <w:sz w:val="17"/>
                <w:szCs w:val="17"/>
                <w:color w:val="auto"/>
              </w:rPr>
            </w:pPr>
          </w:p>
        </w:tc>
        <w:tc>
          <w:tcPr>
            <w:tcW w:w="760" w:type="dxa"/>
            <w:vAlign w:val="bottom"/>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37,583</w:t>
            </w:r>
          </w:p>
        </w:tc>
        <w:tc>
          <w:tcPr>
            <w:tcW w:w="140" w:type="dxa"/>
            <w:vAlign w:val="bottom"/>
          </w:tcPr>
          <w:p>
            <w:pPr>
              <w:spacing w:after="0"/>
              <w:rPr>
                <w:sz w:val="17"/>
                <w:szCs w:val="17"/>
                <w:color w:val="auto"/>
              </w:rPr>
            </w:pPr>
          </w:p>
        </w:tc>
        <w:tc>
          <w:tcPr>
            <w:tcW w:w="86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126,417</w:t>
            </w:r>
          </w:p>
        </w:tc>
        <w:tc>
          <w:tcPr>
            <w:tcW w:w="140" w:type="dxa"/>
            <w:vAlign w:val="bottom"/>
          </w:tcPr>
          <w:p>
            <w:pPr>
              <w:spacing w:after="0"/>
              <w:rPr>
                <w:sz w:val="17"/>
                <w:szCs w:val="17"/>
                <w:color w:val="auto"/>
              </w:rPr>
            </w:pP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8.78</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1/16/2034</w:t>
            </w:r>
          </w:p>
        </w:tc>
        <w:tc>
          <w:tcPr>
            <w:tcW w:w="1020" w:type="dxa"/>
            <w:vAlign w:val="bottom"/>
            <w:gridSpan w:val="2"/>
          </w:tcPr>
          <w:p>
            <w:pPr>
              <w:jc w:val="right"/>
              <w:ind w:right="74"/>
              <w:spacing w:after="0" w:line="198" w:lineRule="exact"/>
              <w:rPr>
                <w:sz w:val="20"/>
                <w:szCs w:val="20"/>
                <w:color w:val="auto"/>
              </w:rPr>
            </w:pPr>
            <w:r>
              <w:rPr>
                <w:rFonts w:ascii="Times New Roman" w:cs="Times New Roman" w:eastAsia="Times New Roman" w:hAnsi="Times New Roman"/>
                <w:sz w:val="18"/>
                <w:szCs w:val="18"/>
                <w:color w:val="auto"/>
              </w:rPr>
              <w:t>95,810</w:t>
            </w:r>
          </w:p>
        </w:tc>
        <w:tc>
          <w:tcPr>
            <w:tcW w:w="1040" w:type="dxa"/>
            <w:vAlign w:val="bottom"/>
            <w:gridSpan w:val="2"/>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485,757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1/5/2023</w:t>
            </w: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168,187</w:t>
            </w:r>
          </w:p>
        </w:tc>
        <w:tc>
          <w:tcPr>
            <w:tcW w:w="10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182,813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1/5/2033</w:t>
            </w:r>
          </w:p>
        </w:tc>
        <w:tc>
          <w:tcPr>
            <w:tcW w:w="10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39,000</w:t>
            </w:r>
          </w:p>
        </w:tc>
        <w:tc>
          <w:tcPr>
            <w:tcW w:w="10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197,730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1/6/2022</w:t>
            </w: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67,916</w:t>
            </w: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53,084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1/6/2032</w:t>
            </w:r>
          </w:p>
        </w:tc>
        <w:tc>
          <w:tcPr>
            <w:tcW w:w="10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10,500</w:t>
            </w:r>
          </w:p>
        </w:tc>
        <w:tc>
          <w:tcPr>
            <w:tcW w:w="10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53,235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143,697</w:t>
            </w:r>
          </w:p>
        </w:tc>
        <w:tc>
          <w:tcPr>
            <w:tcW w:w="10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3,058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6/8/2020</w:t>
            </w: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195,017</w:t>
            </w:r>
          </w:p>
        </w:tc>
        <w:tc>
          <w:tcPr>
            <w:tcW w:w="140" w:type="dxa"/>
            <w:vAlign w:val="bottom"/>
          </w:tcPr>
          <w:p>
            <w:pPr>
              <w:spacing w:after="0"/>
              <w:rPr>
                <w:sz w:val="20"/>
                <w:szCs w:val="20"/>
                <w:color w:val="auto"/>
              </w:rPr>
            </w:pP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6/8/2030</w:t>
            </w:r>
          </w:p>
        </w:tc>
        <w:tc>
          <w:tcPr>
            <w:tcW w:w="120" w:type="dxa"/>
            <w:vAlign w:val="bottom"/>
          </w:tcPr>
          <w:p>
            <w:pPr>
              <w:spacing w:after="0"/>
              <w:rPr>
                <w:sz w:val="20"/>
                <w:szCs w:val="20"/>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1/16/2024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37,583</w:t>
            </w:r>
          </w:p>
        </w:tc>
        <w:tc>
          <w:tcPr>
            <w:tcW w:w="10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126,417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1/16/2034</w:t>
            </w:r>
          </w:p>
        </w:tc>
        <w:tc>
          <w:tcPr>
            <w:tcW w:w="1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95,810</w:t>
            </w:r>
          </w:p>
        </w:tc>
        <w:tc>
          <w:tcPr>
            <w:tcW w:w="10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485,757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58,500</w:t>
            </w:r>
          </w:p>
        </w:tc>
        <w:tc>
          <w:tcPr>
            <w:tcW w:w="10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182,813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1/5/2033</w:t>
            </w:r>
          </w:p>
        </w:tc>
        <w:tc>
          <w:tcPr>
            <w:tcW w:w="1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39,000</w:t>
            </w:r>
          </w:p>
        </w:tc>
        <w:tc>
          <w:tcPr>
            <w:tcW w:w="10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197,730</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1/6/2022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32,666</w:t>
            </w:r>
          </w:p>
        </w:tc>
        <w:tc>
          <w:tcPr>
            <w:tcW w:w="10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53,084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1/6/2032</w:t>
            </w:r>
          </w:p>
        </w:tc>
        <w:tc>
          <w:tcPr>
            <w:tcW w:w="1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10,500</w:t>
            </w:r>
          </w:p>
        </w:tc>
        <w:tc>
          <w:tcPr>
            <w:tcW w:w="10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53,235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143,697</w:t>
            </w:r>
          </w:p>
        </w:tc>
        <w:tc>
          <w:tcPr>
            <w:tcW w:w="10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3,058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1/9/2020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139,365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1/17/2019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7/26/2018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54,730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1/16/2018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117,104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19,884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8/8/2027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79,535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1/18/2027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102,701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11,450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Laura Williams,</w:t>
            </w:r>
          </w:p>
        </w:tc>
        <w:tc>
          <w:tcPr>
            <w:tcW w:w="140" w:type="dxa"/>
            <w:vAlign w:val="bottom"/>
          </w:tcPr>
          <w:p>
            <w:pPr>
              <w:spacing w:after="0"/>
              <w:rPr>
                <w:sz w:val="17"/>
                <w:szCs w:val="17"/>
                <w:color w:val="auto"/>
              </w:rPr>
            </w:pPr>
          </w:p>
        </w:tc>
        <w:tc>
          <w:tcPr>
            <w:tcW w:w="104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rPr>
              <w:t>1/16/2024</w:t>
            </w:r>
          </w:p>
        </w:tc>
        <w:tc>
          <w:tcPr>
            <w:tcW w:w="140" w:type="dxa"/>
            <w:vAlign w:val="bottom"/>
          </w:tcPr>
          <w:p>
            <w:pPr>
              <w:spacing w:after="0"/>
              <w:rPr>
                <w:sz w:val="17"/>
                <w:szCs w:val="17"/>
                <w:color w:val="auto"/>
              </w:rPr>
            </w:pPr>
          </w:p>
        </w:tc>
        <w:tc>
          <w:tcPr>
            <w:tcW w:w="760" w:type="dxa"/>
            <w:vAlign w:val="bottom"/>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34,862</w:t>
            </w:r>
          </w:p>
        </w:tc>
        <w:tc>
          <w:tcPr>
            <w:tcW w:w="140" w:type="dxa"/>
            <w:vAlign w:val="bottom"/>
          </w:tcPr>
          <w:p>
            <w:pPr>
              <w:spacing w:after="0"/>
              <w:rPr>
                <w:sz w:val="17"/>
                <w:szCs w:val="17"/>
                <w:color w:val="auto"/>
              </w:rPr>
            </w:pPr>
          </w:p>
        </w:tc>
        <w:tc>
          <w:tcPr>
            <w:tcW w:w="86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117,265</w:t>
            </w:r>
          </w:p>
        </w:tc>
        <w:tc>
          <w:tcPr>
            <w:tcW w:w="140" w:type="dxa"/>
            <w:vAlign w:val="bottom"/>
          </w:tcPr>
          <w:p>
            <w:pPr>
              <w:spacing w:after="0"/>
              <w:rPr>
                <w:sz w:val="17"/>
                <w:szCs w:val="17"/>
                <w:color w:val="auto"/>
              </w:rPr>
            </w:pP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8.78</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1/16/2034</w:t>
            </w:r>
          </w:p>
        </w:tc>
        <w:tc>
          <w:tcPr>
            <w:tcW w:w="1020" w:type="dxa"/>
            <w:vAlign w:val="bottom"/>
            <w:gridSpan w:val="2"/>
          </w:tcPr>
          <w:p>
            <w:pPr>
              <w:jc w:val="right"/>
              <w:ind w:right="74"/>
              <w:spacing w:after="0" w:line="198" w:lineRule="exact"/>
              <w:rPr>
                <w:sz w:val="20"/>
                <w:szCs w:val="20"/>
                <w:color w:val="auto"/>
              </w:rPr>
            </w:pPr>
            <w:r>
              <w:rPr>
                <w:rFonts w:ascii="Times New Roman" w:cs="Times New Roman" w:eastAsia="Times New Roman" w:hAnsi="Times New Roman"/>
                <w:sz w:val="18"/>
                <w:szCs w:val="18"/>
                <w:color w:val="auto"/>
              </w:rPr>
              <w:t>89,062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 M.P.H.</w:t>
            </w: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1/5/2023</w:t>
            </w: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68,187</w:t>
            </w:r>
          </w:p>
        </w:tc>
        <w:tc>
          <w:tcPr>
            <w:tcW w:w="10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182,813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1/5/2033</w:t>
            </w:r>
          </w:p>
        </w:tc>
        <w:tc>
          <w:tcPr>
            <w:tcW w:w="10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39,000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1/6/2022</w:t>
            </w: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110,000</w:t>
            </w: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52,000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1/6/2032</w:t>
            </w:r>
          </w:p>
        </w:tc>
        <w:tc>
          <w:tcPr>
            <w:tcW w:w="10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11/2/2020</w:t>
            </w: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105,000</w:t>
            </w:r>
          </w:p>
        </w:tc>
        <w:tc>
          <w:tcPr>
            <w:tcW w:w="140" w:type="dxa"/>
            <w:vAlign w:val="bottom"/>
          </w:tcPr>
          <w:p>
            <w:pPr>
              <w:spacing w:after="0"/>
              <w:rPr>
                <w:sz w:val="20"/>
                <w:szCs w:val="20"/>
                <w:color w:val="auto"/>
              </w:rPr>
            </w:pP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11/2/2030</w:t>
            </w:r>
          </w:p>
        </w:tc>
        <w:tc>
          <w:tcPr>
            <w:tcW w:w="120" w:type="dxa"/>
            <w:vAlign w:val="bottom"/>
          </w:tcPr>
          <w:p>
            <w:pPr>
              <w:spacing w:after="0"/>
              <w:rPr>
                <w:sz w:val="20"/>
                <w:szCs w:val="20"/>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Kelliher</w:t>
            </w:r>
          </w:p>
        </w:tc>
        <w:tc>
          <w:tcPr>
            <w:tcW w:w="11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3/25/2024</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205,000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3/25/2034</w:t>
            </w:r>
          </w:p>
        </w:tc>
        <w:tc>
          <w:tcPr>
            <w:tcW w:w="1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160,000</w:t>
            </w:r>
          </w:p>
        </w:tc>
        <w:tc>
          <w:tcPr>
            <w:tcW w:w="10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811,200</w:t>
            </w:r>
          </w:p>
        </w:tc>
        <w:tc>
          <w:tcPr>
            <w:tcW w:w="0" w:type="dxa"/>
            <w:vAlign w:val="bottom"/>
          </w:tcPr>
          <w:p>
            <w:pPr>
              <w:spacing w:after="0"/>
              <w:rPr>
                <w:sz w:val="1"/>
                <w:szCs w:val="1"/>
                <w:color w:val="auto"/>
              </w:rPr>
            </w:pPr>
          </w:p>
        </w:tc>
      </w:tr>
      <w:tr>
        <w:trPr>
          <w:trHeight w:val="54"/>
        </w:trPr>
        <w:tc>
          <w:tcPr>
            <w:tcW w:w="17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9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each option vests and becomes exercisable in substantially equal monthly installments over four years from the vesting commencement date, subject to the holder continuing to provide services to us through each such date.</w:t>
      </w:r>
    </w:p>
    <w:p>
      <w:pPr>
        <w:jc w:val="both"/>
        <w:ind w:left="640" w:right="51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each award of restricted stock units vest in substantially equal quarterly installments over four years from the vesting commencement date, on each of February 19; May 19; August 19 and November 19, subject to the holder continuing to provide services to us through each such date.</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the $5.07 closing trading price of our common stock as of December 31, 2024, the last trading day of fiscal year 2024.</w:t>
      </w:r>
    </w:p>
    <w:p>
      <w:pPr>
        <w:ind w:left="640" w:right="379" w:hanging="348"/>
        <w:spacing w:after="0" w:line="233"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award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 and the restricted stock unit award vests as to 25% of the restricted stock units subject to the award on May 19, 2025, and as to 1/16th of the shares subject to the restricted stock unit on each February 19; May 19; August 19 and November 19, subject to the holder continuing to provide services to us through each such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exercise of options to purchase shares of our common stock by our NEOs during 2024, and the vesting of RSUs with respect to shares of our common stock that were held by our NEOs during the year ended December 31,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right="2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6"/>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1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180,000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897,400​</w:t>
            </w:r>
          </w:p>
        </w:tc>
        <w:tc>
          <w:tcPr>
            <w:tcW w:w="136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247,526</w:t>
            </w:r>
          </w:p>
        </w:tc>
        <w:tc>
          <w:tcPr>
            <w:tcW w:w="1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$1,709,789</w:t>
            </w:r>
          </w:p>
        </w:tc>
        <w:tc>
          <w:tcPr>
            <w:tcW w:w="0" w:type="dxa"/>
            <w:vAlign w:val="bottom"/>
          </w:tcPr>
          <w:p>
            <w:pPr>
              <w:spacing w:after="0"/>
              <w:rPr>
                <w:sz w:val="1"/>
                <w:szCs w:val="1"/>
                <w:color w:val="auto"/>
              </w:rPr>
            </w:pPr>
          </w:p>
        </w:tc>
      </w:tr>
      <w:tr>
        <w:trPr>
          <w:trHeight w:val="23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1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70,092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484,161</w:t>
            </w:r>
          </w:p>
        </w:tc>
        <w:tc>
          <w:tcPr>
            <w:tcW w:w="0" w:type="dxa"/>
            <w:vAlign w:val="bottom"/>
          </w:tcPr>
          <w:p>
            <w:pPr>
              <w:spacing w:after="0"/>
              <w:rPr>
                <w:sz w:val="1"/>
                <w:szCs w:val="1"/>
                <w:color w:val="auto"/>
              </w:rPr>
            </w:pPr>
          </w:p>
        </w:tc>
      </w:tr>
      <w:tr>
        <w:trPr>
          <w:trHeight w:val="247"/>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11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219,937</w:t>
            </w:r>
          </w:p>
        </w:tc>
        <w:tc>
          <w:tcPr>
            <w:tcW w:w="13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$1,601,636</w:t>
            </w:r>
          </w:p>
        </w:tc>
        <w:tc>
          <w:tcPr>
            <w:tcW w:w="136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70,092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484,161</w:t>
            </w:r>
          </w:p>
        </w:tc>
        <w:tc>
          <w:tcPr>
            <w:tcW w:w="0" w:type="dxa"/>
            <w:vAlign w:val="bottom"/>
          </w:tcPr>
          <w:p>
            <w:pPr>
              <w:spacing w:after="0"/>
              <w:rPr>
                <w:sz w:val="1"/>
                <w:szCs w:val="1"/>
                <w:color w:val="auto"/>
              </w:rPr>
            </w:pPr>
          </w:p>
        </w:tc>
      </w:tr>
      <w:tr>
        <w:trPr>
          <w:trHeight w:val="23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Williams, M.D., M.P.H.</w:t>
            </w:r>
          </w:p>
        </w:tc>
        <w:tc>
          <w:tcPr>
            <w:tcW w:w="11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130,000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669,900​</w:t>
            </w:r>
          </w:p>
        </w:tc>
        <w:tc>
          <w:tcPr>
            <w:tcW w:w="136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65,020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449,126</w:t>
            </w:r>
          </w:p>
        </w:tc>
        <w:tc>
          <w:tcPr>
            <w:tcW w:w="0" w:type="dxa"/>
            <w:vAlign w:val="bottom"/>
          </w:tcPr>
          <w:p>
            <w:pPr>
              <w:spacing w:after="0"/>
              <w:rPr>
                <w:sz w:val="1"/>
                <w:szCs w:val="1"/>
                <w:color w:val="auto"/>
              </w:rPr>
            </w:pP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Kelliher</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exercise is based on the difference between the closing market price of our common stock on the date of exercise and the applicable exercise price of those options multiplied by the number of shares underlying the options.</w:t>
      </w:r>
    </w:p>
    <w:p>
      <w:pPr>
        <w:ind w:left="640" w:right="4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is based on the number of shares of our common stock underlying the RSU awards that vested multiplied by the closing market price of our common stock on the vesting date.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maintain any defined benefit pension plans.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300" w:right="999"/>
        <w:spacing w:after="0" w:line="312" w:lineRule="auto"/>
        <w:rPr>
          <w:sz w:val="20"/>
          <w:szCs w:val="20"/>
          <w:color w:val="auto"/>
        </w:rPr>
      </w:pPr>
      <w:r>
        <w:rPr>
          <w:rFonts w:ascii="Times New Roman" w:cs="Times New Roman" w:eastAsia="Times New Roman" w:hAnsi="Times New Roman"/>
          <w:sz w:val="17"/>
          <w:szCs w:val="17"/>
          <w:color w:val="auto"/>
        </w:rPr>
        <w:t>As described above, we have entered into an employment agreement with our CEO and a change in control severance agreement with each of our other NEOs, which provide for the following severance benefits.</w:t>
      </w:r>
    </w:p>
    <w:p>
      <w:pPr>
        <w:spacing w:after="0" w:line="32"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(a) his base salary as in effect immediately prior to such termination and (b)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87"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Under each other NEO’s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 for good reason, in each case within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three months prior to and 12 months after a change in control, then they will receive: (i) a lump sum amount equal to</w:t>
      </w:r>
    </w:p>
    <w:p>
      <w:pPr>
        <w:spacing w:after="0" w:line="39" w:lineRule="exact"/>
        <w:rPr>
          <w:sz w:val="20"/>
          <w:szCs w:val="20"/>
          <w:color w:val="auto"/>
        </w:rPr>
      </w:pPr>
    </w:p>
    <w:p>
      <w:pPr>
        <w:ind w:left="300" w:right="479" w:hanging="8"/>
        <w:spacing w:after="0" w:line="252" w:lineRule="auto"/>
        <w:tabs>
          <w:tab w:leader="none" w:pos="5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their base salary as in effect immediately prior to such termination and (b)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w:t>
      </w:r>
    </w:p>
    <w:p>
      <w:pPr>
        <w:spacing w:after="0" w:line="80"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For the purposes of Mr. Raab’s amended and restated employment agreement and each of the other NEO’s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 (B) 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w:t>
      </w:r>
    </w:p>
    <w:p>
      <w:pPr>
        <w:spacing w:after="0" w:line="89"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For the purposes of Mr. Raab’s amended and restated employment agreement and each of the other NEO’s change in control severance agreements, “good reason” includes the occurrence of: (i) a material diminution in the NEO’s authority, duties, or responsibilities, which substantially reduces the nature or character of their position; (ii) a reduction (or material reduction, in the case of each named executive officer other than Mr. Raab)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NEO, provided that in order for “good reason” to exist, each of the following conditions must be met: (i) the foregoing good reason conditions must have occurred without the named executive officer’s express written consent;</w:t>
      </w:r>
    </w:p>
    <w:p>
      <w:pPr>
        <w:spacing w:after="0" w:line="4" w:lineRule="exact"/>
        <w:rPr>
          <w:sz w:val="20"/>
          <w:szCs w:val="20"/>
          <w:color w:val="auto"/>
        </w:rPr>
      </w:pPr>
    </w:p>
    <w:p>
      <w:pPr>
        <w:jc w:val="both"/>
        <w:ind w:left="300" w:right="719" w:hanging="8"/>
        <w:spacing w:after="0" w:line="253" w:lineRule="auto"/>
        <w:tabs>
          <w:tab w:leader="none" w:pos="5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concerning the estimated payments and benefits that would be provided in the circumstances described above for each of our NEOs. Except where otherwise noted, payments and benefits are estimated assuming that the triggering event took place on December 31, 2024, and a fair market value of our common stock on December 31, 2024 of $5.07 per share (determined based on the closing trading price of a share of our common stock on December 31, 2024). There can be no assurance that a triggering event would produce the same or similar results as those estimated below if such event occurs on any other date.</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 Termination</w:t>
            </w: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in</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 a</w:t>
            </w: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8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2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Unrelated to a</w:t>
            </w: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Raab</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Severance Benefits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770,000</w:t>
            </w:r>
          </w:p>
        </w:tc>
        <w:tc>
          <w:tcPr>
            <w:tcW w:w="13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$1,155,000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Target Bonus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808,500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Awards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$1,109,053</w:t>
            </w:r>
          </w:p>
        </w:tc>
        <w:tc>
          <w:tcPr>
            <w:tcW w:w="13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$2,630,052</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$1,365,920</w:t>
            </w:r>
          </w:p>
        </w:tc>
        <w:tc>
          <w:tcPr>
            <w:tcW w:w="13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$2,131,670</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Healthcare Benefits</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23,500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35,250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$3,268,473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$6,760,472</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Justin Renz</w:t>
            </w:r>
          </w:p>
        </w:tc>
        <w:tc>
          <w:tcPr>
            <w:tcW w:w="220" w:type="dxa"/>
            <w:vAlign w:val="bottom"/>
          </w:tcPr>
          <w:p>
            <w:pPr>
              <w:spacing w:after="0"/>
              <w:rPr>
                <w:sz w:val="17"/>
                <w:szCs w:val="17"/>
                <w:color w:val="auto"/>
              </w:rPr>
            </w:pPr>
          </w:p>
        </w:tc>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Cash Severance Benefits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387,750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517,000</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Target Bonus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232,650</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Equity Awards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736,722</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640,709</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2040" w:type="dxa"/>
            <w:vAlign w:val="bottom"/>
            <w:gridSpan w:val="2"/>
          </w:tcPr>
          <w:p>
            <w:pPr>
              <w:ind w:left="220"/>
              <w:spacing w:after="0" w:line="249" w:lineRule="exact"/>
              <w:rPr>
                <w:sz w:val="20"/>
                <w:szCs w:val="20"/>
                <w:color w:val="auto"/>
              </w:rPr>
            </w:pPr>
            <w:r>
              <w:rPr>
                <w:rFonts w:ascii="Times New Roman" w:cs="Times New Roman" w:eastAsia="Times New Roman" w:hAnsi="Times New Roman"/>
                <w:sz w:val="17"/>
                <w:szCs w:val="17"/>
                <w:color w:val="auto"/>
              </w:rPr>
              <w:t>Healthcare Benefits</w:t>
            </w:r>
            <w:r>
              <w:rPr>
                <w:rFonts w:ascii="Times New Roman" w:cs="Times New Roman" w:eastAsia="Times New Roman" w:hAnsi="Times New Roman"/>
                <w:sz w:val="28"/>
                <w:szCs w:val="28"/>
                <w:color w:val="auto"/>
                <w:vertAlign w:val="superscript"/>
              </w:rPr>
              <w:t>(3)</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421,050​</w:t>
            </w:r>
          </w:p>
        </w:tc>
        <w:tc>
          <w:tcPr>
            <w:tcW w:w="138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$2,160,381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Elizabeth Grammer</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Severance Benefits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381,975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509,300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Target Bonus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229,185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Awards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736,722</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640,709</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Healthcare Benefits</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33,300​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415,275​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$2,149,216</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Laura Williams, M.D., M.P.H.</w:t>
            </w:r>
          </w:p>
        </w:tc>
        <w:tc>
          <w:tcPr>
            <w:tcW w:w="220" w:type="dxa"/>
            <w:vAlign w:val="bottom"/>
          </w:tcPr>
          <w:p>
            <w:pPr>
              <w:spacing w:after="0"/>
              <w:rPr>
                <w:sz w:val="17"/>
                <w:szCs w:val="17"/>
                <w:color w:val="auto"/>
              </w:rPr>
            </w:pPr>
          </w:p>
        </w:tc>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Cash Severance Benefits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392,025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522,720</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Target Bonus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235,224</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Equity Awards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699,974</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636,286</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2040" w:type="dxa"/>
            <w:vAlign w:val="bottom"/>
            <w:gridSpan w:val="2"/>
          </w:tcPr>
          <w:p>
            <w:pPr>
              <w:ind w:left="220"/>
              <w:spacing w:after="0" w:line="249" w:lineRule="exact"/>
              <w:rPr>
                <w:sz w:val="20"/>
                <w:szCs w:val="20"/>
                <w:color w:val="auto"/>
              </w:rPr>
            </w:pPr>
            <w:r>
              <w:rPr>
                <w:rFonts w:ascii="Times New Roman" w:cs="Times New Roman" w:eastAsia="Times New Roman" w:hAnsi="Times New Roman"/>
                <w:sz w:val="17"/>
                <w:szCs w:val="17"/>
                <w:color w:val="auto"/>
              </w:rPr>
              <w:t>Healthcare Benefits</w:t>
            </w:r>
            <w:r>
              <w:rPr>
                <w:rFonts w:ascii="Times New Roman" w:cs="Times New Roman" w:eastAsia="Times New Roman" w:hAnsi="Times New Roman"/>
                <w:sz w:val="28"/>
                <w:szCs w:val="28"/>
                <w:color w:val="auto"/>
                <w:vertAlign w:val="superscript"/>
              </w:rPr>
              <w:t>(3)</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409,025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4"/>
              </w:rPr>
              <w:t>2,111,204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Kelliher</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Severance Benefits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440,000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Target Bonus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198,000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Awards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811,200</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Healthcare Benefits</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33,300​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363,300​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$1,482,500</w:t>
            </w:r>
          </w:p>
        </w:tc>
        <w:tc>
          <w:tcPr>
            <w:tcW w:w="0" w:type="dxa"/>
            <w:vAlign w:val="bottom"/>
          </w:tcPr>
          <w:p>
            <w:pPr>
              <w:spacing w:after="0"/>
              <w:rPr>
                <w:sz w:val="1"/>
                <w:szCs w:val="1"/>
                <w:color w:val="auto"/>
              </w:rPr>
            </w:pPr>
          </w:p>
        </w:tc>
      </w:tr>
      <w:tr>
        <w:trPr>
          <w:trHeight w:val="54"/>
        </w:trPr>
        <w:tc>
          <w:tcPr>
            <w:tcW w:w="3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accelerated vesting for restricted stock units was based on $5.07 per share, which was the closing trading price of our common stock on December 31, 2024.</w:t>
      </w:r>
    </w:p>
    <w:p>
      <w:pPr>
        <w:ind w:left="640" w:right="39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accelerated vesting for stock options was calculated by subtracting the exercise prices of options from $5.07 per share, which was the closing trading price of our common stock on December 31, 2024. Options with exercise prices in excess of $5.07 per share were excluded.</w:t>
      </w:r>
    </w:p>
    <w:p>
      <w:pPr>
        <w:spacing w:after="0" w:line="14"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value of the monthly COBRA premium that would otherwise be payable by the NEO and any eligible dependents multiplied by 12. based on the monthly cost of such benefits to the Company as of December 31,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In 2025, the Company entered into an amended and restated employment agreement with Mr. Raab (“the Second Amended and Restated Employment Agreement”) as well as amended and restated change in control and severance agreements with each of the other NEOs.</w:t>
      </w:r>
    </w:p>
    <w:p>
      <w:pPr>
        <w:spacing w:after="0" w:line="68" w:lineRule="exact"/>
        <w:rPr>
          <w:sz w:val="20"/>
          <w:szCs w:val="20"/>
          <w:color w:val="auto"/>
        </w:rPr>
      </w:pPr>
    </w:p>
    <w:p>
      <w:pPr>
        <w:jc w:val="both"/>
        <w:ind w:left="300" w:right="539"/>
        <w:spacing w:after="0" w:line="272" w:lineRule="auto"/>
        <w:rPr>
          <w:sz w:val="20"/>
          <w:szCs w:val="20"/>
          <w:color w:val="auto"/>
        </w:rPr>
      </w:pPr>
      <w:r>
        <w:rPr>
          <w:rFonts w:ascii="Times New Roman" w:cs="Times New Roman" w:eastAsia="Times New Roman" w:hAnsi="Times New Roman"/>
          <w:sz w:val="17"/>
          <w:szCs w:val="17"/>
          <w:color w:val="auto"/>
        </w:rPr>
        <w:t>Under Mr. Raab’s Second Amended and Restated Employment Agreement, in the event Mr. Raab’s employment with us is involuntarily terminated for reason other than “cause” or he resigns for “good reason” (each, as defined above), in each case more than three months prior to or more than 12 months after a change in control, then</w:t>
      </w:r>
    </w:p>
    <w:p>
      <w:pPr>
        <w:spacing w:after="0" w:line="2"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Mr. Raab will receive: (i) continued payment of his annual base salary as in effect immediately prior to such termination for a period of 18 months; (ii) payment of healthcare continuation costs for him and his eligible dependents for up to 18 months following the date of such termination; and (iii) 18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2.0 multiplied by the sum of (a) his base salary as in effect immediately prior to such termination and (b) his target annual bonus for the year of termination; (ii) payment of healthcare continuation costs for him and his eligible dependents for up to 24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84"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Under the amended and restated change in control and severance agreements with each of the other NEOs, in the event the NEO’s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12 months; (ii) payment of healthcare continuation costs for them and their eligible dependents for up to 12 months following the date of such termination; and (iii) 3 months of accelerated vesting of any outstanding equity awards for each year the NEO has been employed with the Company (up to 12 months). In the event their employment with us is involuntarily terminated for reason other than cause or they resign for good reason, in each case within three months prior to and 12 months after a change in control, then they will receive: (i) a lump sum amount equal to 1.5 multiplied by (a) the sum of their base salary as in effect immediately prior to such termination and (b) their target annual bonus for the year of termination; (ii) payment of healthcare continuation costs for them and their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CEO Pay Ratio</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President and CEO, Mr. Raab.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 assumptions and methodologies permitted under the SEC rules.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Ratio</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 xml:space="preserve">For the fiscal year that ended December 31, 2024, the estimated median annual total compensation of all our employees (excluding our CEO) was $239,432 and the 2024 annual total compensation of our CEO, Mr. Raab, was $9,606,165, as reported in the “Total” column of the 2024 Summary Compensation Table on page </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 Based on the foregoing, the estimated 2024 ratio of the annual total compensation of our CEO to the median of the annual total compensation of all employees is estimated to be approximately 40 to 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Identifying the Median Employee and Calculating Total Compensation</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CEO pay ratio disclosure rules require companies to identify a median employee only once every three years and to calculate total compensation for that median employee each year, provided that there has not been a significant change to the Company’s employee population or employee compensation arrangements. For purposes of our 2024 CEO pay ratio calculation, we have used the median employee identified in 2024 through the process described below as this is the first year that the Company is disclosing the CEO pay ratio.</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For purposes of identifying the median employee in 2024, we utilized the dollar amount reported in Box 5 of the 2024 Form W-2 Wage and Tax Statement provided for each U.S. employee on the Company’s payroll as of December 31, 2024 and annualized the amounts for any employees hired during 2024. This consistently applied compensation measure was chosen because it is a readily available measure for all U.S. employees and we believe it is a reasonable measure of total annual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provided to our NEOs and certain measures of Company performance in the years ended December 31, 2024, 2023, 2022 and 2021, for services to our Company in all capacities. The Compensation Committee did not consider the pay versus performance disclosure below in making its pay decisions for any of the fiscal years shown.</w:t>
      </w:r>
    </w:p>
    <w:p>
      <w:pPr>
        <w:sectPr>
          <w:pgSz w:w="11900" w:h="16838" w:orient="portrait"/>
          <w:cols w:equalWidth="0" w:num="1">
            <w:col w:w="9019"/>
          </w:cols>
          <w:pgMar w:left="1440" w:top="114" w:right="1440" w:bottom="1440" w:gutter="0" w:footer="0" w:header="0"/>
        </w:sectPr>
      </w:pP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11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98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Total</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6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1160" w:type="dxa"/>
            <w:vAlign w:val="bottom"/>
          </w:tcPr>
          <w:p>
            <w:pPr>
              <w:jc w:val="center"/>
              <w:ind w:left="68"/>
              <w:spacing w:after="0" w:line="12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960" w:type="dxa"/>
            <w:vAlign w:val="bottom"/>
            <w:vMerge w:val="continue"/>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Return</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69"/>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for PEO</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for Non-PEO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56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TSR ($)</w:t>
            </w: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11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to PEO ($)</w:t>
            </w:r>
            <w:r>
              <w:rPr>
                <w:rFonts w:ascii="Times New Roman" w:cs="Times New Roman" w:eastAsia="Times New Roman" w:hAnsi="Times New Roman"/>
                <w:sz w:val="23"/>
                <w:szCs w:val="23"/>
                <w:b w:val="1"/>
                <w:bCs w:val="1"/>
                <w:color w:val="auto"/>
                <w:w w:val="97"/>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NEOs ($)</w:t>
            </w:r>
            <w:r>
              <w:rPr>
                <w:rFonts w:ascii="Times New Roman" w:cs="Times New Roman" w:eastAsia="Times New Roman" w:hAnsi="Times New Roman"/>
                <w:sz w:val="23"/>
                <w:szCs w:val="23"/>
                <w:b w:val="1"/>
                <w:bCs w:val="1"/>
                <w:color w:val="auto"/>
                <w:w w:val="97"/>
                <w:vertAlign w:val="superscript"/>
              </w:rPr>
              <w:t>(1)</w:t>
            </w:r>
          </w:p>
        </w:tc>
        <w:tc>
          <w:tcPr>
            <w:tcW w:w="8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560" w:type="dxa"/>
            <w:vAlign w:val="bottom"/>
          </w:tcPr>
          <w:p>
            <w:pPr>
              <w:jc w:val="center"/>
              <w:ind w:left="31"/>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Total</w:t>
      </w:r>
    </w:p>
    <w:p>
      <w:pPr>
        <w:ind w:left="1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vertAlign w:val="subscript"/>
        </w:rPr>
        <w:t>Net Loss</w:t>
      </w:r>
      <w:r>
        <w:rPr>
          <w:sz w:val="20"/>
          <w:szCs w:val="20"/>
          <w:color w:val="auto"/>
        </w:rPr>
        <w:tab/>
      </w:r>
      <w:r>
        <w:rPr>
          <w:rFonts w:ascii="Times New Roman" w:cs="Times New Roman" w:eastAsia="Times New Roman" w:hAnsi="Times New Roman"/>
          <w:sz w:val="14"/>
          <w:szCs w:val="14"/>
          <w:b w:val="1"/>
          <w:bCs w:val="1"/>
          <w:color w:val="auto"/>
        </w:rPr>
        <w:t>Revenue</w:t>
      </w:r>
    </w:p>
    <w:p>
      <w:pPr>
        <w:spacing w:after="0" w:line="207" w:lineRule="auto"/>
        <w:rPr>
          <w:sz w:val="20"/>
          <w:szCs w:val="20"/>
          <w:color w:val="auto"/>
        </w:rPr>
      </w:pPr>
      <w:r>
        <w:rPr>
          <w:rFonts w:ascii="Times New Roman" w:cs="Times New Roman" w:eastAsia="Times New Roman" w:hAnsi="Times New Roman"/>
          <w:sz w:val="14"/>
          <w:szCs w:val="14"/>
          <w:b w:val="1"/>
          <w:bCs w:val="1"/>
          <w:color w:val="auto"/>
        </w:rPr>
        <w:t>($ in millions)  ($ in millions)</w:t>
      </w:r>
      <w:r>
        <w:rPr>
          <w:rFonts w:ascii="Times New Roman" w:cs="Times New Roman" w:eastAsia="Times New Roman" w:hAnsi="Times New Roman"/>
          <w:sz w:val="23"/>
          <w:szCs w:val="23"/>
          <w:b w:val="1"/>
          <w:bCs w:val="1"/>
          <w:color w:val="auto"/>
          <w:vertAlign w:val="superscript"/>
        </w:rPr>
        <w:t>(4)</w:t>
      </w:r>
    </w:p>
    <w:p>
      <w:pPr>
        <w:spacing w:after="0" w:line="1" w:lineRule="exact"/>
        <w:rPr>
          <w:sz w:val="20"/>
          <w:szCs w:val="20"/>
          <w:color w:val="auto"/>
        </w:rPr>
      </w:pPr>
    </w:p>
    <w:p>
      <w:pPr>
        <w:sectPr>
          <w:pgSz w:w="11900" w:h="16838" w:orient="portrait"/>
          <w:cols w:equalWidth="0" w:num="2">
            <w:col w:w="6600" w:space="160"/>
            <w:col w:w="225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50"/>
        </w:trPr>
        <w:tc>
          <w:tcPr>
            <w:tcW w:w="6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4"/>
              </w:rPr>
              <w:t>2024</w:t>
            </w:r>
          </w:p>
        </w:tc>
        <w:tc>
          <w:tcPr>
            <w:tcW w:w="8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9,606,165</w:t>
            </w:r>
          </w:p>
        </w:tc>
        <w:tc>
          <w:tcPr>
            <w:tcW w:w="8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4,749,620</w:t>
            </w:r>
          </w:p>
        </w:tc>
        <w:tc>
          <w:tcPr>
            <w:tcW w:w="80" w:type="dxa"/>
            <w:vAlign w:val="bottom"/>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2,941,814</w:t>
            </w:r>
          </w:p>
        </w:tc>
        <w:tc>
          <w:tcPr>
            <w:tcW w:w="8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1,676,438</w:t>
            </w:r>
          </w:p>
        </w:tc>
        <w:tc>
          <w:tcPr>
            <w:tcW w:w="8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334</w:t>
            </w:r>
          </w:p>
        </w:tc>
      </w:tr>
      <w:tr>
        <w:trPr>
          <w:trHeight w:val="239"/>
        </w:trPr>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4"/>
              </w:rPr>
              <w:t>2023</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4,113,194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10,055,709</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1,626,676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3,344,278</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96</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124</w:t>
            </w:r>
          </w:p>
        </w:tc>
      </w:tr>
      <w:tr>
        <w:trPr>
          <w:trHeight w:val="247"/>
        </w:trPr>
        <w:tc>
          <w:tcPr>
            <w:tcW w:w="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4"/>
              </w:rPr>
              <w:t>2022</w:t>
            </w: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1,947,020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4,047,941</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1,049,800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1,913,762</w:t>
            </w:r>
          </w:p>
        </w:tc>
        <w:tc>
          <w:tcPr>
            <w:tcW w:w="8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4"/>
              </w:rPr>
              <w:t>2021</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4,230,994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39,202</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1,700,013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584,783</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right="339" w:hanging="348"/>
        <w:spacing w:after="0" w:line="233"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compensation actually paid (“CAP”) to our CEO, Michael Raab, who was our Principal Executive Officer or “PEO” for each of the four years shown, and the average CAP to our remaining NEOs or “Non-PEO NEOs” for the relevant fiscal year, as determined under SEC rules, which includes Justin Renz, Elizabeth Grammer, Esq., Laura Williams, M.D., M.P.H., and Michael Kelliher for 2024, Laura Williams, M.D., M.P.H and Elizabeth Grammer, Esq. for 2023, Laura Williams, M.D., M.P.H. and Susan Rodriguez for 2022 and Justin Renz, Robert Blanks, Elizabeth Grammer, Esq. and David Rosenbaum, Ph.D. for 2021.</w:t>
      </w:r>
    </w:p>
    <w:p>
      <w:pPr>
        <w:spacing w:after="0" w:line="42"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Summary Compensation Table Total Compensation for the applicable fiscal year adjusted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(“FY”)</w:t>
            </w:r>
          </w:p>
        </w:tc>
        <w:tc>
          <w:tcPr>
            <w:tcW w:w="4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PEO ($)</w:t>
            </w:r>
          </w:p>
        </w:tc>
        <w:tc>
          <w:tcPr>
            <w:tcW w:w="86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 non-</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 Summary Compensation Table Total</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9,606,165</w:t>
            </w:r>
          </w:p>
        </w:tc>
        <w:tc>
          <w:tcPr>
            <w:tcW w:w="6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2,941,814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Deduction for ASC 718 Fair Value as of Grant Date Reported under the Option</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8,335,121</w:t>
            </w:r>
          </w:p>
        </w:tc>
        <w:tc>
          <w:tcPr>
            <w:tcW w:w="60" w:type="dxa"/>
            <w:vAlign w:val="bottom"/>
          </w:tcPr>
          <w:p>
            <w:pPr>
              <w:spacing w:after="0"/>
              <w:rPr>
                <w:sz w:val="12"/>
                <w:szCs w:val="12"/>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2,264,081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Awards Columns in the Summary Compensation Table</w:t>
            </w:r>
          </w:p>
        </w:tc>
        <w:tc>
          <w:tcPr>
            <w:tcW w:w="1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based on ASC 718 Fair Value of Awards Granted during the FY that</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2,972,646</w:t>
            </w:r>
          </w:p>
        </w:tc>
        <w:tc>
          <w:tcPr>
            <w:tcW w:w="60" w:type="dxa"/>
            <w:vAlign w:val="bottom"/>
            <w:shd w:val="clear" w:color="auto" w:fill="CCEEFF"/>
          </w:tcPr>
          <w:p>
            <w:pPr>
              <w:spacing w:after="0"/>
              <w:rPr>
                <w:sz w:val="12"/>
                <w:szCs w:val="12"/>
                <w:color w:val="auto"/>
              </w:rPr>
            </w:pPr>
          </w:p>
        </w:tc>
        <w:tc>
          <w:tcPr>
            <w:tcW w:w="1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919,554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 Unvested as of FY End (“FYE”)</w:t>
            </w:r>
          </w:p>
        </w:tc>
        <w:tc>
          <w:tcPr>
            <w:tcW w:w="11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2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Increase based on ASC 718 Fair Value of Awards Granted during the FY that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1,251,140</w:t>
            </w:r>
          </w:p>
        </w:tc>
        <w:tc>
          <w:tcPr>
            <w:tcW w:w="60" w:type="dxa"/>
            <w:vAlign w:val="bottom"/>
          </w:tcPr>
          <w:p>
            <w:pPr>
              <w:spacing w:after="0"/>
              <w:rPr>
                <w:sz w:val="12"/>
                <w:szCs w:val="12"/>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247,178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Vested during the FY as of Vesting Date</w:t>
            </w:r>
          </w:p>
        </w:tc>
        <w:tc>
          <w:tcPr>
            <w:tcW w:w="1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Increase/deduction based on ASC 718 Fair Value of Outstanding Unvested Prior</w:t>
            </w:r>
          </w:p>
        </w:tc>
        <w:tc>
          <w:tcPr>
            <w:tcW w:w="1160" w:type="dxa"/>
            <w:vAlign w:val="bottom"/>
            <w:gridSpan w:val="3"/>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(1,245,555)</w:t>
            </w:r>
          </w:p>
        </w:tc>
        <w:tc>
          <w:tcPr>
            <w:tcW w:w="17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(282,833)</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FY Awards as of FYE Compared to Valuation as of Prior FYE</w:t>
            </w:r>
          </w:p>
        </w:tc>
        <w:tc>
          <w:tcPr>
            <w:tcW w:w="1160" w:type="dxa"/>
            <w:vAlign w:val="bottom"/>
            <w:gridSpan w:val="3"/>
            <w:vMerge w:val="continue"/>
            <w:shd w:val="clear" w:color="auto" w:fill="CCEEFF"/>
          </w:tcPr>
          <w:p>
            <w:pPr>
              <w:spacing w:after="0"/>
              <w:rPr>
                <w:sz w:val="17"/>
                <w:szCs w:val="17"/>
                <w:color w:val="auto"/>
              </w:rPr>
            </w:pPr>
          </w:p>
        </w:tc>
        <w:tc>
          <w:tcPr>
            <w:tcW w:w="178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Increase/deduction based on ASC 718 Fair Value of Prior FY Awards that Vested</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500,345</w:t>
            </w:r>
          </w:p>
        </w:tc>
        <w:tc>
          <w:tcPr>
            <w:tcW w:w="60" w:type="dxa"/>
            <w:vAlign w:val="bottom"/>
          </w:tcPr>
          <w:p>
            <w:pPr>
              <w:spacing w:after="0"/>
              <w:rPr>
                <w:sz w:val="12"/>
                <w:szCs w:val="12"/>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114,805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during the FY as of Vesting Date Compared to Valuation as of Prior FYE</w:t>
            </w:r>
          </w:p>
        </w:tc>
        <w:tc>
          <w:tcPr>
            <w:tcW w:w="1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Adjustments</w:t>
            </w:r>
          </w:p>
        </w:tc>
        <w:tc>
          <w:tcPr>
            <w:tcW w:w="1160" w:type="dxa"/>
            <w:vAlign w:val="bottom"/>
            <w:gridSpan w:val="3"/>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(4,856,545)</w:t>
            </w:r>
          </w:p>
        </w:tc>
        <w:tc>
          <w:tcPr>
            <w:tcW w:w="1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(1,265,377)</w:t>
            </w:r>
          </w:p>
        </w:tc>
        <w:tc>
          <w:tcPr>
            <w:tcW w:w="0" w:type="dxa"/>
            <w:vAlign w:val="bottom"/>
          </w:tcPr>
          <w:p>
            <w:pPr>
              <w:spacing w:after="0"/>
              <w:rPr>
                <w:sz w:val="1"/>
                <w:szCs w:val="1"/>
                <w:color w:val="auto"/>
              </w:rPr>
            </w:pPr>
          </w:p>
        </w:tc>
      </w:tr>
      <w:tr>
        <w:trPr>
          <w:trHeight w:val="205"/>
        </w:trPr>
        <w:tc>
          <w:tcPr>
            <w:tcW w:w="51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4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4,749,620</w:t>
            </w:r>
          </w:p>
        </w:tc>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2"/>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1,676,438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40" w:right="439" w:hanging="348"/>
        <w:spacing w:after="0" w:line="23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our common stock in 2021, 2022, 2023 or 2024.</w:t>
      </w:r>
    </w:p>
    <w:p>
      <w:pPr>
        <w:spacing w:after="0" w:line="14" w:lineRule="exact"/>
        <w:rPr>
          <w:rFonts w:ascii="Times New Roman" w:cs="Times New Roman" w:eastAsia="Times New Roman" w:hAnsi="Times New Roman"/>
          <w:sz w:val="14"/>
          <w:szCs w:val="14"/>
          <w:color w:val="auto"/>
        </w:rPr>
      </w:pPr>
    </w:p>
    <w:p>
      <w:pPr>
        <w:ind w:left="640" w:right="359" w:hanging="348"/>
        <w:spacing w:after="0" w:line="23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peer group TSR, weighted according to the respective companies' stock market capitalization at the beginning of each period for which a return is indicated. The peer group used for this purpose is the same peer group used in the review of our executive compensation, as disclosed under “Compensation Discussion and Analysis”. Please refer to “Use of Market Data” caption of the “Compensation Discussion and Analysis” for the names of the peer group companies.</w:t>
      </w:r>
    </w:p>
    <w:p>
      <w:pPr>
        <w:spacing w:after="0" w:line="14"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selected total revenue as the most important financial measure used by us to link compensation actually paid for 2024 to our performance since it is the financial measure with the largest impact on the cash bonuses we pay our NEOs.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Tabular List of Financial Performance Measures</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For 2024, the most important financial measures used to link compensation actually paid to our performance are as follows: (i) total revenue; (ii) net loss; and (iii) TSR.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Financial Performance Measures</w:t>
      </w:r>
    </w:p>
    <w:p>
      <w:pPr>
        <w:spacing w:after="0" w:line="121"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PEO and the average of the compensation actually paid to our remaining NEOs, with (i) our cumulative TSR, and (ii) our net income, in each case, for the fiscal years ended December 31,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157480</wp:posOffset>
            </wp:positionV>
            <wp:extent cx="5297805" cy="2983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9780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188595</wp:posOffset>
            </wp:positionV>
            <wp:extent cx="5314950" cy="3180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49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102870</wp:posOffset>
            </wp:positionV>
            <wp:extent cx="5297805" cy="3223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9780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2024, with respect to all of our equity compensation plans in effect on that date: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5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3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9"/>
                <w:szCs w:val="29"/>
                <w:color w:val="auto"/>
                <w:vertAlign w:val="superscript"/>
              </w:rPr>
              <w:t>(1)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29,026,116</w:t>
            </w:r>
          </w:p>
        </w:tc>
        <w:tc>
          <w:tcPr>
            <w:tcW w:w="9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$5.7186</w:t>
            </w:r>
          </w:p>
        </w:tc>
        <w:tc>
          <w:tcPr>
            <w:tcW w:w="1200" w:type="dxa"/>
            <w:vAlign w:val="bottom"/>
            <w:gridSpan w:val="2"/>
            <w:shd w:val="clear" w:color="auto" w:fill="CCEEFF"/>
          </w:tcPr>
          <w:p>
            <w:pPr>
              <w:ind w:left="200"/>
              <w:spacing w:after="0" w:line="291" w:lineRule="exact"/>
              <w:rPr>
                <w:sz w:val="20"/>
                <w:szCs w:val="20"/>
                <w:color w:val="auto"/>
              </w:rPr>
            </w:pPr>
            <w:r>
              <w:rPr>
                <w:rFonts w:ascii="Times New Roman" w:cs="Times New Roman" w:eastAsia="Times New Roman" w:hAnsi="Times New Roman"/>
                <w:sz w:val="18"/>
                <w:szCs w:val="18"/>
                <w:color w:val="auto"/>
                <w:w w:val="94"/>
              </w:rPr>
              <w:t>21,793,333</w:t>
            </w:r>
            <w:r>
              <w:rPr>
                <w:rFonts w:ascii="Times New Roman" w:cs="Times New Roman" w:eastAsia="Times New Roman" w:hAnsi="Times New Roman"/>
                <w:sz w:val="29"/>
                <w:szCs w:val="29"/>
                <w:color w:val="auto"/>
                <w:w w:val="94"/>
                <w:vertAlign w:val="superscript"/>
              </w:rPr>
              <w:t>(2)</w:t>
            </w:r>
          </w:p>
        </w:tc>
        <w:tc>
          <w:tcPr>
            <w:tcW w:w="0" w:type="dxa"/>
            <w:vAlign w:val="bottom"/>
          </w:tcPr>
          <w:p>
            <w:pPr>
              <w:spacing w:after="0"/>
              <w:rPr>
                <w:sz w:val="1"/>
                <w:szCs w:val="1"/>
                <w:color w:val="auto"/>
              </w:rPr>
            </w:pPr>
          </w:p>
        </w:tc>
      </w:tr>
      <w:tr>
        <w:trPr>
          <w:trHeight w:val="283"/>
        </w:trPr>
        <w:tc>
          <w:tcPr>
            <w:tcW w:w="53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Equity Compensation Plans Not Approved by Stockholders</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7,071,339</w:t>
            </w:r>
          </w:p>
        </w:tc>
        <w:tc>
          <w:tcPr>
            <w:tcW w:w="9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$5.2141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3,948,969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36,097,455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25,742,302</w:t>
            </w:r>
          </w:p>
        </w:tc>
        <w:tc>
          <w:tcPr>
            <w:tcW w:w="0" w:type="dxa"/>
            <w:vAlign w:val="bottom"/>
          </w:tcPr>
          <w:p>
            <w:pPr>
              <w:spacing w:after="0"/>
              <w:rPr>
                <w:sz w:val="1"/>
                <w:szCs w:val="1"/>
                <w:color w:val="auto"/>
              </w:rPr>
            </w:pPr>
          </w:p>
        </w:tc>
      </w:tr>
      <w:tr>
        <w:trPr>
          <w:trHeight w:val="54"/>
        </w:trPr>
        <w:tc>
          <w:tcPr>
            <w:tcW w:w="5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39" w:hanging="348"/>
        <w:spacing w:after="0" w:line="236"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Restated Plan and the 2014 Employee Stock Purchase Plan. The number of shares of common stock that may be issued pursuant to outstanding awards under the Restated Plan include: (A) 5,644,097 shares subject to outstanding restricted stock units and (B) 23,382,019 shares subject to stock options. The weighted average exercise price shown is for stock options; other outstanding awards had no exercise price.</w:t>
      </w:r>
    </w:p>
    <w:p>
      <w:pPr>
        <w:spacing w:after="0" w:line="14" w:lineRule="exact"/>
        <w:rPr>
          <w:rFonts w:ascii="Times New Roman" w:cs="Times New Roman" w:eastAsia="Times New Roman" w:hAnsi="Times New Roman"/>
          <w:sz w:val="14"/>
          <w:szCs w:val="14"/>
          <w:color w:val="auto"/>
        </w:rPr>
      </w:pPr>
    </w:p>
    <w:p>
      <w:pPr>
        <w:jc w:val="both"/>
        <w:ind w:left="640" w:right="3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3,668,184 shares that were available for future issuances as of December 31, 2024 under the 2014 Employee Stock Purchase Plan (of which 222,734 shares were issued with respect to the purchase period in effect as of December 31, 2024, which purchase period ended on February 29, 2025), which allows eligible employees to purchase shares of common stock with accumulated payroll deductions.</w:t>
      </w:r>
    </w:p>
    <w:p>
      <w:pPr>
        <w:spacing w:after="0" w:line="14" w:lineRule="exact"/>
        <w:rPr>
          <w:rFonts w:ascii="Times New Roman" w:cs="Times New Roman" w:eastAsia="Times New Roman" w:hAnsi="Times New Roman"/>
          <w:sz w:val="14"/>
          <w:szCs w:val="14"/>
          <w:color w:val="auto"/>
        </w:rPr>
      </w:pPr>
    </w:p>
    <w:p>
      <w:pPr>
        <w:ind w:left="640" w:right="359" w:hanging="348"/>
        <w:spacing w:after="0" w:line="236"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Ardelyx, Inc. 2016 Employment Commencement Incentive Plan. The number of shares of common stock that may be issued pursuant to outstanding awards under the 2016 Employment Commencement Incentive Plan include: (A) 2,368,767 shares subject to outstanding restricted stock units and (B) 4,702,572 shares subject to stock options. The weighted average exercise price shown is for stock options; other outstanding awards had no exercise price.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The audit and compliance committee of our board of directors has selected Ernst &amp; Young LLP, or EY, as our independent registered public accounting firm for the year ending December 31, 2025, and is seeking ratification of such selection by our stockholders at the 2025 Annual Meeting. EY has audited our financial statements since the fiscal year ended December 31, 2014. Representatives of EY are expected to be present in attendance online at the 2025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Neither our Amended and Restated Bylaws nor other governing documents or law require stockholder ratification of the selection of EY as our independent registered public accounting firm. However, the audit and compliance committee is submitting the selection of EY to our stockholders for ratification as a matter of good corporate practice. If our stockholders fail to ratify the selection, the audit and compliance committee will reconsider whether or not to retain EY. Even if the selection is ratified, the audit and compliance committee in its discretion may select a different independent registered public accounting firm at any time during the year if they determine that such a change would be in the best interests of the Company and our stockholders.</w:t>
      </w:r>
    </w:p>
    <w:p>
      <w:pPr>
        <w:spacing w:after="0" w:line="8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cast at the 2025 Annual Meeting will be required to ratify the selection of EY.</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NO. 3</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2024 and 2023, EY billed the approximate fees set forth below. All fees included below were approved by the audit and compliance committee.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90"/>
        </w:trPr>
        <w:tc>
          <w:tcPr>
            <w:tcW w:w="66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$2,284,700</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$2,190,710</w:t>
            </w: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664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31"/>
        </w:trPr>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 Fees</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2,228,125</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2,193,646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and expenses for professional services rendered for the integrated audit of our annual financial statements and of our internal controls over financial reporting, reviews of our interim quarterly reports, reporting consultations, and the issuance of consents and comfort letters in connection with regulatory filings or engagements.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for professional services rendered by EY for tax compliance, tax advice and tax planning.</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audit and compliance committee has adopted a policy for the pre-approval of all audit and non-audit services to be performed for the Company by the independent registered public accounting firm. This policy is set forth in the charter of the audit and compliance committee and available at http://ir.ardelyx.com/corporate-governance. The policy provides that before an independent registered public accounting firm is engaged by Ardelyx or its subsidiaries to render audit or non-audit services, the audit and compliance committee must review the terms of the proposed engagement and pre-approve the engagement. Pre-approval of the audit and compliance committee of audit and non-audit services is not required if the engagement for the services is entered into pursuant to the pre-approval policies and procedures established by the audit and compliance committee regarding the Company’s engagement of the independent registered public accounting firm, provided the policies and procedures are detailed as to the particular service, the audit and compliance committee is informed of each service provided and such policies and procedures do not include delegation of the audit and compliance committee’s responsibilities under the Securities Exchange Act of 1934, as amended, to management. The audit and compliance committee may delegate to one or more members the authority to grant pre-approvals, provided such approvals are presented to the audit and compliance committee at a subsequent meeting. Audit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39"/>
        <w:spacing w:after="0" w:line="258" w:lineRule="auto"/>
        <w:rPr>
          <w:sz w:val="20"/>
          <w:szCs w:val="20"/>
          <w:color w:val="auto"/>
        </w:rPr>
      </w:pPr>
      <w:r>
        <w:rPr>
          <w:rFonts w:ascii="Times New Roman" w:cs="Times New Roman" w:eastAsia="Times New Roman" w:hAnsi="Times New Roman"/>
          <w:sz w:val="18"/>
          <w:szCs w:val="18"/>
          <w:color w:val="auto"/>
        </w:rPr>
        <w:t>compliance committee pre-approval of non-audit services (other than review and attest services) also will not be required if such services fall within available exceptions established by the SEC. The audit and compliance committee has considered the role of EY in providing audit and audit-related services to the Company and has concluded that such services are compatible with EY’s role as the Company’s independent registered public accounting firm.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REPORT OF THE AUDIT AND COMPLIANCE COMMITTEE OF THE BOARD OF DIRECTORS</w:t>
      </w:r>
    </w:p>
    <w:p>
      <w:pPr>
        <w:spacing w:after="0" w:line="119" w:lineRule="exact"/>
        <w:rPr>
          <w:sz w:val="20"/>
          <w:szCs w:val="20"/>
          <w:color w:val="auto"/>
        </w:rPr>
      </w:pPr>
    </w:p>
    <w:p>
      <w:pPr>
        <w:ind w:left="300" w:right="53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p>
    <w:p>
      <w:pPr>
        <w:spacing w:after="0" w:line="6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and compliance committee is to oversee our accounting and our financial reporting processes on behalf of our board of directors and our compliance with legal and regulatory requirements. The audit and compliance committee’s functions are more fully described in its charter, which is available on our website at http://ir.ardelyx.com/corporate-governance.</w:t>
      </w:r>
    </w:p>
    <w:p>
      <w:pPr>
        <w:spacing w:after="0" w:line="7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fulfilling its oversight responsibilities, the audit and compliance committee reviewed and discussed with management the Company’s audited financial statements for the fiscal year ended December 31, 2024. The audit and compliance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and compliance committee has discussed with EY their independence, and received from EY the written disclosures and the letter required by PCAOB Ethics and Independence Rule 3526, “Communication with Audit Committees Concerning Independence.” Finally, the audit and compliance committee discussed with EY, with and without management present, the scope and results of EY’s audit of the financial statements for the fiscal year ended December 31, 2024.</w:t>
      </w:r>
    </w:p>
    <w:p>
      <w:pPr>
        <w:spacing w:after="0" w:line="86"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and compliance committee has recommended to our board of directors that such audited financial statements be included in our Annual Report on Form 10-K for the year ended December 31, 2024 for filing with the SEC.</w:t>
      </w:r>
    </w:p>
    <w:p>
      <w:pPr>
        <w:spacing w:after="0" w:line="19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4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Richard Rodgers, Chairperson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Bertrand, Jr., Esq.</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David Mott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AMENDMENT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AMENDED AND RESTATED 2014 EQUITY INCENTIVE AWARD PLAN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Our stockholders are being asked to approve an amendment (the “Equity Plan Amendment”) to our Amended and Restated 2014 Equity Incentive Award Plan (the “Restated Plan”) to increase the maximum number of shares of Common Stock that may be delivered pursuant to awards granted under the Restated Plan by 10,000,000 shares of Common Stock.</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June 14, 2024, the Company’s stockholders approved the Restated Plan, which among other changes:</w:t>
      </w:r>
    </w:p>
    <w:p>
      <w:pPr>
        <w:spacing w:after="0" w:line="27" w:lineRule="exact"/>
        <w:rPr>
          <w:sz w:val="20"/>
          <w:szCs w:val="20"/>
          <w:color w:val="auto"/>
        </w:rPr>
      </w:pPr>
    </w:p>
    <w:p>
      <w:pPr>
        <w:ind w:left="300" w:right="679" w:hanging="8"/>
        <w:spacing w:after="0" w:line="265" w:lineRule="auto"/>
        <w:tabs>
          <w:tab w:leader="none" w:pos="5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the shares reserved for issuance by 19,000,000 shares, (ii) increased certain non-employee director compensation limits, (iii) removed certain provisions previously included for tax deductibility purposes,</w:t>
      </w:r>
    </w:p>
    <w:p>
      <w:pPr>
        <w:jc w:val="both"/>
        <w:ind w:left="300" w:right="359" w:hanging="8"/>
        <w:spacing w:after="0" w:line="277" w:lineRule="auto"/>
        <w:tabs>
          <w:tab w:leader="none" w:pos="60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removed the evergreen provision such that any increase to the total number of shares of common stock that may be issued under the Restated Plan must be approved by our stockholders, and (v) removed the fixed term so that the Restated Plan will continue until terminated by our board of directors or the share reserve thereunder is exhausted.</w:t>
      </w:r>
    </w:p>
    <w:p>
      <w:pPr>
        <w:spacing w:after="0" w:line="6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On April 28, 2025, our board of directors approved the Equity Plan Amendment subject to stockholder approval. The Equity Plan Amendment will become effective as of the date our stockholders approve the Equity Plan Amendment.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Proposed Amendment</w:t>
      </w:r>
    </w:p>
    <w:p>
      <w:pPr>
        <w:spacing w:after="0" w:line="121"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color w:val="auto"/>
        </w:rPr>
        <w:t>We strongly believe that an employee equity compensation program is a necessary and powerful incentive and retention tool that benefits all stockholders. As of April 15, 2025, the total number of shares of our common stock reserved for issuance under the Restated Plan since inception was 58,457,566. As of April 15, 2025, the aggregate number of shares of common stock subject to outstanding awards under the Restated Plan was 38,362,417 and a total of 8,359,043 shares of common stock remained available under the Restated Plan for future issuance. Pursuant to the Equity Plan Amendment, an additional 10,000,000 shares will be reserved for issuance under the Restated Plan over the existing share reserve. There will continue to be no evergreen provision in the Restated Plan.</w:t>
      </w:r>
    </w:p>
    <w:p>
      <w:pPr>
        <w:spacing w:after="0" w:line="63"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The Restated Plan also provides that up to 6,500,000 shares subject to outstanding awards under our 2016 Employment Commencement Incentive Plan (the “Inducement Plan”) as of the effective date of the Restated Plan that terminate, expire or lapse without the delivery of shares to the holder thereof or for which shares are repurchased or forfeited may be issued or transferred pursuant to awards under the Restated Plan. No new awards have been made under the Inducement Plan after the effective date of the Restated Plan.</w:t>
      </w:r>
    </w:p>
    <w:p>
      <w:pPr>
        <w:spacing w:after="0" w:line="75" w:lineRule="exact"/>
        <w:rPr>
          <w:sz w:val="20"/>
          <w:szCs w:val="20"/>
          <w:color w:val="auto"/>
        </w:rPr>
      </w:pPr>
    </w:p>
    <w:p>
      <w:pPr>
        <w:ind w:left="300" w:right="1059"/>
        <w:spacing w:after="0" w:line="282" w:lineRule="auto"/>
        <w:rPr>
          <w:sz w:val="20"/>
          <w:szCs w:val="20"/>
          <w:color w:val="auto"/>
        </w:rPr>
      </w:pPr>
      <w:r>
        <w:rPr>
          <w:rFonts w:ascii="Times New Roman" w:cs="Times New Roman" w:eastAsia="Times New Roman" w:hAnsi="Times New Roman"/>
          <w:sz w:val="18"/>
          <w:szCs w:val="18"/>
          <w:color w:val="auto"/>
        </w:rPr>
        <w:t>All of the foregoing share numbers may be adjusted for changes in our capitalization and certain corporate transactions, as described below under the heading “Adjustments.”</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Restated Plan is not being amended in any material respect other than to reflect an increase of 10,000,000 shares reserved for issuance described above.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 Awards Are Critical to Long-Term Stockholder Value Creation</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We believe that the adoption of the Equity Plan Amendment is essential to our success. Equity awards are intended to motivate high levels of performance, align the interests of our directors, employees and consultants with those of our stockholders by giving directors, employees and consultants the perspective of an owner with an equity stake in our company and providing a means of recognizing their contributions to the success of our company. Our board of directors and management believe that equity awards are necessary to remain competitive in our industry and are essential to recruiting and retaining the highly qualified employees who help our company meet its goals.</w:t>
      </w:r>
    </w:p>
    <w:p>
      <w:pPr>
        <w:spacing w:after="0" w:line="7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Our equity incentive program is broad-based. As of April 15, 2025, all of our employees had received grants of equity awards, and all six of our non-employee directors had received grants of equity awards. We do not typically make new grants of equity awards to our consultants. We believe we must continue to offer a competitive equity compensation plan in order to attract, retain and motivate the industry-leading talent imperative to our continued growth and success.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Awards Under Existing Plans</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about the number of shares that were subject to various outstanding equity awards under our equity plans, and the shares remaining available for issuance under each such plan, each at April 15, 2025.</w:t>
      </w:r>
    </w:p>
    <w:p>
      <w:pPr>
        <w:spacing w:after="0" w:line="6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As of April 15, 2025, the Restated Plan and the Inducement Plan are the only equity incentive plans under which we can grant awards (other than the shares available for purchase under our 2014 Employee Stock Purchase Plan, or the 2014 ESPP), however, no new awards were made under the Inducement Plan following the effective date of the Restated Plan.</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 Value</w:t>
            </w:r>
            <w:r>
              <w:rPr>
                <w:rFonts w:ascii="Times New Roman" w:cs="Times New Roman" w:eastAsia="Times New Roman" w:hAnsi="Times New Roman"/>
                <w:sz w:val="23"/>
                <w:szCs w:val="23"/>
                <w:b w:val="1"/>
                <w:bCs w:val="1"/>
                <w:color w:val="auto"/>
                <w:w w:val="99"/>
                <w:vertAlign w:val="superscript"/>
              </w:rPr>
              <w:t>(2)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Outstanding</w:t>
            </w:r>
            <w:r>
              <w:rPr>
                <w:rFonts w:ascii="Times New Roman" w:cs="Times New Roman" w:eastAsia="Times New Roman" w:hAnsi="Times New Roman"/>
                <w:sz w:val="23"/>
                <w:szCs w:val="23"/>
                <w:b w:val="1"/>
                <w:bCs w:val="1"/>
                <w:color w:val="auto"/>
                <w:w w:val="97"/>
                <w:vertAlign w:val="superscript"/>
              </w:rPr>
              <w:t>(1)</w:t>
            </w:r>
          </w:p>
        </w:tc>
        <w:tc>
          <w:tcPr>
            <w:tcW w:w="14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Inducement Plan</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4,388,190</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20,361,202</w:t>
            </w:r>
          </w:p>
        </w:tc>
        <w:tc>
          <w:tcPr>
            <w:tcW w:w="0" w:type="dxa"/>
            <w:vAlign w:val="bottom"/>
          </w:tcPr>
          <w:p>
            <w:pPr>
              <w:spacing w:after="0"/>
              <w:rPr>
                <w:sz w:val="1"/>
                <w:szCs w:val="1"/>
                <w:color w:val="auto"/>
              </w:rPr>
            </w:pPr>
          </w:p>
        </w:tc>
      </w:tr>
      <w:tr>
        <w:trPr>
          <w:trHeight w:val="247"/>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exercise price of outstanding options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exercise remaining term of outstanding options</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2,096,301</w:t>
            </w:r>
          </w:p>
        </w:tc>
        <w:tc>
          <w:tcPr>
            <w:tcW w:w="1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0.88%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9,726,837</w:t>
            </w:r>
          </w:p>
        </w:tc>
        <w:tc>
          <w:tcPr>
            <w:tcW w:w="0" w:type="dxa"/>
            <w:vAlign w:val="bottom"/>
          </w:tcPr>
          <w:p>
            <w:pPr>
              <w:spacing w:after="0"/>
              <w:rPr>
                <w:sz w:val="1"/>
                <w:szCs w:val="1"/>
                <w:color w:val="auto"/>
              </w:rPr>
            </w:pPr>
          </w:p>
        </w:tc>
      </w:tr>
      <w:tr>
        <w:trPr>
          <w:trHeight w:val="283"/>
        </w:trPr>
        <w:tc>
          <w:tcPr>
            <w:tcW w:w="53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Shares available for future issuance under the Inducement Plan</w:t>
            </w:r>
            <w:r>
              <w:rPr>
                <w:rFonts w:ascii="Times New Roman" w:cs="Times New Roman" w:eastAsia="Times New Roman" w:hAnsi="Times New Roman"/>
                <w:sz w:val="29"/>
                <w:szCs w:val="29"/>
                <w:color w:val="auto"/>
                <w:vertAlign w:val="superscript"/>
              </w:rPr>
              <w:t>(3)</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3,948,969</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18,323,216</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Restated Plan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26,474,147</w:t>
            </w:r>
          </w:p>
        </w:tc>
        <w:tc>
          <w:tcPr>
            <w:tcW w:w="1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11.07%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$122,840,042</w:t>
            </w: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exercise price of outstanding options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exercise remaining term of outstanding options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11,888,270</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55,161,573</w:t>
            </w:r>
          </w:p>
        </w:tc>
        <w:tc>
          <w:tcPr>
            <w:tcW w:w="0" w:type="dxa"/>
            <w:vAlign w:val="bottom"/>
          </w:tcPr>
          <w:p>
            <w:pPr>
              <w:spacing w:after="0"/>
              <w:rPr>
                <w:sz w:val="1"/>
                <w:szCs w:val="1"/>
                <w:color w:val="auto"/>
              </w:rPr>
            </w:pPr>
          </w:p>
        </w:tc>
      </w:tr>
      <w:tr>
        <w:trPr>
          <w:trHeight w:val="24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 under the 2014 Plan</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8,359,043</w:t>
            </w:r>
          </w:p>
        </w:tc>
        <w:tc>
          <w:tcPr>
            <w:tcW w:w="1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38,785,960</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Plan Amendment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Proposed increase to share reserve under Restated Plan (over existing</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reserve under the Restated Plan)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239,255,066 shares of our common stock outstanding as of April 15,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price of our common stock on April 15, 2024 of $4.64 per share.</w:t>
      </w:r>
    </w:p>
    <w:p>
      <w:pPr>
        <w:spacing w:after="0" w:line="41" w:lineRule="exact"/>
        <w:rPr>
          <w:rFonts w:ascii="Times New Roman" w:cs="Times New Roman" w:eastAsia="Times New Roman" w:hAnsi="Times New Roman"/>
          <w:sz w:val="14"/>
          <w:szCs w:val="14"/>
          <w:color w:val="auto"/>
        </w:rPr>
      </w:pPr>
    </w:p>
    <w:p>
      <w:pPr>
        <w:ind w:left="640" w:right="45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effective as of the date the Company’s stockholders approve the Equity Plan Amendment, the board of directors has eliminated any remaining reserve under the Inducement Plan.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for the Determination of the Share Reserve under the Equity Plan Amendment</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In determining whether to approve the Equity Plan Amendment, and in setting the size of the share reserve increase proposed under the Equity Plan Amendment, our board of directors considered:</w:t>
      </w:r>
    </w:p>
    <w:p>
      <w:pPr>
        <w:spacing w:after="0" w:line="54" w:lineRule="exact"/>
        <w:rPr>
          <w:sz w:val="20"/>
          <w:szCs w:val="20"/>
          <w:color w:val="auto"/>
        </w:rPr>
      </w:pPr>
    </w:p>
    <w:p>
      <w:pPr>
        <w:ind w:left="1000" w:right="339" w:hanging="348"/>
        <w:spacing w:after="0" w:line="253"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amounts of equity awards granted by our company in the past three years. In 2022, 2023 and 2024, equity awards representing a total of approximately 6,137,663 shares, 8,208,310 shares, and 14,250,725 shares, respectively, were granted under our 2014 Plan, for an annual equity burn rate of 4.7%, 3.5%, and 6.0% respectively. This level of equity awards represents a 3-year average burn rate attributable to our Restated Plan of 4.7% of common shares outstanding. Equity burn rate is calculated by dividing the number of shares subject to equity awards granted during the fiscal year by the number of common shares outstanding at the end of the fiscal year. The equity burn in 2024 was higher than in prior years because of the growth of the Company’s employee base associated with its commercialization of its two products which resulted in a larger number of employees receiving annual equity grants in 2024, as well as the Company’s continued commercial expansion and hiring in 2024, resulting in a higher number of new hire grants.</w:t>
      </w:r>
    </w:p>
    <w:p>
      <w:pPr>
        <w:spacing w:after="0" w:line="8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share authorization under the Restated Plan, as amended by the Equity Plan Amendment, to provide us with enough shares for awards for 2025 and 2026 assuming we continue to grant awards consistent with our current practices and historical usage, as reflected in our historical burn rate, and further dependent on the price of our shares and hiring activity during the next few years, forfeitures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79"/>
        <w:spacing w:after="0" w:line="261" w:lineRule="auto"/>
        <w:rPr>
          <w:sz w:val="20"/>
          <w:szCs w:val="20"/>
          <w:color w:val="auto"/>
        </w:rPr>
      </w:pPr>
      <w:r>
        <w:rPr>
          <w:rFonts w:ascii="Times New Roman" w:cs="Times New Roman" w:eastAsia="Times New Roman" w:hAnsi="Times New Roman"/>
          <w:sz w:val="18"/>
          <w:szCs w:val="18"/>
          <w:color w:val="auto"/>
        </w:rPr>
        <w:t>outstanding awards, and noting that future circumstances may require us to change our current equity grant practices. We cannot predict our future equity grant practices, the future price of our shares or future hiring activity with any degree of certainty at this time, and the share reserve under the Restated Plan, as amended by the Equity Plan Amendment, could last for a shorter or longer time.</w:t>
      </w:r>
    </w:p>
    <w:p>
      <w:pPr>
        <w:spacing w:after="0" w:line="72" w:lineRule="exact"/>
        <w:rPr>
          <w:sz w:val="20"/>
          <w:szCs w:val="20"/>
          <w:color w:val="auto"/>
        </w:rPr>
      </w:pPr>
    </w:p>
    <w:p>
      <w:pPr>
        <w:ind w:left="1000" w:right="359" w:hanging="348"/>
        <w:spacing w:after="0" w:line="253"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2023 and 2024, our end of year overhang rate (excluding shares available for issuance under our 2014 ESPP) was 11.5%, 9.9%, and 19.8%, respectively. If the Equity Plan Amendment is approved, we expect our overhang rate attributable to the Restated Plan at the end of 2025 will be approximately 24.0%. When modeling overhang including only “in-the-money” options (where options with an exercise price above $5.00 are considered not “in-the money”), the expected overhang rate attributable to the Restated Plan at the end of 2025 is expected to be approximately 15.9%. Overhang for this purpose is calculated by dividing (1) the sum of the number of shares subject to equity awards outstanding at the end of the fiscal year plus shares remaining available for issuance for future awards at the end of the fiscal year (excluding shares available for issuance under our 2014 ESPP) by (2) the number of shares outstanding at the end of the fiscal year.</w:t>
      </w:r>
    </w:p>
    <w:p>
      <w:pPr>
        <w:spacing w:after="0" w:line="86"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factors described above, and the fact that the ability to continue to grant equity compensation is vital to our ability to continue to attract and retain employees in the extremely competitive labor markets in which we compete, our board of directors has determined that the size of the share reserve under the Restated Plan is reasonable and appropriate at this time.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Key Features of the Restated Plan (including the Equity Plan Amendment)</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The Restated Plan (including the Equity Plan Amendment) reflects a broad range of compensation and governance best practices, with some of the key features of the Restated Plan as follows:</w:t>
      </w:r>
    </w:p>
    <w:p>
      <w:pPr>
        <w:spacing w:after="0" w:line="52" w:lineRule="exact"/>
        <w:rPr>
          <w:sz w:val="20"/>
          <w:szCs w:val="20"/>
          <w:color w:val="auto"/>
        </w:rPr>
      </w:pPr>
    </w:p>
    <w:p>
      <w:pPr>
        <w:ind w:left="1000" w:right="299" w:hanging="348"/>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Increase to Shares Available for Issuance without Stockholder Approval</w:t>
      </w:r>
      <w:r>
        <w:rPr>
          <w:rFonts w:ascii="Times New Roman" w:cs="Times New Roman" w:eastAsia="Times New Roman" w:hAnsi="Times New Roman"/>
          <w:sz w:val="18"/>
          <w:szCs w:val="18"/>
          <w:color w:val="auto"/>
        </w:rPr>
        <w:t>. Without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Restated Plan prohibits any alteration or amendment that operates to increase the total number of shares of common stock that may be issued under the Restated Plan (other than adjustments in connection with certain corporate reorganizations and other events).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 of Awards</w:t>
      </w:r>
      <w:r>
        <w:rPr>
          <w:rFonts w:ascii="Times New Roman" w:cs="Times New Roman" w:eastAsia="Times New Roman" w:hAnsi="Times New Roman"/>
          <w:sz w:val="18"/>
          <w:szCs w:val="18"/>
          <w:color w:val="auto"/>
        </w:rPr>
        <w:t>. Other than pursuant to the provisions of the Restated Plan described below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headings “Adjustments” and “Corporate Transactions,” the plan administrator may not without the approval of the Company’s stockholders (1) lower the exercise price of an option or SAR after it is granted or (2) cancel an option or SAR when the exercise price exceeds the fair market value of the underlying shares in exchange for cash or another award.</w:t>
      </w:r>
    </w:p>
    <w:p>
      <w:pPr>
        <w:spacing w:after="0" w:line="75" w:lineRule="exact"/>
        <w:rPr>
          <w:rFonts w:ascii="Times New Roman" w:cs="Times New Roman" w:eastAsia="Times New Roman" w:hAnsi="Times New Roman"/>
          <w:sz w:val="18"/>
          <w:szCs w:val="18"/>
          <w:color w:val="auto"/>
        </w:rPr>
      </w:pPr>
    </w:p>
    <w:p>
      <w:pPr>
        <w:ind w:left="1000" w:right="359" w:hanging="348"/>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Incentive Stock Option Limitation. </w:t>
      </w:r>
      <w:r>
        <w:rPr>
          <w:rFonts w:ascii="Times New Roman" w:cs="Times New Roman" w:eastAsia="Times New Roman" w:hAnsi="Times New Roman"/>
          <w:sz w:val="18"/>
          <w:szCs w:val="18"/>
          <w:color w:val="auto"/>
        </w:rPr>
        <w:t>The Restated Plan, as amended by the Equity Plan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a limit of 68,457,566 shares that may be issued upon exercise of incentive stock options, or ISOs, following the effective date of the Restated Plan.</w:t>
      </w:r>
    </w:p>
    <w:p>
      <w:pPr>
        <w:spacing w:after="0" w:line="65" w:lineRule="exact"/>
        <w:rPr>
          <w:rFonts w:ascii="Times New Roman" w:cs="Times New Roman" w:eastAsia="Times New Roman" w:hAnsi="Times New Roman"/>
          <w:sz w:val="18"/>
          <w:szCs w:val="18"/>
          <w:color w:val="auto"/>
        </w:rPr>
      </w:pPr>
    </w:p>
    <w:p>
      <w:pPr>
        <w:ind w:left="1000" w:right="479" w:hanging="348"/>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Dividend Payments on Unvested Awards</w:t>
      </w:r>
      <w:r>
        <w:rPr>
          <w:rFonts w:ascii="Times New Roman" w:cs="Times New Roman" w:eastAsia="Times New Roman" w:hAnsi="Times New Roman"/>
          <w:sz w:val="18"/>
          <w:szCs w:val="18"/>
          <w:color w:val="auto"/>
        </w:rPr>
        <w:t>. Dividends and dividend equivalents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on awards subject to vesting conditions unless and until such conditions are met. Dividend equivalents may not be paid on stock options or SARs.</w:t>
      </w:r>
    </w:p>
    <w:p>
      <w:pPr>
        <w:spacing w:after="0" w:line="65" w:lineRule="exact"/>
        <w:rPr>
          <w:rFonts w:ascii="Times New Roman" w:cs="Times New Roman" w:eastAsia="Times New Roman" w:hAnsi="Times New Roman"/>
          <w:sz w:val="18"/>
          <w:szCs w:val="18"/>
          <w:color w:val="auto"/>
        </w:rPr>
      </w:pPr>
    </w:p>
    <w:p>
      <w:pPr>
        <w:ind w:left="1000" w:right="579" w:hanging="348"/>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In-the-Money Option or Stock Appreciation Right Grants</w:t>
      </w:r>
      <w:r>
        <w:rPr>
          <w:rFonts w:ascii="Times New Roman" w:cs="Times New Roman" w:eastAsia="Times New Roman" w:hAnsi="Times New Roman"/>
          <w:sz w:val="18"/>
          <w:szCs w:val="18"/>
          <w:color w:val="auto"/>
        </w:rPr>
        <w:t>. The Restated Plan prohibits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SARs with an exercise or base price less than 100% of the fair market value of our Common Stock on the date of grant.</w:t>
      </w:r>
    </w:p>
    <w:p>
      <w:pPr>
        <w:spacing w:after="0" w:line="65" w:lineRule="exact"/>
        <w:rPr>
          <w:rFonts w:ascii="Times New Roman" w:cs="Times New Roman" w:eastAsia="Times New Roman" w:hAnsi="Times New Roman"/>
          <w:sz w:val="18"/>
          <w:szCs w:val="18"/>
          <w:color w:val="auto"/>
        </w:rPr>
      </w:pPr>
    </w:p>
    <w:p>
      <w:pPr>
        <w:ind w:left="1000" w:right="399" w:hanging="348"/>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Recycling. The Restated Plan prohibits shares tendered or withheld for the payment of tax obligations on an award or in payment of the exercise price of an option from being added back to the share reserve, in addition to prohibiting other practices considered to be liberal share recycling.</w:t>
      </w:r>
    </w:p>
    <w:p>
      <w:pPr>
        <w:spacing w:after="0" w:line="65"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Administration</w:t>
      </w:r>
      <w:r>
        <w:rPr>
          <w:rFonts w:ascii="Times New Roman" w:cs="Times New Roman" w:eastAsia="Times New Roman" w:hAnsi="Times New Roman"/>
          <w:sz w:val="18"/>
          <w:szCs w:val="18"/>
          <w:color w:val="auto"/>
        </w:rPr>
        <w:t>. The compensation committee of our board of directors, which consists of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non-employee directors, generally will administer the Restated Plan. The full board of directors will administer the Restated Plan with respect to awards granted to members of the board. The compensation committee may delegate certain of its duties and authorities to a committee of one or more directors or officers of the Company for awards to certain individuals, within specific guidelines and limitations. However, no delegation of authority is permitted with respect to awards made to individuals who (1) are subject to Section 16 of the Exchange Act, or (2) are officers of the Company and have been delegated authority to grant or amend awards under the Restated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1000" w:right="379" w:hanging="348"/>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Automatic Change in Control Vesting for Awards</w:t>
      </w:r>
      <w:r>
        <w:rPr>
          <w:rFonts w:ascii="Times New Roman" w:cs="Times New Roman" w:eastAsia="Times New Roman" w:hAnsi="Times New Roman"/>
          <w:sz w:val="18"/>
          <w:szCs w:val="18"/>
          <w:color w:val="auto"/>
        </w:rPr>
        <w:t>. The Restated Plan does not have automatic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vesting provisions for awards in connection with a change of control (other than in connection with the non-assumption of awards).</w:t>
      </w:r>
    </w:p>
    <w:p>
      <w:pPr>
        <w:spacing w:after="0" w:line="65"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Grants to Directors</w:t>
      </w:r>
      <w:r>
        <w:rPr>
          <w:rFonts w:ascii="Times New Roman" w:cs="Times New Roman" w:eastAsia="Times New Roman" w:hAnsi="Times New Roman"/>
          <w:sz w:val="18"/>
          <w:szCs w:val="18"/>
          <w:color w:val="auto"/>
        </w:rPr>
        <w:t>. The Restated Plan provides for limitations on grants to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such that the sum of the grant date fair value of all equity awards and the maximum amount that may become payable pursuant to all cash-based awards granted to a non-employee director as compensation for services as a non-employee director during any fiscal year of the Company may not exceed $1,000,000. Prior to the amendment and restatement of the Restated Plan, non-employee directors could be granted awards covering the greater of (a) 100,000 shares or (b) a number of shares such that the maximum aggregate value of the awards to the director in a calendar year is $400,000.</w:t>
      </w:r>
    </w:p>
    <w:p>
      <w:pPr>
        <w:spacing w:after="0" w:line="74" w:lineRule="exact"/>
        <w:rPr>
          <w:rFonts w:ascii="Times New Roman" w:cs="Times New Roman" w:eastAsia="Times New Roman" w:hAnsi="Times New Roman"/>
          <w:sz w:val="18"/>
          <w:szCs w:val="18"/>
          <w:color w:val="auto"/>
        </w:rPr>
      </w:pPr>
    </w:p>
    <w:p>
      <w:pPr>
        <w:ind w:left="1000" w:right="659" w:hanging="348"/>
        <w:spacing w:after="0" w:line="284"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Fixed Term</w:t>
      </w:r>
      <w:r>
        <w:rPr>
          <w:rFonts w:ascii="Times New Roman" w:cs="Times New Roman" w:eastAsia="Times New Roman" w:hAnsi="Times New Roman"/>
          <w:sz w:val="18"/>
          <w:szCs w:val="18"/>
          <w:color w:val="auto"/>
        </w:rPr>
        <w:t>. The Restated Plan will not have a fixed term and will continue until terminated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the share reserve thereunder is exhausted.</w:t>
      </w:r>
    </w:p>
    <w:p>
      <w:pPr>
        <w:spacing w:after="0" w:line="50" w:lineRule="exact"/>
        <w:rPr>
          <w:rFonts w:ascii="Times New Roman" w:cs="Times New Roman" w:eastAsia="Times New Roman" w:hAnsi="Times New Roman"/>
          <w:sz w:val="18"/>
          <w:szCs w:val="18"/>
          <w:color w:val="auto"/>
        </w:rPr>
      </w:pPr>
    </w:p>
    <w:p>
      <w:pPr>
        <w:ind w:left="1000" w:right="579" w:hanging="348"/>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Dividend Payments on Unvested Awards</w:t>
      </w:r>
      <w:r>
        <w:rPr>
          <w:rFonts w:ascii="Times New Roman" w:cs="Times New Roman" w:eastAsia="Times New Roman" w:hAnsi="Times New Roman"/>
          <w:sz w:val="18"/>
          <w:szCs w:val="18"/>
          <w:color w:val="auto"/>
        </w:rPr>
        <w:t>. The Restated Plan provides that dividends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equivalents may not be paid on awards subject to vesting conditions unless and until such conditions are met.</w:t>
      </w:r>
    </w:p>
    <w:p>
      <w:pPr>
        <w:spacing w:after="0" w:line="65"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 of Section 162(m) Provisions</w:t>
      </w:r>
      <w:r>
        <w:rPr>
          <w:rFonts w:ascii="Times New Roman" w:cs="Times New Roman" w:eastAsia="Times New Roman" w:hAnsi="Times New Roman"/>
          <w:sz w:val="18"/>
          <w:szCs w:val="18"/>
          <w:color w:val="auto"/>
        </w:rPr>
        <w:t>. Section 162(m) of the Internal Revenue Code prior to the Tax Cuts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Jobs Act of 2017 (the “TCJA”), allowed performance-based compensation that met certain requirements to be tax deductible regardless of amount. This qualified performance-based compensation exception was repealed as part of the TCJA. The Restated Plan does not include certain provisions which were otherwise required for awards to qualify as performance-based compensation under the</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162(m) exception prior to its repeal.</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In general, stockholder approval of the Equity Plan Amendment will implement the foregoing share reserve increase while (1) complying with the terms of the Restated Plan regarding amendments, (2) meeting the stockholder approval requirements of Nasdaq, and (3) allowing us to grant ISOs. If the Equity Plan Amendment is not approved by our stockholders, the Equity Plan Amendment will not become effective, the Restated Plan will continue in full force and effect, and the reserve available under the Inducement Plan will not be eliminated.</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Restated Plan</w:t>
      </w:r>
    </w:p>
    <w:p>
      <w:pPr>
        <w:spacing w:after="0" w:line="121"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 xml:space="preserve">The principal features of the Restated Plan are summarized below, but the summary is qualified in its entirety by reference to the Restated Plan itself, which is attached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proxy statement.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Securities Subject to the Restated Plan</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As of April 15, 2025, the aggregate number of shares of common stock subject to outstanding awards under the Restated Plan was 38,362,417 and a total of 8,359,043 shares of common stock remained available under the Restated Plan for future issuance. Pursuant to the Equity Plan Amendment, subject to stockholder approval of this proposal, the number of shares of our common stock authorized for issuance as of the effective date of the Restated Plan will be increased by 10,000,000 shares.</w:t>
      </w:r>
    </w:p>
    <w:p>
      <w:pPr>
        <w:spacing w:after="0" w:line="75"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If any shares subject to an award under the Restated Plan or the Inducement Plan are forfeited, expire or are settled for cash, any shares subject to such award will, to the extent of such forfeiture, expiration or cash settlement, be available for future grants under the Restated Plan. However, the following shares may not be used again for grant under the Restated Plan: (1) shares tendered or withheld to satisfy the exercise price of an option; (2) shares tendered or withheld to satisfy the tax withholding obligations with respect to an award; (3) shares subject to a SAR that are not issued in connection with the stock settlement of the SAR on its exercise; and (4) shares purchased on the open market with the cash proceeds from the exercise of options. If any shares of restricted stock are forfeited by a participant or repurchased by us pursuant to the Restated Plan or the Inducement Plan, such shares shall again be available for future grant or sale under the Restated Plan. The payment of dividend equivalents in cash in conjunction with any outstanding awards shall not be counted against the shares of stock available for issuance under the Restated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or any exchange rule, and subject to certain other restrictions, shares issued in assumption of, or in substitution for, any outstanding awards or shares available under a pre-existing plan of an entity acquired by the Company or any of its subsidiaries that was approved by stockholders and not adopted in contemplation of such acquisition will not be counted against the shares available for grant under the Restated Plan.</w:t>
      </w:r>
    </w:p>
    <w:p>
      <w:pPr>
        <w:spacing w:after="0" w:line="75" w:lineRule="exact"/>
        <w:rPr>
          <w:sz w:val="20"/>
          <w:szCs w:val="20"/>
          <w:color w:val="auto"/>
        </w:rPr>
      </w:pPr>
    </w:p>
    <w:p>
      <w:pPr>
        <w:ind w:left="300" w:right="999"/>
        <w:spacing w:after="0" w:line="282" w:lineRule="auto"/>
        <w:rPr>
          <w:sz w:val="20"/>
          <w:szCs w:val="20"/>
          <w:color w:val="auto"/>
        </w:rPr>
      </w:pPr>
      <w:r>
        <w:rPr>
          <w:rFonts w:ascii="Times New Roman" w:cs="Times New Roman" w:eastAsia="Times New Roman" w:hAnsi="Times New Roman"/>
          <w:sz w:val="18"/>
          <w:szCs w:val="18"/>
          <w:color w:val="auto"/>
        </w:rPr>
        <w:t>In no event will more than 68,457,455 shares of common stock be issuable pursuant to the exercise of ISOs following the effective date of the Equity Plan Amendment.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Restated Plan, as amended by the Equity Plan Amendment, is administered by the compensation committee of the board of directors. The compensation committee may delegate to a committee of one or more members of the board or one or more of our officers the authority to grant or amend awards to participants other than our senior executives who are subject to Section 16 of the Exchange Act, subject to certain other limitations. Unless otherwise determined by the board of directors, the compensation committee will consist solely of two or more members of the board, each of whom is a “non-employee director” as defined by Rule 16b-3 of the Exchange Act and an “independent director” under the rules of the Nasdaq Stock Market (or other principal securities market on which shares of our common stock are traded).</w:t>
      </w:r>
    </w:p>
    <w:p>
      <w:pPr>
        <w:spacing w:after="0" w:line="8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compensation committee has general authority to administer the Restated Plan, including the power to determine eligibility, the types and sizes of awards, the price and timing of awards and the acceleration or waiver of any vesting restriction, as well as the authority to delegate such administrative responsibilities. However, the full board of directors will conduct the general administration of the Restated Plan with respect to any awards to non-employee members of the board.</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Options, SARs, restricted stock and other awards under the Restated Plan may be granted to individuals who are then our officers or employees or are the officers or employees of any of our subsidiaries. Such awards may also be granted to our non-employee directors and consultants but only employees may be granted ISOs. As of April 15, 2025, we had six non-employee directors, 437 employees, and 15 consultants, each of whom would have been eligible for awards under the Restated Plan had it been in effect on such date. We do not typically make new grants of equity awards to our consultants. The closing share price per share for our common stock on the Nasdaq Stock Market on April 15, 2025 was $4.64.</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The Restated Plan, as amended by the Equity Plan Amendment, provides for the grant of stock options, both incentive stock options and nonqualified stock options, SARs, restricted stock awards, restricted stock units, performance share awards, dividend equivalents, performance bonus awards, and other performance-based awards to eligible individuals. Certain awards under the Restated Plan may constitute or provide for a deferral of compensation, subject to Section 409A of the Code, which may impose additional requirements on the terms and conditions of such awards. All awards under the Restated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Restated Plan, except as set forth below under “New Plan Benefits.” See the “2024 Summary Compensation Table” and “2024 Grants of Plan-Based Awards Table” in this Proxy Statement for information on prior awards to our NEOs identified in those tables.</w:t>
      </w:r>
    </w:p>
    <w:p>
      <w:pPr>
        <w:spacing w:after="0" w:line="6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including incentive stock options, as defined under Section 422 of the Code, and non-qualified stock options may be granted pursuant to the Restated Plan. The option exercise price of all stock options granted pursuant to the Restated Plan will not be less than 100% of the fair market value of the common stock on the date of grant. Stock options may be exercised as determined by the Compensation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Code provides.</w:t>
      </w:r>
    </w:p>
    <w:p>
      <w:pPr>
        <w:spacing w:after="0" w:line="70" w:lineRule="exact"/>
        <w:rPr>
          <w:sz w:val="20"/>
          <w:szCs w:val="20"/>
          <w:color w:val="auto"/>
        </w:rPr>
      </w:pPr>
    </w:p>
    <w:p>
      <w:pPr>
        <w:ind w:left="300" w:right="459"/>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may also be granted under the Restated Plan.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typically will provide for payments to the holder based upon increases in the price of our common stock over the exercise price per share, which will be no less than 100% of the fair market value of our common stock on the date of grant. SARs may be exercised as determined by the Compensation Committee, but in no event may a SAR have a term extending beyond ten years after the date of grant. Upon exercise of a SAR, payment may be made in cash or check or other property acceptable to the Compensation Committee.</w:t>
      </w:r>
    </w:p>
    <w:p>
      <w:pPr>
        <w:spacing w:after="0" w:line="7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Restricted stock is an award of nontransferable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remains forfeitable unless and until specified conditions are met and which may be subject to a purchase price. Holders of restricted stock will have voting rights and will have the right to receive dividends; however, dividends may not be paid until the applicable shares of restricted stock vest.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w:t>
      </w:r>
    </w:p>
    <w:p>
      <w:pPr>
        <w:spacing w:after="0" w:line="75"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 dividends 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and may be granted alone or in tandem with awards. Dividend equivalents are credited as of dividend payments dates during the period between the date an award is granted and the date such award vests, is exercised, is distributed, or expires, as determined by the plan administrator. The Restated Plan requires that any dividend equivalents be paid only to the extent the underlying award vests.</w:t>
      </w:r>
    </w:p>
    <w:p>
      <w:pPr>
        <w:spacing w:after="0" w:line="75" w:lineRule="exact"/>
        <w:rPr>
          <w:sz w:val="20"/>
          <w:szCs w:val="20"/>
          <w:color w:val="auto"/>
        </w:rPr>
      </w:pPr>
    </w:p>
    <w:p>
      <w:pPr>
        <w:jc w:val="both"/>
        <w:ind w:left="300" w:right="779"/>
        <w:spacing w:after="0" w:line="267"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awards that are granted subject to vesting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based on the attainment of specified performance goals. Performance awards may include any of the awards enumerated in this summary or other incentive awards paid in cash or stock.</w:t>
      </w:r>
    </w:p>
    <w:p>
      <w:pPr>
        <w:spacing w:after="0" w:line="6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Compensation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Committee in order to avoid adverse accounting consequences, in each case, having a fair market value on the date of delivery equal to the aggregate payments required; or (3) other property acceptable to the Compensation Committee (including through the delivery of a notice that the award holder has placed a market sell order with a broker with respect to shares of 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that would violate the prohibitions on loans made or arranged by us as set forth in Section 13(k) of the Exchange Act.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Awards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sum of the grant date fair value of all equity awards and the maximum amount that may become payable pursuant to all cash-based awards that may be granted under the Restated Pan as compensation for services as a non-employee director may not exceed $1,000,000 in any calendar year.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Withholding</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Restated Plan permits the plan administrator to allow for the withholding or surrender of shares in satisfaction of tax withholding with respect to awards with a value up to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Repricing</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no case (except due to an adjustment to reflect a stock split or similar event or any repricing that may be approved by stockholders) may any adjustment be made to a stock option or a SAR award under the Restated Plan (by amendment, cancellation and re-grant, exchange, or other means) that would constitute a repricing of the per-share exercise or base price of the award.</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Generally, awards granted under the Restated Plan will not be transferable by a participant other than by will or the laws of descent and distribution or, subject to the consent of the Compensation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Committee has the authority to permit a participant to transfer an award other than an incentive stock option to a permitted transferee, subject to the terms and conditions in the Restated Plan. In no event may an award be transferable for consideration absent stockholder approval.</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Forfeiture, Recoupment and Clawback Provisions</w:t>
      </w:r>
    </w:p>
    <w:p>
      <w:pPr>
        <w:spacing w:after="0" w:line="121"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Pursuant to its general authority to determine the terms and conditions applicable to awards under the Restated Plan, the plan administrator has the right to provide, in an award agreement or otherwise, that an award shall be subject to the provisions of the Clawback Policy.</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 Provisions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the class, number of shares, and exercise or grant price of outstanding awards will be equitably adjusted, and the plan administrator will make such further equitable adjustments as it may deem appropriate to reflect the equity restructuring with respect to the aggregate number and kind of shares that may be issued under the Restated Plan. Other types of transactions may also affect our common stock, such as a dividend or other distribution, reorganization, merger, or other changes in corporate structure. In the event that there is such a transaction, which is not an equity restructuring and the plan administrator determines that an adjustment to the plan and any outstanding awards would be appropriate to prevent any dilution or enlargement of benefits under the Restated Plan, the plan administrator will equitably adjust the Restated Plan as to the class of shares issuable and the maximum number of shares of our stock subject to the Restated Plan, as well as the maximum number of shares that may be issued to an employee during any calendar year, will adjust any outstanding awards as to the class, number of shares, and price per share of our stock in such manner as it may deem equitable and may provide for the cash-out, substitution, assumption or acceleration of outstanding awards.</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Certain Corporate Transactions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For purposes of the Restated Plan, a “change in control” generally means certain transactions in which a person acquires 50% or more of our total voting power; certain changes in the composition of the board of directors over a two-year period; a merger or consolidation, other than a merger or consolidation that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subject to certain exceptions; or approval by our stockholders of a plan of complete liquidation. The board of directors, in its sole discretion, may adopt a change-in-control program to determine the vesting schedule, exercisability, and other terms of outstanding awards on or after a change in control.</w:t>
      </w:r>
    </w:p>
    <w:p>
      <w:pPr>
        <w:spacing w:after="0" w:line="86" w:lineRule="exact"/>
        <w:rPr>
          <w:sz w:val="20"/>
          <w:szCs w:val="20"/>
          <w:color w:val="auto"/>
        </w:rPr>
      </w:pPr>
    </w:p>
    <w:p>
      <w:pPr>
        <w:ind w:left="300" w:right="599"/>
        <w:spacing w:after="0" w:line="312" w:lineRule="auto"/>
        <w:rPr>
          <w:sz w:val="20"/>
          <w:szCs w:val="20"/>
          <w:color w:val="auto"/>
        </w:rPr>
      </w:pPr>
      <w:r>
        <w:rPr>
          <w:rFonts w:ascii="Times New Roman" w:cs="Times New Roman" w:eastAsia="Times New Roman" w:hAnsi="Times New Roman"/>
          <w:sz w:val="17"/>
          <w:szCs w:val="17"/>
          <w:color w:val="auto"/>
        </w:rPr>
        <w:t>The board of directors may terminate, amend, or modify the Restated Plan at any time; however, stockholder approval will be obtained for any amendment to increase the number of shares available under the Restated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In addition, absent stockholder approval, no option or SAR may be amended to reduce the per share exercise price of the shares subject to such option or SAR below the per share exercise price as of the date the option or SAR was granted and, except to the extent permitted by the Restated Plan in connection with certain changes in capital structure, no option, SAR, cash, or other award may be granted in exchange for, or in connection with, the cancellation or surrender of an option or SAR having a higher per share exercise price.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under current U.S. law of the material federal income tax consequences with respect to the Restated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tax consequences described for nonqualified stock options will apply.</w:t>
      </w:r>
    </w:p>
    <w:p>
      <w:pPr>
        <w:spacing w:after="0" w:line="8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Restated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and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with respect to covered employees.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with respect to annual grants of options to our non-employee directors pursuant to the Restated Plan that will be made immediately following the date of the annual meeting, assuming stockholder approval of the Restated Plan, all future grants of awards under the Restated Plan are subject to the discretion of the plan administrator and it is not possible to determine the benefits that will be received in the future by participants in the Restated Plan. The equity awards to be granted to each non-employee director on the date of the annual meeting under the Restated Plan in accordance with the non-employee director compensation policy are described below under “—Director Compensation.”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Benefits Under the Restated Plan</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As of April 15, 2025, each of our named executive officers and the other groups identified below have received the following option and RSU grants under the Restated Plan since its inception that are outstanding:</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Units/Shares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5,826,598</w:t>
            </w:r>
          </w:p>
        </w:tc>
        <w:tc>
          <w:tcPr>
            <w:tcW w:w="1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1,034,277</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987,774</w:t>
            </w: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266,505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and Operations Officer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1,434,156</w:t>
            </w:r>
          </w:p>
        </w:tc>
        <w:tc>
          <w:tcPr>
            <w:tcW w:w="1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266,505</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and Administrative Officer</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Laura Williams, M.D., M.P.H.</w:t>
            </w: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827,827</w:t>
            </w: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228,465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Kelliher</w:t>
            </w: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205,019</w:t>
            </w:r>
          </w:p>
        </w:tc>
        <w:tc>
          <w:tcPr>
            <w:tcW w:w="1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136,680</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Corporate Development and Strategy</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14" w:right="1440" w:bottom="1440" w:gutter="0" w:footer="0" w:header="0"/>
        </w:sectPr>
      </w:pPr>
    </w:p>
    <w:p>
      <w:pPr>
        <w:ind w:left="300"/>
        <w:spacing w:after="0"/>
        <w:rPr>
          <w:sz w:val="20"/>
          <w:szCs w:val="20"/>
          <w:color w:val="auto"/>
        </w:rPr>
      </w:pPr>
      <w:r>
        <w:rPr>
          <w:rFonts w:ascii="Times New Roman" w:cs="Times New Roman" w:eastAsia="Times New Roman" w:hAnsi="Times New Roman"/>
          <w:sz w:val="18"/>
          <w:szCs w:val="18"/>
          <w:color w:val="auto"/>
        </w:rPr>
        <w:t>All current executive officers as a group (6 persons)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All current directors who are not executive officers as a group (6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-120650</wp:posOffset>
            </wp:positionV>
            <wp:extent cx="534924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18034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Mott, nominee for director</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associate of any directors, executive officers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480" w:right="140" w:hanging="179"/>
        <w:spacing w:after="0" w:line="272" w:lineRule="auto"/>
        <w:rPr>
          <w:sz w:val="20"/>
          <w:szCs w:val="20"/>
          <w:color w:val="auto"/>
        </w:rPr>
      </w:pPr>
      <w:r>
        <w:rPr>
          <w:rFonts w:ascii="Times New Roman" w:cs="Times New Roman" w:eastAsia="Times New Roman" w:hAnsi="Times New Roman"/>
          <w:sz w:val="18"/>
          <w:szCs w:val="18"/>
          <w:color w:val="auto"/>
        </w:rPr>
        <w:t>Each other person who received or is to receive 5 percent of such options, warrants or rights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7"/>
              </w:rPr>
              <w:t>9,716,393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2,249,112</w:t>
            </w:r>
          </w:p>
        </w:tc>
      </w:tr>
      <w:tr>
        <w:trPr>
          <w:trHeight w:val="287"/>
        </w:trPr>
        <w:tc>
          <w:tcPr>
            <w:tcW w:w="1180" w:type="dxa"/>
            <w:vAlign w:val="bottom"/>
          </w:tcPr>
          <w:p>
            <w:pPr>
              <w:jc w:val="right"/>
              <w:ind w:right="190"/>
              <w:spacing w:after="0" w:line="287" w:lineRule="exact"/>
              <w:rPr>
                <w:sz w:val="20"/>
                <w:szCs w:val="20"/>
                <w:color w:val="auto"/>
              </w:rPr>
            </w:pPr>
            <w:r>
              <w:rPr>
                <w:rFonts w:ascii="Times New Roman" w:cs="Times New Roman" w:eastAsia="Times New Roman" w:hAnsi="Times New Roman"/>
                <w:sz w:val="18"/>
                <w:szCs w:val="18"/>
                <w:color w:val="auto"/>
                <w:w w:val="93"/>
              </w:rPr>
              <w:t>1,844,402</w:t>
            </w:r>
            <w:r>
              <w:rPr>
                <w:rFonts w:ascii="Times New Roman" w:cs="Times New Roman" w:eastAsia="Times New Roman" w:hAnsi="Times New Roman"/>
                <w:sz w:val="29"/>
                <w:szCs w:val="29"/>
                <w:color w:val="auto"/>
                <w:w w:val="93"/>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180" w:type="dxa"/>
            <w:vAlign w:val="bottom"/>
          </w:tcPr>
          <w:p>
            <w:pPr>
              <w:jc w:val="right"/>
              <w:ind w:right="190"/>
              <w:spacing w:after="0" w:line="284" w:lineRule="exact"/>
              <w:rPr>
                <w:sz w:val="20"/>
                <w:szCs w:val="20"/>
                <w:color w:val="auto"/>
              </w:rPr>
            </w:pPr>
            <w:r>
              <w:rPr>
                <w:rFonts w:ascii="Times New Roman" w:cs="Times New Roman" w:eastAsia="Times New Roman" w:hAnsi="Times New Roman"/>
                <w:sz w:val="18"/>
                <w:szCs w:val="18"/>
                <w:color w:val="auto"/>
              </w:rPr>
              <w:t>330,775</w:t>
            </w:r>
            <w:r>
              <w:rPr>
                <w:rFonts w:ascii="Times New Roman" w:cs="Times New Roman" w:eastAsia="Times New Roman" w:hAnsi="Times New Roman"/>
                <w:sz w:val="29"/>
                <w:szCs w:val="29"/>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5" w:lineRule="exact"/>
        <w:rPr>
          <w:sz w:val="20"/>
          <w:szCs w:val="20"/>
          <w:color w:val="auto"/>
        </w:rPr>
      </w:pPr>
    </w:p>
    <w:p>
      <w:pPr>
        <w:sectPr>
          <w:pgSz w:w="11900" w:h="16838" w:orient="portrait"/>
          <w:cols w:equalWidth="0" w:num="2">
            <w:col w:w="5740" w:space="720"/>
            <w:col w:w="255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2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who are not executive officers as a group (431 persons)</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36,662,573</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15,649,470</w:t>
            </w:r>
          </w:p>
        </w:tc>
      </w:tr>
      <w:tr>
        <w:trPr>
          <w:trHeight w:val="54"/>
        </w:trPr>
        <w:tc>
          <w:tcPr>
            <w:tcW w:w="572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73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110,000 shares of our common stock that Mr. Mott holds for the benefit of entities associated with New Enterprise Associates.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(including our named executive officers) have substantial interests in the matters set forth in the Equity Plan Amendment Proposal since equity awards may be granted to them in the future under the Restated Plan (as amended by the Equity Plan Amendment).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Approval of the Equity Plan Amendment requires the affirmative vote of the majority of votes cast (excluding abstentions and broker non-votes). Abstentions and broker non-votes are not considered votes cast for the foregoing purpose, and will have no effect on the vote for this proposal.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EQUITY PLAN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OWNERSHIP OF CERTAIN BENEFICIAL OWNERS AND MANAGEMENT</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April 15, 2025, by:</w:t>
      </w:r>
    </w:p>
    <w:p>
      <w:pPr>
        <w:spacing w:after="0" w:line="54" w:lineRule="exact"/>
        <w:rPr>
          <w:sz w:val="20"/>
          <w:szCs w:val="20"/>
          <w:color w:val="auto"/>
        </w:rPr>
      </w:pPr>
    </w:p>
    <w:p>
      <w:pPr>
        <w:ind w:left="1000" w:right="9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15, 2025 through the exercise of stock options, warrants or other rights and through the vesting and settlement of RSUs. Except as otherwise indicated, and subject to applicable community property laws, the persons named in the table have sole voting and investment power with respect to all shares of common stock held by that person.</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239,255,066 shares of our common stock outstanding as of April 15, 2025. Shares of our common stock that a person has the right to acquire within 60 days of April 15, 2025 pursuant to the exercise of outstanding stock options, and restricted stock units that are expected to vest and settle on or before June 14, 2025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w:t>
      </w:r>
    </w:p>
    <w:p>
      <w:pPr>
        <w:spacing w:after="0" w:line="10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Releasable</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Janus Henderson Group plc</w:t>
            </w:r>
            <w:r>
              <w:rPr>
                <w:rFonts w:ascii="Times New Roman" w:cs="Times New Roman" w:eastAsia="Times New Roman" w:hAnsi="Times New Roman"/>
                <w:sz w:val="29"/>
                <w:szCs w:val="29"/>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24,387,941</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24,387,941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Michael Raab</w:t>
            </w:r>
            <w:r>
              <w:rPr>
                <w:rFonts w:ascii="Times New Roman" w:cs="Times New Roman" w:eastAsia="Times New Roman" w:hAnsi="Times New Roman"/>
                <w:sz w:val="29"/>
                <w:szCs w:val="29"/>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4,164,119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4,708,913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Renz</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737,757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877,081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989,122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1,022,862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Williams, M.D., M.P.H.</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Kelliher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45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David Mott</w:t>
            </w:r>
            <w:r>
              <w:rPr>
                <w:rFonts w:ascii="Times New Roman" w:cs="Times New Roman" w:eastAsia="Times New Roman" w:hAnsi="Times New Roman"/>
                <w:sz w:val="29"/>
                <w:szCs w:val="29"/>
                <w:color w:val="auto"/>
                <w:vertAlign w:val="superscript"/>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2,015,494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350,775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350,775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Bertrand, Jr., Esq.</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595,541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Muna Bhanji, R.Ph</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348,969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398,285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606,299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Merdad Parsey, M.D., Ph.D.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 persons)</w:t>
            </w:r>
            <w:r>
              <w:rPr>
                <w:rFonts w:ascii="Times New Roman" w:cs="Times New Roman" w:eastAsia="Times New Roman" w:hAnsi="Times New Roman"/>
                <w:sz w:val="29"/>
                <w:szCs w:val="29"/>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3,686,511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8,080,902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11,767,413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shares of common stock.</w:t>
      </w:r>
    </w:p>
    <w:p>
      <w:pPr>
        <w:spacing w:after="0" w:line="42" w:lineRule="exact"/>
        <w:rPr>
          <w:sz w:val="20"/>
          <w:szCs w:val="20"/>
          <w:color w:val="auto"/>
        </w:rPr>
      </w:pPr>
    </w:p>
    <w:p>
      <w:pPr>
        <w:ind w:left="640" w:right="69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14, 2025 by Janus Henderson Group plc (“Janus Henderson”). Janus Henderson holds shared voting and dispositive power over 24,387,941 shares and does not hold sole voting or dispositive power over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399"/>
        <w:spacing w:after="0" w:line="233" w:lineRule="auto"/>
        <w:rPr>
          <w:sz w:val="20"/>
          <w:szCs w:val="20"/>
          <w:color w:val="auto"/>
        </w:rPr>
      </w:pPr>
      <w:r>
        <w:rPr>
          <w:rFonts w:ascii="Times New Roman" w:cs="Times New Roman" w:eastAsia="Times New Roman" w:hAnsi="Times New Roman"/>
          <w:sz w:val="14"/>
          <w:szCs w:val="14"/>
          <w:color w:val="auto"/>
        </w:rPr>
        <w:t>any shares. Janus Henderson has a 100% ownership stake in Janus Henderson Investors U.S. LLC (“JHIUS”). As a result of its role as investment adviser or sub-adviser to certain fund, individual and/or institutional clients, JHIUS may be deemed to be the beneficial owner of the shares owned by Janus Henderson. However, JHIUS does not have the right to receive any dividends from, or the proceeds from the sale of, the securities held in the by such fund, individual and/or institutional clients and disclaims any ownership associated with such rights. The principal business address of Janus Henderson is 201 Bishopsgate, EC2M 3AE, United Kingdom.</w:t>
      </w:r>
    </w:p>
    <w:p>
      <w:pPr>
        <w:spacing w:after="0" w:line="15" w:lineRule="exact"/>
        <w:rPr>
          <w:sz w:val="20"/>
          <w:szCs w:val="20"/>
          <w:color w:val="auto"/>
        </w:rPr>
      </w:pPr>
    </w:p>
    <w:p>
      <w:pPr>
        <w:ind w:left="640" w:right="319" w:hanging="348"/>
        <w:spacing w:after="0" w:line="236"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519,430 shares directly owned by Mr. Raab, (ii) 24,364 shares owned directly by Michael G. Raab, trustee of the Michael G. Raab Living Trust dated July 25, 2012, (iii) an aggregate of 1,000 shares owned directly by trusts for the benefit of Mr. Raab’s children, (iv) 4,073,792 shares subject to options that Mr. Raab may acquire within 60 days of April 15, 2025, and (v) 90,327 shares subject to restricted stock units that will vest within 60 days of April 15, 2025.</w:t>
      </w:r>
    </w:p>
    <w:p>
      <w:pPr>
        <w:spacing w:after="0" w:line="14"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110,000 shares subject to options that Mr. Mott may acquire within 60 days of April 15, 2024 and (ii) 87,566 shares of common stock, each of which are held by Mr. Mott for the benefit of entities associated with New Enterprise Associates . Mr. Mott disclaims beneficial ownership of all such shares and options, except to the extent of his actual pecuniary interest therein.</w:t>
      </w:r>
    </w:p>
    <w:p>
      <w:pPr>
        <w:spacing w:after="0" w:line="14" w:lineRule="exact"/>
        <w:rPr>
          <w:rFonts w:ascii="Times New Roman" w:cs="Times New Roman" w:eastAsia="Times New Roman" w:hAnsi="Times New Roman"/>
          <w:sz w:val="14"/>
          <w:szCs w:val="14"/>
          <w:color w:val="auto"/>
        </w:rPr>
      </w:pPr>
    </w:p>
    <w:p>
      <w:pPr>
        <w:ind w:left="640" w:right="67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3,686,511 shares, (ii) 7,864,061 shares of common stock that may be acquired pursuant to the exercise of stock options within 60 days of April 15, 2025 and (iii) 216,841 restricted stock units that will vest within 60 days of April 15, 2025.</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7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year ended December 31, 2024, all Section 16(a) filing requirements applicable to our officers, directors and greater than 10% beneficial owners were met, except for late Form 4s due to administrative delays, which were filed on March 15, 2024 for Robert Blanks, May 9, 2024 for Robert Felsch and October 31, 2024 for Michael Raab.</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Registered Stockholders</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Street Name Holders</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Stockholders who hold their shares through a brokerage may elect to participate in householding, or revoke their consent to participate in householding, by contacting their respective brokers.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11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b w:val="1"/>
          <w:bCs w:val="1"/>
          <w:color w:val="auto"/>
        </w:rPr>
        <w:t>This proxy statement is accompanied by our 2024 Annual Report to Stockholders, which includes our Annual Report on Form 10-K for the fiscal year ended December 31, 2024, or the 10-K. The 10-K includes our audited financial statements. We have filed the 10-K with the SEC, and it is available free of charge at 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our board of directors knows of no other matters that will be presented for consideration at the 2025 Annual Meeting other than the matters described in this proxy statement. If other matters are properly brought before the 2025 Annual Meeting, then proxies will be voted in accordance with the recommendation of the board of directors or, in the absence of such a recommendation, in accordance with the best judgment of the proxy holder.</w:t>
      </w:r>
    </w:p>
    <w:p>
      <w:pPr>
        <w:spacing w:after="0" w:line="2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Elizabeth Grammer, Esq.</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30,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ARDELYX,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2014 EQUITY INCENTIVE AWARD PLAN</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Amended and Restated 2014 Equity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made and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April 28, 2025 (the “</w:t>
      </w: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xml:space="preserve">”), effective as of the date that it is approved by the Company’s stockholders;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such date is within twelve (12) months of the Adoption Date (the “Amendment Effective Date”).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terms used but not otherwise defined herein shall have the respective meanings ascribed to such terms in the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 which, prior to this Amendment taking effect, provides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(the “Shares”) that may be delivered pursuant to awards granted under the Plan is (i) 58,457,566 (ii) any of the 6,500,000 Shares which as of the Effective Date of the Plan were subject to awards granted under the 2016 Employment Commencement Incentive Plan (the “Prior Plan”) that on or after the Effective Date of the Plan terminate, expire or lapse for any reason without delivery of Shares to the holder thereof or for which the Shares are forfeited or repurchased for the original purchase prices thereof.</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believes it is in the best interest of the Company to increase the maximum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delivered pursuant to awards granted under the Plan by 10,000,000 shares of Common Stock to provide flexibility to the Company in its ability to motivate, attract, and retain the services of Employees.</w:t>
      </w:r>
    </w:p>
    <w:p>
      <w:pPr>
        <w:spacing w:after="0" w:line="68"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13.1 of the Plan, the Board may amend the Plan from time to time;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such amendment to increase the number of shares of Common Stock subject to the Plan shall require approval by the Company’s stockholders within twelve (12) months before or after such action by the Board.</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recommended that this Amendment be submitted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within twelve (12) months of the Adoption Date.</w:t>
      </w:r>
    </w:p>
    <w:p>
      <w:pPr>
        <w:spacing w:after="0" w:line="4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Plan is hereby amended, as of the Effective Date,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sz w:val="20"/>
          <w:szCs w:val="20"/>
          <w:color w:val="auto"/>
        </w:rPr>
      </w:pPr>
    </w:p>
    <w:p>
      <w:pPr>
        <w:ind w:left="300" w:right="319" w:hanging="8"/>
        <w:spacing w:after="0" w:line="282" w:lineRule="auto"/>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3.1(a)</w:t>
      </w:r>
      <w:r>
        <w:rPr>
          <w:rFonts w:ascii="Times New Roman" w:cs="Times New Roman" w:eastAsia="Times New Roman" w:hAnsi="Times New Roman"/>
          <w:sz w:val="18"/>
          <w:szCs w:val="18"/>
          <w:color w:val="auto"/>
        </w:rPr>
        <w:t>. Section 3.1(a) of the Plan is hereby amended and restated in its entirety to read as follows:</w:t>
      </w:r>
    </w:p>
    <w:p>
      <w:pPr>
        <w:spacing w:after="0" w:line="54" w:lineRule="exact"/>
        <w:rPr>
          <w:sz w:val="20"/>
          <w:szCs w:val="20"/>
          <w:color w:val="auto"/>
        </w:rPr>
      </w:pPr>
    </w:p>
    <w:p>
      <w:pPr>
        <w:ind w:left="1020" w:right="8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Sections 13.1, 13.2 and 3.1(b) hereof, the aggregate number of Shares which may be issued or transferred pursuant to Awards under the Plan is (i) 68,457,566 and</w:t>
      </w:r>
    </w:p>
    <w:p>
      <w:pPr>
        <w:jc w:val="both"/>
        <w:ind w:left="1020" w:right="839" w:hanging="8"/>
        <w:spacing w:after="0" w:line="251" w:lineRule="auto"/>
        <w:tabs>
          <w:tab w:leader="none" w:pos="13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6,500,000 Shares which were subject to awards under the Prior Plan as of the Effective Date of the Plan that, on or after the Effective Date of the Plan, terminate, expire or lapse for any reason without the delivery of Shares to the holder thereof or for which the Shares are forfeited or repurchased for the original purchase prices thereof (the “Share Limit”). Notwithstanding anything in this Section 3.1 to the contrary, the number of shares of Stock that may be issued or transferred pursuant to Incentive Stock Options under the Plan shall not exceed an aggregate of 68,457,566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hanging="8"/>
        <w:spacing w:after="0" w:line="257"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Approval by Stockholders</w:t>
      </w:r>
      <w:r>
        <w:rPr>
          <w:rFonts w:ascii="Times New Roman" w:cs="Times New Roman" w:eastAsia="Times New Roman" w:hAnsi="Times New Roman"/>
          <w:sz w:val="18"/>
          <w:szCs w:val="18"/>
          <w:color w:val="auto"/>
        </w:rPr>
        <w:t xml:space="preserve">. This Amendment will be submitted for the approval of the Company’s stockholders within twelve (12) months after the Adoption Date. Awards may be granted or awarded prior to such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Awards shall not be exercisable, (B) such Awards shall not vest and</w:t>
      </w:r>
    </w:p>
    <w:p>
      <w:pPr>
        <w:spacing w:after="0" w:line="1" w:lineRule="exact"/>
        <w:rPr>
          <w:rFonts w:ascii="Times New Roman" w:cs="Times New Roman" w:eastAsia="Times New Roman" w:hAnsi="Times New Roman"/>
          <w:sz w:val="18"/>
          <w:szCs w:val="18"/>
          <w:color w:val="auto"/>
        </w:rPr>
      </w:pPr>
    </w:p>
    <w:p>
      <w:pPr>
        <w:jc w:val="both"/>
        <w:ind w:left="30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the restrictions on such Awards shall not lapse and no shares shall be issued pursuant thereto prior to the Amendment Effective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approval has not been obtained at the end of said twelve (12) month period, all Awards previously granted or awarded in reliance on this Amendment shall thereupon be canceled and become null and void; however, the Plan shall remain in full force and effect. If stockholder approval of this Amendment is obtained, as of the Amendment Effective Date, this Amendment shall be and is hereby incorporated as part of the Plan.</w:t>
      </w:r>
    </w:p>
    <w:p>
      <w:pPr>
        <w:spacing w:after="0" w:line="81" w:lineRule="exact"/>
        <w:rPr>
          <w:rFonts w:ascii="Times New Roman" w:cs="Times New Roman" w:eastAsia="Times New Roman" w:hAnsi="Times New Roman"/>
          <w:sz w:val="18"/>
          <w:szCs w:val="18"/>
          <w:color w:val="auto"/>
        </w:rPr>
      </w:pPr>
    </w:p>
    <w:p>
      <w:pPr>
        <w:ind w:left="300" w:right="299" w:hanging="8"/>
        <w:spacing w:after="0" w:line="282"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the Plan</w:t>
      </w:r>
      <w:r>
        <w:rPr>
          <w:rFonts w:ascii="Times New Roman" w:cs="Times New Roman" w:eastAsia="Times New Roman" w:hAnsi="Times New Roman"/>
          <w:sz w:val="18"/>
          <w:szCs w:val="18"/>
          <w:color w:val="auto"/>
        </w:rPr>
        <w:t>. Except as expressly provided herein, all terms and conditions of the Plan shall remain in full force and effect.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ADOPTED BY THE BOARD OF DIRECTORS: April 28, 2025</w:t>
      </w:r>
    </w:p>
    <w:p>
      <w:pPr>
        <w:spacing w:after="0" w:line="158" w:lineRule="exact"/>
        <w:rPr>
          <w:sz w:val="20"/>
          <w:szCs w:val="20"/>
          <w:color w:val="auto"/>
        </w:rPr>
      </w:pPr>
    </w:p>
    <w:p>
      <w:pPr>
        <w:ind w:left="300"/>
        <w:spacing w:after="0"/>
        <w:tabs>
          <w:tab w:leader="none" w:pos="3760" w:val="left"/>
        </w:tabs>
        <w:rPr>
          <w:sz w:val="20"/>
          <w:szCs w:val="20"/>
          <w:color w:val="auto"/>
        </w:rPr>
      </w:pPr>
      <w:r>
        <w:rPr>
          <w:rFonts w:ascii="Times New Roman" w:cs="Times New Roman" w:eastAsia="Times New Roman" w:hAnsi="Times New Roman"/>
          <w:sz w:val="18"/>
          <w:szCs w:val="18"/>
          <w:color w:val="auto"/>
        </w:rPr>
        <w:t>APPROVED BY THE STOCKHOLDERS: [ </w:t>
      </w:r>
      <w:r>
        <w:rPr>
          <w:sz w:val="20"/>
          <w:szCs w:val="20"/>
          <w:color w:val="auto"/>
        </w:rPr>
        <w:tab/>
      </w:r>
      <w:r>
        <w:rPr>
          <w:rFonts w:ascii="Times New Roman" w:cs="Times New Roman" w:eastAsia="Times New Roman" w:hAnsi="Times New Roman"/>
          <w:sz w:val="17"/>
          <w:szCs w:val="17"/>
          <w:color w:val="auto"/>
        </w:rPr>
        <w:t>],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AWARD PLAN</w:t>
      </w:r>
    </w:p>
    <w:p>
      <w:pPr>
        <w:spacing w:after="0" w:line="2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Ardelyx, Inc. Amended and Restated 2014 Equity Incentive Award Plan (as it may be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Ardelyx, Inc.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individual interests of the members of the Board, Employees, and Consultants to those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Company’s stockholders and by providing such individuals with an incentive for outstanding performance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generate superior returns to the Company’s stockholders. The Plan is further intended to provide flexibility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in its ability to motivate, attract, and retain the services of members of the Board, Employees,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Consultants upon whose judgment, interest, and special effort the successful conduct of the Company’s operation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largely dependent. The Plan amends and restates the 2014 Equity Incentive Award Plan (the “</w:t>
      </w:r>
      <w:r>
        <w:rPr>
          <w:rFonts w:ascii="Times New Roman" w:cs="Times New Roman" w:eastAsia="Times New Roman" w:hAnsi="Times New Roman"/>
          <w:sz w:val="18"/>
          <w:szCs w:val="18"/>
          <w:u w:val="single" w:color="auto"/>
          <w:color w:val="auto"/>
        </w:rPr>
        <w:t>Original 2014 Plan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its entirety, subject to stockholder approval of this Plan at the annual meeting of the Company’s stockholders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2024. In the event the Company’s stockholders fail to approve the Plan as set forth herein at the annual meeting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Company’s stockholders in 2024, then this Plan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the Original 2014 Plan shall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continue in effect in accordance with its terms.</w:t>
      </w: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99" w:lineRule="exact"/>
        <w:rPr>
          <w:sz w:val="20"/>
          <w:szCs w:val="20"/>
          <w:color w:val="auto"/>
        </w:rPr>
      </w:pPr>
    </w:p>
    <w:p>
      <w:pPr>
        <w:jc w:val="both"/>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3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 terminated the assumption of such duties.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Parent or Subsidiary.</w:t>
      </w:r>
    </w:p>
    <w:p>
      <w:pPr>
        <w:spacing w:after="0" w:line="117"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are listed, quoted or traded.</w:t>
      </w:r>
    </w:p>
    <w:p>
      <w:pPr>
        <w:spacing w:after="0" w:line="72"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17"/>
          <w:szCs w:val="17"/>
          <w:u w:val="single" w:color="auto"/>
          <w:color w:val="auto"/>
        </w:rPr>
        <w:t>Awards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117" w:lineRule="exact"/>
        <w:rPr>
          <w:sz w:val="20"/>
          <w:szCs w:val="20"/>
          <w:color w:val="auto"/>
        </w:rPr>
      </w:pPr>
    </w:p>
    <w:p>
      <w:pPr>
        <w:ind w:left="300" w:right="1199" w:firstLine="360"/>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in a single transaction or in a series of related transactions, of any one or more of the following events:</w:t>
      </w:r>
    </w:p>
    <w:p>
      <w:pPr>
        <w:spacing w:after="0" w:line="54" w:lineRule="exact"/>
        <w:rPr>
          <w:sz w:val="20"/>
          <w:szCs w:val="20"/>
          <w:color w:val="auto"/>
        </w:rPr>
      </w:pPr>
    </w:p>
    <w:p>
      <w:pPr>
        <w:ind w:left="660" w:right="379" w:firstLine="360"/>
        <w:spacing w:after="0" w:line="282" w:lineRule="auto"/>
        <w:rPr>
          <w:sz w:val="20"/>
          <w:szCs w:val="20"/>
          <w:color w:val="auto"/>
        </w:rPr>
      </w:pPr>
      <w:r>
        <w:rPr>
          <w:rFonts w:ascii="Times New Roman" w:cs="Times New Roman" w:eastAsia="Times New Roman" w:hAnsi="Times New Roman"/>
          <w:sz w:val="18"/>
          <w:szCs w:val="18"/>
          <w:color w:val="auto"/>
        </w:rPr>
        <w:t>(a)  A transaction or series of transactions (other than an offering of Common Stock to the general public through a registration statement filed with the Securities and Exchange Commission) whereby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299"/>
        <w:spacing w:after="0" w:line="255" w:lineRule="auto"/>
        <w:rPr>
          <w:sz w:val="20"/>
          <w:szCs w:val="20"/>
          <w:color w:val="auto"/>
        </w:rPr>
      </w:pPr>
      <w:r>
        <w:rPr>
          <w:rFonts w:ascii="Times New Roman" w:cs="Times New Roman" w:eastAsia="Times New Roman" w:hAnsi="Times New Roman"/>
          <w:sz w:val="18"/>
          <w:szCs w:val="18"/>
          <w:color w:val="auto"/>
        </w:rPr>
        <w:t>“person”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81"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81"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5" w:lineRule="exact"/>
        <w:rPr>
          <w:sz w:val="20"/>
          <w:szCs w:val="20"/>
          <w:color w:val="auto"/>
        </w:rPr>
      </w:pPr>
    </w:p>
    <w:p>
      <w:pPr>
        <w:ind w:left="1020" w:right="319" w:firstLine="360"/>
        <w:spacing w:after="0" w:line="255" w:lineRule="auto"/>
        <w:rPr>
          <w:sz w:val="20"/>
          <w:szCs w:val="20"/>
          <w:color w:val="auto"/>
        </w:rPr>
      </w:pPr>
      <w:r>
        <w:rPr>
          <w:rFonts w:ascii="Times New Roman" w:cs="Times New Roman" w:eastAsia="Times New Roman" w:hAnsi="Times New Roman"/>
          <w:sz w:val="18"/>
          <w:szCs w:val="18"/>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81" w:lineRule="exact"/>
        <w:rPr>
          <w:sz w:val="20"/>
          <w:szCs w:val="20"/>
          <w:color w:val="auto"/>
        </w:rPr>
      </w:pPr>
    </w:p>
    <w:p>
      <w:pPr>
        <w:ind w:left="1020" w:right="359" w:firstLine="360"/>
        <w:spacing w:after="0" w:line="258" w:lineRule="auto"/>
        <w:rPr>
          <w:sz w:val="20"/>
          <w:szCs w:val="20"/>
          <w:color w:val="auto"/>
        </w:rPr>
      </w:pPr>
      <w:r>
        <w:rPr>
          <w:rFonts w:ascii="Times New Roman" w:cs="Times New Roman" w:eastAsia="Times New Roman" w:hAnsi="Times New Roman"/>
          <w:sz w:val="18"/>
          <w:szCs w:val="18"/>
          <w:color w:val="auto"/>
        </w:rPr>
        <w:t>(ii)  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The Company’s stockholders approve a liquidation or dissolution of the Company.</w:t>
      </w:r>
    </w:p>
    <w:p>
      <w:pPr>
        <w:spacing w:after="0" w:line="117"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spacing w:after="0" w:line="7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w:t>
      </w:r>
    </w:p>
    <w:p>
      <w:pPr>
        <w:spacing w:after="0" w:line="75"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a subcommittee of the Compensation Committee of the Board or another committee or subcommittee of the Board, appointed as provided in Section 12.1 hereof.</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 par value $0.0001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Article 1 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any consultant or advisor engaged to provide services to the Company or any Affiliate who qualifies as a consultant or advisor under the applicable rules of the Securities and Exchange Commission for registration of shares on a Form S-8 Registration Statement or any successor Form thereto.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shall mean a right to receive Shares awarded under Section 9.4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Deferred Stock Unit</w:t>
      </w:r>
      <w:r>
        <w:rPr>
          <w:rFonts w:ascii="Times New Roman" w:cs="Times New Roman" w:eastAsia="Times New Roman" w:hAnsi="Times New Roman"/>
          <w:sz w:val="18"/>
          <w:szCs w:val="18"/>
          <w:color w:val="auto"/>
        </w:rPr>
        <w:t>” shall mean a right to receive Shares awarded under Section 9.5 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shall mean a right to receive the equivalent value (in cash or Shares) of dividends paid on Shares, awarded under Section 9.2 hereof.</w:t>
      </w:r>
    </w:p>
    <w:p>
      <w:pPr>
        <w:spacing w:after="0" w:line="54"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 1974, as amended from time to time, or the rules thereunder.</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13.1.</w:t>
      </w:r>
    </w:p>
    <w:p>
      <w:pPr>
        <w:spacing w:after="0" w:line="117"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Eligible Individual</w:t>
      </w:r>
      <w:r>
        <w:rPr>
          <w:rFonts w:ascii="Times New Roman" w:cs="Times New Roman" w:eastAsia="Times New Roman" w:hAnsi="Times New Roman"/>
          <w:sz w:val="18"/>
          <w:szCs w:val="18"/>
          <w:color w:val="auto"/>
        </w:rPr>
        <w:t>” shall mean any person who is an Employee, a Consultant or a Non-Employee Director, as determined by the Administrator.</w:t>
      </w:r>
    </w:p>
    <w:p>
      <w:pPr>
        <w:spacing w:after="0" w:line="54" w:lineRule="exact"/>
        <w:rPr>
          <w:sz w:val="20"/>
          <w:szCs w:val="20"/>
          <w:color w:val="auto"/>
        </w:rPr>
      </w:pPr>
    </w:p>
    <w:p>
      <w:pPr>
        <w:ind w:left="300" w:right="1279" w:firstLine="360"/>
        <w:spacing w:after="0" w:line="312" w:lineRule="auto"/>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shall mean any officer or other employee (as determined in accordance with Section 3401(c) of the Code and the Treasury Regulations thereunder) of the Company or any Affiliate.</w:t>
      </w:r>
    </w:p>
    <w:p>
      <w:pPr>
        <w:spacing w:after="0" w:line="3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given date, the value of a Share determined as follows:</w:t>
      </w:r>
    </w:p>
    <w:p>
      <w:pPr>
        <w:spacing w:after="0" w:line="117" w:lineRule="exact"/>
        <w:rPr>
          <w:sz w:val="20"/>
          <w:szCs w:val="20"/>
          <w:color w:val="auto"/>
        </w:rPr>
      </w:pPr>
    </w:p>
    <w:p>
      <w:pPr>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(a)  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81"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79"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(c)  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Greater Than 10% Stockholder</w:t>
      </w:r>
      <w:r>
        <w:rPr>
          <w:rFonts w:ascii="Times New Roman" w:cs="Times New Roman" w:eastAsia="Times New Roman" w:hAnsi="Times New Roman"/>
          <w:sz w:val="18"/>
          <w:szCs w:val="18"/>
          <w:color w:val="auto"/>
        </w:rPr>
        <w:t>” shall mean an individual then owning (within the meaning of Section 424(d) of the Code) more than ten percent (10%) of the total combined voting power of all classes of stock of the Company or any “parent corporation” or “subsidiary corporation” (as defined in Sections 424(e) and 424(f) of the Code, respectively).</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 person who has been granted an Award.</w:t>
      </w:r>
    </w:p>
    <w:p>
      <w:pPr>
        <w:spacing w:after="0" w:line="117"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that is intended to qualify as an incentive stock option and conforms to the applicable provisions of Section 422 of the Code.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Director of the Company who is not an Employee.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 Equity Compensation Policy</w:t>
      </w:r>
      <w:r>
        <w:rPr>
          <w:rFonts w:ascii="Times New Roman" w:cs="Times New Roman" w:eastAsia="Times New Roman" w:hAnsi="Times New Roman"/>
          <w:sz w:val="18"/>
          <w:szCs w:val="18"/>
          <w:color w:val="auto"/>
        </w:rPr>
        <w:t>” shall have the meaning set forth in Section 4.6 hereof.</w:t>
      </w:r>
    </w:p>
    <w:p>
      <w:pPr>
        <w:spacing w:after="0" w:line="54"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2.30  “</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is not an Incentive Stock Option or which is designated as an Incentive Stock Option but does not meet the applicable requirements of Section 422 of the Code.</w:t>
      </w:r>
    </w:p>
    <w:p>
      <w:pPr>
        <w:spacing w:after="0" w:line="32" w:lineRule="exact"/>
        <w:rPr>
          <w:sz w:val="20"/>
          <w:szCs w:val="20"/>
          <w:color w:val="auto"/>
        </w:rPr>
      </w:pPr>
    </w:p>
    <w:p>
      <w:pPr>
        <w:ind w:left="300" w:right="519" w:firstLine="360"/>
        <w:spacing w:after="0" w:line="289"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shall mean a right to purchase Shares at a specified exercise price, granted under Article 5 hereof. An Option shall be either a Non-Qualified Stock Option or an Incentive Stock Option;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Options granted to Non-Employee Directors and Consultants shall only be Non-Qualified Stock Options.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shall have the meaning set forth in Section 5.4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Original 2014 Plan</w:t>
      </w:r>
      <w:r>
        <w:rPr>
          <w:rFonts w:ascii="Times New Roman" w:cs="Times New Roman" w:eastAsia="Times New Roman" w:hAnsi="Times New Roman"/>
          <w:sz w:val="18"/>
          <w:szCs w:val="18"/>
          <w:color w:val="auto"/>
        </w:rPr>
        <w:t>” shall have the meaning set forth in Article 1 hereof.</w:t>
      </w:r>
    </w:p>
    <w:p>
      <w:pPr>
        <w:spacing w:after="0" w:line="117"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72"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shall mean a cash bonus award, stock bonus award, performance award or incentive award that is paid in cash, Shares or a combination of both, awarded under Section 9.1 hereof.</w:t>
      </w:r>
    </w:p>
    <w:p>
      <w:pPr>
        <w:spacing w:after="0" w:line="5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Performance Stock Unit</w:t>
      </w:r>
      <w:r>
        <w:rPr>
          <w:rFonts w:ascii="Times New Roman" w:cs="Times New Roman" w:eastAsia="Times New Roman" w:hAnsi="Times New Roman"/>
          <w:sz w:val="18"/>
          <w:szCs w:val="18"/>
          <w:color w:val="auto"/>
        </w:rPr>
        <w:t>” shall mean a Performance Award awarded under Section 9.1 hereof which is denominated in units of value including dollar value of shares of Common Stock.</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Holder, any “family member” of the Holder, as defined under the General Instructions to Form S-8 Registration Statement under the Securities Act or any successor Form thereto, or any other transferee specifically approved by the Administrator, after taking into account Applicable Law.</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meaning set forth in Article 1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shall mean the Ardelyx, Inc. 2016 Employment Commencement Incentive Plan.</w:t>
      </w:r>
    </w:p>
    <w:p>
      <w:pPr>
        <w:spacing w:after="0" w:line="117"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an award of Shares made under Article 7 hereof that is subject to certain restrictions and may be subject to risk of forfeiture or repurchase.</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shall mean a contractual right awarded under Article 8 hereof to receive in the future a Share or the Fair Market Value of a Share in cash.</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shares of Common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Share Limit</w:t>
      </w:r>
      <w:r>
        <w:rPr>
          <w:rFonts w:ascii="Times New Roman" w:cs="Times New Roman" w:eastAsia="Times New Roman" w:hAnsi="Times New Roman"/>
          <w:sz w:val="18"/>
          <w:szCs w:val="18"/>
          <w:color w:val="auto"/>
        </w:rPr>
        <w:t>” shall have the meaning set forth in Section 3.1(a) hereof. </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shall mean a stock appreciation right granted under Article 10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Stock Appreciation Right Term</w:t>
      </w:r>
      <w:r>
        <w:rPr>
          <w:rFonts w:ascii="Times New Roman" w:cs="Times New Roman" w:eastAsia="Times New Roman" w:hAnsi="Times New Roman"/>
          <w:sz w:val="18"/>
          <w:szCs w:val="18"/>
          <w:color w:val="auto"/>
        </w:rPr>
        <w:t>” shall have the meaning set forth in Section 10.4 hereof.</w:t>
      </w:r>
    </w:p>
    <w:p>
      <w:pPr>
        <w:spacing w:after="0" w:line="117"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2.48  “</w:t>
      </w:r>
      <w:r>
        <w:rPr>
          <w:rFonts w:ascii="Times New Roman" w:cs="Times New Roman" w:eastAsia="Times New Roman" w:hAnsi="Times New Roman"/>
          <w:sz w:val="17"/>
          <w:szCs w:val="17"/>
          <w:u w:val="single" w:color="auto"/>
          <w:color w:val="auto"/>
        </w:rPr>
        <w:t>Stock Payment</w:t>
      </w:r>
      <w:r>
        <w:rPr>
          <w:rFonts w:ascii="Times New Roman" w:cs="Times New Roman" w:eastAsia="Times New Roman" w:hAnsi="Times New Roman"/>
          <w:sz w:val="17"/>
          <w:szCs w:val="17"/>
          <w:color w:val="auto"/>
        </w:rPr>
        <w:t>” shall mean (a) a payment in the form of Shares, or (b) an option or other right to purchase Shares, as part of a bonus, deferred compensation or other arrangement, awarded under Section 9.3 hereof.</w:t>
      </w:r>
    </w:p>
    <w:p>
      <w:pPr>
        <w:spacing w:after="0" w:line="32" w:lineRule="exact"/>
        <w:rPr>
          <w:sz w:val="20"/>
          <w:szCs w:val="20"/>
          <w:color w:val="auto"/>
        </w:rPr>
      </w:pPr>
    </w:p>
    <w:p>
      <w:pPr>
        <w:ind w:left="300" w:right="619" w:firstLine="360"/>
        <w:spacing w:after="0" w:line="258"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Stock Appreciation Right.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mean:</w:t>
      </w:r>
    </w:p>
    <w:p>
      <w:pPr>
        <w:spacing w:after="0" w:line="117"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(a)  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72"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(b)  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72" w:lineRule="exact"/>
        <w:rPr>
          <w:sz w:val="20"/>
          <w:szCs w:val="20"/>
          <w:color w:val="auto"/>
        </w:rPr>
      </w:pPr>
    </w:p>
    <w:p>
      <w:pPr>
        <w:ind w:left="660" w:right="619" w:firstLine="360"/>
        <w:spacing w:after="0" w:line="261" w:lineRule="auto"/>
        <w:rPr>
          <w:sz w:val="20"/>
          <w:szCs w:val="20"/>
          <w:color w:val="auto"/>
        </w:rPr>
      </w:pPr>
      <w:r>
        <w:rPr>
          <w:rFonts w:ascii="Times New Roman" w:cs="Times New Roman" w:eastAsia="Times New Roman" w:hAnsi="Times New Roman"/>
          <w:sz w:val="18"/>
          <w:szCs w:val="18"/>
          <w:color w:val="auto"/>
        </w:rPr>
        <w:t>(c)  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72"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w:t>
      </w:r>
    </w:p>
    <w:p>
      <w:pPr>
        <w:spacing w:after="0" w:line="80"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(a)  Subject to Sections 13.1, 13.2 and 3.1(b) hereof, the aggregate number of Shares which may be issued or transferred pursuant to Awards under the Plan is (i) 58,457,566 and (ii) any of the 6,500,000 Shares which as of the Effective Date are subject to awards under the Prior Plan that, on or after the Effective Date, terminate, expire or lapse for any reason without the delivery of Shares to the holder thereof or for which the Shares are forfeited or repurchased for the original purchase prices thereof (the “</w:t>
      </w:r>
      <w:r>
        <w:rPr>
          <w:rFonts w:ascii="Times New Roman" w:cs="Times New Roman" w:eastAsia="Times New Roman" w:hAnsi="Times New Roman"/>
          <w:sz w:val="18"/>
          <w:szCs w:val="18"/>
          <w:u w:val="single" w:color="auto"/>
          <w:color w:val="auto"/>
        </w:rPr>
        <w:t>Share Limit</w:t>
      </w:r>
      <w:r>
        <w:rPr>
          <w:rFonts w:ascii="Times New Roman" w:cs="Times New Roman" w:eastAsia="Times New Roman" w:hAnsi="Times New Roman"/>
          <w:sz w:val="18"/>
          <w:szCs w:val="18"/>
          <w:color w:val="auto"/>
        </w:rPr>
        <w:t>”). Notwithstanding anything in this Section 3.1 to the contrary, the number of shares of Stock that may be issued or transferred pursuant to Incentive Stock Options under the Plan shall not exceed an aggregate of 58,457,566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(b)  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Any Shares repurchased by the Company pursuant to Section 7.4 hereof at the same price paid by the Holder or a lower price so that such Shares are returned to the Company shall again be available for the grant of an Award pursuant to the Plan and shall be added back to the Share Limit. Notwithstanding anything to the contrary contained herein, the following Shares shall not be added to the Shares authorized for grant under</w:t>
      </w:r>
    </w:p>
    <w:p>
      <w:pPr>
        <w:spacing w:after="0" w:line="3" w:lineRule="exact"/>
        <w:rPr>
          <w:sz w:val="20"/>
          <w:szCs w:val="20"/>
          <w:color w:val="auto"/>
        </w:rPr>
      </w:pPr>
    </w:p>
    <w:p>
      <w:pPr>
        <w:ind w:left="660" w:right="439"/>
        <w:spacing w:after="0" w:line="251" w:lineRule="auto"/>
        <w:rPr>
          <w:sz w:val="20"/>
          <w:szCs w:val="20"/>
          <w:color w:val="auto"/>
        </w:rPr>
      </w:pPr>
      <w:r>
        <w:rPr>
          <w:rFonts w:ascii="Times New Roman" w:cs="Times New Roman" w:eastAsia="Times New Roman" w:hAnsi="Times New Roman"/>
          <w:sz w:val="18"/>
          <w:szCs w:val="18"/>
          <w:color w:val="auto"/>
        </w:rPr>
        <w:t>Section 3.1(a) hereof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Stock Appreciation Rights that are not issued in connection with the stock settlement of the Stock Appreciation Rights on exercise thereof; and (iv) Shares purchased on the open market by the Company with the cash proceeds from the exercise of Options.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85"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Substitute Awards shall not reduce the Shares authorized for grant under the Plan and Shares subject to such Substitute Awards shall not be added back to the Shares available for Awards under the Plan as provided in Section 3.1(b) above.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89"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Stock Distributed</w:t>
      </w:r>
      <w:r>
        <w:rPr>
          <w:rFonts w:ascii="Times New Roman" w:cs="Times New Roman" w:eastAsia="Times New Roman" w:hAnsi="Times New Roman"/>
          <w:sz w:val="17"/>
          <w:szCs w:val="17"/>
          <w:color w:val="auto"/>
        </w:rPr>
        <w:t>. Any Shares distributed pursuant to an Award may consist, in whole or in part, of authorized and unissued Common Stock, treasury Common Stock or Common Stock purchased on the open market.</w:t>
      </w:r>
    </w:p>
    <w:p>
      <w:pPr>
        <w:spacing w:after="0" w:line="32"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Limitation on Number of Shares Subject to Awards to Non-Employee Directors</w:t>
      </w:r>
      <w:r>
        <w:rPr>
          <w:rFonts w:ascii="Times New Roman" w:cs="Times New Roman" w:eastAsia="Times New Roman" w:hAnsi="Times New Roman"/>
          <w:sz w:val="18"/>
          <w:szCs w:val="18"/>
          <w:color w:val="auto"/>
        </w:rPr>
        <w:t>. The maximum aggregate value of Awards (with such value determined as of the date of grant under Applicable Accounting Standards) that may be granted to any Non-Employee Director during any calendar year shall be $1,000,000.</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9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hereof regarding the grant of Awards pursuant to the Non-Employee Director Equity Compensation Policy, no Eligible Individual shall have any right to be granted an Award pursuant to the Plan.</w:t>
      </w:r>
    </w:p>
    <w:p>
      <w:pPr>
        <w:spacing w:after="0" w:line="75" w:lineRule="exact"/>
        <w:rPr>
          <w:sz w:val="20"/>
          <w:szCs w:val="20"/>
          <w:color w:val="auto"/>
        </w:rPr>
      </w:pPr>
    </w:p>
    <w:p>
      <w:pPr>
        <w:ind w:left="300" w:right="459" w:firstLine="360"/>
        <w:spacing w:after="0" w:line="27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At-Will Employment; Voluntary Participation</w:t>
      </w:r>
      <w:r>
        <w:rPr>
          <w:rFonts w:ascii="Times New Roman" w:cs="Times New Roman" w:eastAsia="Times New Roman" w:hAnsi="Times New Roman"/>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8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Foreign Holders</w:t>
      </w:r>
      <w:r>
        <w:rPr>
          <w:rFonts w:ascii="Times New Roman" w:cs="Times New Roman" w:eastAsia="Times New Roman" w:hAnsi="Times New Roman"/>
          <w:sz w:val="18"/>
          <w:szCs w:val="18"/>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The Administrator may, in its discretion, provide that Awards granted to Non-Employee Directors shall be granted pursuant to a written non-discretionary formula established by the Administrator (the “</w:t>
      </w:r>
      <w:r>
        <w:rPr>
          <w:rFonts w:ascii="Times New Roman" w:cs="Times New Roman" w:eastAsia="Times New Roman" w:hAnsi="Times New Roman"/>
          <w:sz w:val="18"/>
          <w:szCs w:val="18"/>
          <w:u w:val="single" w:color="auto"/>
          <w:color w:val="auto"/>
        </w:rPr>
        <w:t>Non-Employee Director Equity Compensation Policy</w:t>
      </w:r>
      <w:r>
        <w:rPr>
          <w:rFonts w:ascii="Times New Roman" w:cs="Times New Roman" w:eastAsia="Times New Roman" w:hAnsi="Times New Roman"/>
          <w:sz w:val="18"/>
          <w:szCs w:val="18"/>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Stand-Alone and Tandem Awards</w:t>
      </w:r>
      <w:r>
        <w:rPr>
          <w:rFonts w:ascii="Times New Roman" w:cs="Times New Roman" w:eastAsia="Times New Roman" w:hAnsi="Times New Roman"/>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7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GRANTING OF OPTIONS</w:t>
      </w:r>
    </w:p>
    <w:p>
      <w:pPr>
        <w:spacing w:after="0" w:line="9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Granting of Options to Eligible Individuals</w:t>
      </w:r>
      <w:r>
        <w:rPr>
          <w:rFonts w:ascii="Times New Roman" w:cs="Times New Roman" w:eastAsia="Times New Roman" w:hAnsi="Times New Roman"/>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Qualification of Incentive Stock Options</w:t>
      </w:r>
      <w:r>
        <w:rPr>
          <w:rFonts w:ascii="Times New Roman" w:cs="Times New Roman" w:eastAsia="Times New Roman" w:hAnsi="Times New Roman"/>
          <w:sz w:val="18"/>
          <w:szCs w:val="18"/>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addition, to the extent that any Options otherwise fail to qualify as Incentive Stock Options, such Options shall be treated as Nonqualified Stock Options.</w:t>
      </w:r>
    </w:p>
    <w:p>
      <w:pPr>
        <w:spacing w:after="0" w:line="88"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Except as provided in Article 13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spacing w:after="0" w:line="8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Option (the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Option Vesting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73" w:lineRule="auto"/>
        <w:rPr>
          <w:sz w:val="20"/>
          <w:szCs w:val="20"/>
          <w:color w:val="auto"/>
        </w:rPr>
      </w:pPr>
      <w:r>
        <w:rPr>
          <w:rFonts w:ascii="Times New Roman" w:cs="Times New Roman" w:eastAsia="Times New Roman" w:hAnsi="Times New Roman"/>
          <w:sz w:val="17"/>
          <w:szCs w:val="17"/>
          <w:color w:val="auto"/>
        </w:rPr>
        <w:t>(a)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63"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(b)  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68"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Substitution of Stock Appreciation Rights</w:t>
      </w:r>
      <w:r>
        <w:rPr>
          <w:rFonts w:ascii="Times New Roman" w:cs="Times New Roman" w:eastAsia="Times New Roman" w:hAnsi="Times New Roman"/>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2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EXERCISE OF OPTIONS</w:t>
      </w:r>
    </w:p>
    <w:p>
      <w:pPr>
        <w:spacing w:after="0" w:line="9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68"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All or a portion of an exercisable Option shall be deemed exercised upon delivery of all of the following to the Secretary of the Company, or such other person or entity designated by the Administrator, or his, her or its office, as applicable:</w:t>
      </w:r>
    </w:p>
    <w:p>
      <w:pPr>
        <w:spacing w:after="0" w:line="68"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(a)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68"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(b)  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72" w:lineRule="exact"/>
        <w:rPr>
          <w:sz w:val="20"/>
          <w:szCs w:val="20"/>
          <w:color w:val="auto"/>
        </w:rPr>
      </w:pPr>
    </w:p>
    <w:p>
      <w:pPr>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In the event that the Option shall be exercised pursuant to Section 11.3 hereof by any person or persons other than the Holder, appropriate proof of the right of such person or persons to exercise the Option, as determined in the sole discretion of the Administrator; and</w:t>
      </w:r>
    </w:p>
    <w:p>
      <w:pPr>
        <w:spacing w:after="0" w:line="68"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(d)  Full payment of the exercise price and applicable withholding taxes to the stock administrator of the Company for the shares with respect to which the Option, or portion thereof, is exercised, in a manner permitted by Section 11.1 and 11.2 hereof.</w:t>
      </w:r>
    </w:p>
    <w:p>
      <w:pPr>
        <w:spacing w:after="0" w:line="68"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Notification Regarding Disposition</w:t>
      </w:r>
      <w:r>
        <w:rPr>
          <w:rFonts w:ascii="Times New Roman" w:cs="Times New Roman" w:eastAsia="Times New Roman" w:hAnsi="Times New Roman"/>
          <w:sz w:val="17"/>
          <w:szCs w:val="17"/>
          <w:color w:val="auto"/>
        </w:rPr>
        <w:t>. The Holder shall give the Company prompt written or electronic notice of any disposition of Shares acquired by exercise of an Incentive Stock Option which occurs within (a) two</w:t>
      </w:r>
    </w:p>
    <w:p>
      <w:pPr>
        <w:spacing w:after="0" w:line="1" w:lineRule="exact"/>
        <w:rPr>
          <w:sz w:val="20"/>
          <w:szCs w:val="20"/>
          <w:color w:val="auto"/>
        </w:rPr>
      </w:pPr>
    </w:p>
    <w:p>
      <w:pPr>
        <w:ind w:left="300" w:right="459" w:hanging="8"/>
        <w:spacing w:after="0" w:line="255" w:lineRule="auto"/>
        <w:tabs>
          <w:tab w:leader="none" w:pos="5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granting (including the date the Option is modified, extended or renewed for purposes of Section 424(h) of the Code) of such Option to such Holder, or (b) one (1) year after the transfer of such shares to such Holder.</w:t>
      </w:r>
    </w:p>
    <w:p>
      <w:pPr>
        <w:spacing w:after="0" w:line="20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AWARD OF RESTRICTED STOCK</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Award of 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(a)  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72" w:lineRule="exact"/>
        <w:rPr>
          <w:sz w:val="20"/>
          <w:szCs w:val="20"/>
          <w:color w:val="auto"/>
        </w:rPr>
      </w:pPr>
    </w:p>
    <w:p>
      <w:pPr>
        <w:ind w:left="660" w:right="419" w:firstLine="360"/>
        <w:spacing w:after="0" w:line="281" w:lineRule="auto"/>
        <w:rPr>
          <w:sz w:val="20"/>
          <w:szCs w:val="20"/>
          <w:color w:val="auto"/>
        </w:rPr>
      </w:pPr>
      <w:r>
        <w:rPr>
          <w:rFonts w:ascii="Times New Roman" w:cs="Times New Roman" w:eastAsia="Times New Roman" w:hAnsi="Times New Roman"/>
          <w:sz w:val="17"/>
          <w:szCs w:val="17"/>
          <w:color w:val="auto"/>
        </w:rPr>
        <w:t xml:space="preserve">(b)  The Administrator shall establish the purchase price, if any, and form of payment for Restricted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xml:space="preserve">. Subject to Section 7.4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sole discretion of the Administrator, any extraordinary distributions with respect to the Shares shall be subject to the restrictions set forth in Section 7.3 hereof. </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 terminated or expire. In addition, notwithstanding anything to the contrary herein, with respect to a share of Restricted Stock, dividends which are paid prior to vesting shall only be paid out to the Participant to the extent the share of Restricted Stock vests.</w:t>
      </w:r>
    </w:p>
    <w:p>
      <w:pPr>
        <w:spacing w:after="0" w:line="8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Repurchase or Forfeiture of Restricted Stock</w:t>
      </w:r>
      <w:r>
        <w:rPr>
          <w:rFonts w:ascii="Times New Roman" w:cs="Times New Roman" w:eastAsia="Times New Roman" w:hAnsi="Times New Roman"/>
          <w:sz w:val="18"/>
          <w:szCs w:val="18"/>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8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Certificates for Restricted Stock</w:t>
      </w:r>
      <w:r>
        <w:rPr>
          <w:rFonts w:ascii="Times New Roman" w:cs="Times New Roman" w:eastAsia="Times New Roman" w:hAnsi="Times New Roman"/>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8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3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99"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 Restricted Stock Unit award shall be set by the Administrator in its sole discretion.</w:t>
      </w:r>
    </w:p>
    <w:p>
      <w:pPr>
        <w:spacing w:after="0" w:line="54"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value of the consideration shall not be less than the par value of a Share, unless otherwise permitted by Applicable Law.</w:t>
      </w:r>
    </w:p>
    <w:p>
      <w:pPr>
        <w:spacing w:after="0" w:line="6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 case on a specified date or dates or over any period or periods, as determined by the Administrator.</w:t>
      </w:r>
    </w:p>
    <w:p>
      <w:pPr>
        <w:spacing w:after="0" w:line="75"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Maturity and Payment</w:t>
      </w:r>
      <w:r>
        <w:rPr>
          <w:rFonts w:ascii="Times New Roman" w:cs="Times New Roman" w:eastAsia="Times New Roman" w:hAnsi="Times New Roman"/>
          <w:sz w:val="17"/>
          <w:szCs w:val="17"/>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except as otherwise determined by the Administrator, set forth in any applicable Award Agreement, and subject to compliance with Section 409A of the Code, in no event shall the maturity date relating to each Restricted Stock Unit</w:t>
      </w:r>
    </w:p>
    <w:p>
      <w:pPr>
        <w:spacing w:after="0" w:line="3" w:lineRule="exact"/>
        <w:rPr>
          <w:sz w:val="20"/>
          <w:szCs w:val="20"/>
          <w:color w:val="auto"/>
        </w:rPr>
      </w:pPr>
    </w:p>
    <w:p>
      <w:pPr>
        <w:ind w:left="300" w:right="339"/>
        <w:spacing w:after="0" w:line="224" w:lineRule="auto"/>
        <w:rPr>
          <w:sz w:val="20"/>
          <w:szCs w:val="20"/>
          <w:color w:val="auto"/>
        </w:rPr>
      </w:pPr>
      <w:r>
        <w:rPr>
          <w:rFonts w:ascii="Times New Roman" w:cs="Times New Roman" w:eastAsia="Times New Roman" w:hAnsi="Times New Roman"/>
          <w:sz w:val="18"/>
          <w:szCs w:val="18"/>
          <w:color w:val="auto"/>
        </w:rPr>
        <w:t>occur following the later of (a)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month following the end of calendar year in which the Restricted Stock Unit vests; or (b)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94"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Payment upon Termination of Service</w:t>
      </w:r>
      <w:r>
        <w:rPr>
          <w:rFonts w:ascii="Times New Roman" w:cs="Times New Roman" w:eastAsia="Times New Roman" w:hAnsi="Times New Roman"/>
          <w:sz w:val="18"/>
          <w:szCs w:val="18"/>
          <w:color w:val="auto"/>
        </w:rPr>
        <w:t xml:space="preserve">. An Award of Restricted Stock Units shall only be payable while the Holder is an Employee, a Consultant or a member of the Board,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75"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Subject to Section 9.2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3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AWARD OF PERFORMANCE AWARDS, DIVIDEND EQUIVALENTS,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PAYMENTS, DEFERRED STOCK, DEFERRED STOCK UNITS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(a)  The Administrator is authorized to grant Performance Awards, including Awards of Performance Stock Units, to any Eligible Individual. The value of Performance Awards, including Performance Stock Units, may be linked to any one or more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(b)  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(a)  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in the Plan, dividends or Dividend Equivalents with respect to an Award that is subject to vesting and that are based on dividends paid prior to the vesting of such Award shall only be paid out to the Holder to the extent that the vesting conditions are subsequently satisfied and the Award vests.</w:t>
      </w:r>
    </w:p>
    <w:p>
      <w:pPr>
        <w:spacing w:after="0" w:line="1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   No Dividend Equivalents shall be payable with respect to Options or Stock Appreciation Rights.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Stock Payments</w:t>
      </w:r>
      <w:r>
        <w:rPr>
          <w:rFonts w:ascii="Times New Roman" w:cs="Times New Roman" w:eastAsia="Times New Roman" w:hAnsi="Times New Roman"/>
          <w:sz w:val="18"/>
          <w:szCs w:val="18"/>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8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Deferred Stock Units</w:t>
      </w:r>
      <w:r>
        <w:rPr>
          <w:rFonts w:ascii="Times New Roman" w:cs="Times New Roman" w:eastAsia="Times New Roman" w:hAnsi="Times New Roman"/>
          <w:sz w:val="18"/>
          <w:szCs w:val="18"/>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79"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a Performance Award, Dividend Equivalent award, Stock Payment award, Deferred Stock award and/or Deferred Stock Unit award shall be set by the Administrator in its sole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value of the consideration shall not be less than the par value of a Share, unless otherwise permitted by Applicable Law.</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STOCK APPRECIATION RIGHTS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(a)  The Administrator is authorized to grant Stock Appreciation Rights to Eligible Individuals from time to time, in its sole discretion, on such terms and conditions as it may determine consistent with the Plan.</w:t>
      </w:r>
    </w:p>
    <w:p>
      <w:pPr>
        <w:spacing w:after="0" w:line="54" w:lineRule="exact"/>
        <w:rPr>
          <w:sz w:val="20"/>
          <w:szCs w:val="20"/>
          <w:color w:val="auto"/>
        </w:rPr>
      </w:pPr>
    </w:p>
    <w:p>
      <w:pPr>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13.2 hereof, the exercise price per Share subject to each Stock Appreciation Right shall be set by the Administrator, but shall not be less than one hundred percent (100%) of the Fair Market Value on the date the Stock Appreciation Right is granted.</w:t>
      </w:r>
    </w:p>
    <w:p>
      <w:pPr>
        <w:spacing w:after="0" w:line="80"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  Notwithstanding the foregoing provisions of Section 10.1(b)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Stock Appreciation Right Vesting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(a)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81" w:lineRule="exact"/>
        <w:rPr>
          <w:sz w:val="20"/>
          <w:szCs w:val="20"/>
          <w:color w:val="auto"/>
        </w:rPr>
      </w:pPr>
    </w:p>
    <w:p>
      <w:pPr>
        <w:ind w:left="660" w:right="639" w:firstLine="360"/>
        <w:spacing w:after="0" w:line="258" w:lineRule="auto"/>
        <w:rPr>
          <w:sz w:val="20"/>
          <w:szCs w:val="20"/>
          <w:color w:val="auto"/>
        </w:rPr>
      </w:pPr>
      <w:r>
        <w:rPr>
          <w:rFonts w:ascii="Times New Roman" w:cs="Times New Roman" w:eastAsia="Times New Roman" w:hAnsi="Times New Roman"/>
          <w:sz w:val="18"/>
          <w:szCs w:val="18"/>
          <w:color w:val="auto"/>
        </w:rPr>
        <w:t>(b)  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68" w:lineRule="exact"/>
        <w:rPr>
          <w:sz w:val="20"/>
          <w:szCs w:val="20"/>
          <w:color w:val="auto"/>
        </w:rPr>
      </w:pPr>
    </w:p>
    <w:p>
      <w:pPr>
        <w:ind w:left="660" w:right="499" w:firstLine="360"/>
        <w:spacing w:after="0" w:line="261" w:lineRule="auto"/>
        <w:rPr>
          <w:sz w:val="20"/>
          <w:szCs w:val="20"/>
          <w:color w:val="auto"/>
        </w:rPr>
      </w:pPr>
      <w:r>
        <w:rPr>
          <w:rFonts w:ascii="Times New Roman" w:cs="Times New Roman" w:eastAsia="Times New Roman" w:hAnsi="Times New Roman"/>
          <w:sz w:val="18"/>
          <w:szCs w:val="18"/>
          <w:color w:val="auto"/>
        </w:rPr>
        <w:t>(a)  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72" w:lineRule="exact"/>
        <w:rPr>
          <w:sz w:val="20"/>
          <w:szCs w:val="20"/>
          <w:color w:val="auto"/>
        </w:rPr>
      </w:pPr>
    </w:p>
    <w:p>
      <w:pPr>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72" w:lineRule="exact"/>
        <w:rPr>
          <w:sz w:val="20"/>
          <w:szCs w:val="20"/>
          <w:color w:val="auto"/>
        </w:rPr>
      </w:pPr>
    </w:p>
    <w:p>
      <w:pPr>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(c)  In the event that the Stock Appreciation Right shall be exercised pursuant to this Section 10.3 hereof by any person or persons other than the Holder, appropriate proof of the right of such person or persons to exercise the Stock Appreciation Right.</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Stock Appreciation Right Term</w:t>
      </w:r>
      <w:r>
        <w:rPr>
          <w:rFonts w:ascii="Times New Roman" w:cs="Times New Roman" w:eastAsia="Times New Roman" w:hAnsi="Times New Roman"/>
          <w:sz w:val="18"/>
          <w:szCs w:val="18"/>
          <w:color w:val="auto"/>
        </w:rPr>
        <w:t>. The term of each Stock Appreciation Right (the “</w:t>
      </w:r>
      <w:r>
        <w:rPr>
          <w:rFonts w:ascii="Times New Roman" w:cs="Times New Roman" w:eastAsia="Times New Roman" w:hAnsi="Times New Roman"/>
          <w:sz w:val="18"/>
          <w:szCs w:val="18"/>
          <w:u w:val="single" w:color="auto"/>
          <w:color w:val="auto"/>
        </w:rPr>
        <w:t>Stock Appreciation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10.4,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w:t>
      </w:r>
    </w:p>
    <w:p>
      <w:pPr>
        <w:spacing w:after="0" w:line="86"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Payment of the amounts payable with respect to Stock Appreciation Rights pursuant to this Article 10 shall be in cash, Shares (based on its Fair Market Value as of the date the Stock Appreciation Right is exercised), or a combination of both, as determined by the Administrator.</w:t>
      </w:r>
    </w:p>
    <w:p>
      <w:pPr>
        <w:spacing w:after="0" w:line="17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99"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7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The Administrator shall determine the methods by which payments by any Holder with respect to the tax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withholding obligations with respect to any Awards granted under the Plan shall be made, which methods may include any of the methods permitted under Section 11.1 above. Without limiting the foregoing, the Administrator, in its sole discretion and in satisfaction of the foregoing requirement , may withhold, or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or such higher rate as may be approved by the Administrator (which rates shall in no event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withheld, delivered or returned shall be rounded up to the nearest whole share sufficient to cover the applicable tax withholding obligation to the extent rounding up to the nearest whole share does not result in the liability classification of the applicable Award under generally accepted accounting principles in the United States of America.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Except as otherwise provided in Sections 11.3(b) and 11.3(c) hereof:</w:t>
      </w:r>
    </w:p>
    <w:p>
      <w:pPr>
        <w:spacing w:after="0" w:line="117" w:lineRule="exact"/>
        <w:rPr>
          <w:sz w:val="20"/>
          <w:szCs w:val="20"/>
          <w:color w:val="auto"/>
        </w:rPr>
      </w:pPr>
    </w:p>
    <w:p>
      <w:pPr>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  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72" w:lineRule="exact"/>
        <w:rPr>
          <w:sz w:val="20"/>
          <w:szCs w:val="20"/>
          <w:color w:val="auto"/>
        </w:rPr>
      </w:pPr>
    </w:p>
    <w:p>
      <w:pPr>
        <w:ind w:left="1020" w:right="359" w:firstLine="360"/>
        <w:spacing w:after="0" w:line="254" w:lineRule="auto"/>
        <w:rPr>
          <w:sz w:val="20"/>
          <w:szCs w:val="20"/>
          <w:color w:val="auto"/>
        </w:rPr>
      </w:pPr>
      <w:r>
        <w:rPr>
          <w:rFonts w:ascii="Times New Roman" w:cs="Times New Roman" w:eastAsia="Times New Roman" w:hAnsi="Times New Roman"/>
          <w:sz w:val="18"/>
          <w:szCs w:val="18"/>
          <w:color w:val="auto"/>
        </w:rPr>
        <w:t>(ii)  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80"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(iii)  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79"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(b)  Notwithstanding Section 11.3(a) hereof, the Administrator, in its sole discretion, may determine to permit a Holder or a Permitted Transferee of such Holder to transfer an Award other than an Incentive Stock Option (unless such Incentive Stock Option is to become a Non-Qualified Stock Option)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color w:val="auto"/>
        </w:rPr>
        <w:t>(c)  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w:t>
      </w:r>
    </w:p>
    <w:p>
      <w:pPr>
        <w:spacing w:after="0" w:line="6" w:lineRule="exact"/>
        <w:rPr>
          <w:sz w:val="20"/>
          <w:szCs w:val="20"/>
          <w:color w:val="auto"/>
        </w:rPr>
      </w:pPr>
    </w:p>
    <w:p>
      <w:pPr>
        <w:ind w:left="660" w:right="299"/>
        <w:spacing w:after="0" w:line="271" w:lineRule="auto"/>
        <w:rPr>
          <w:sz w:val="20"/>
          <w:szCs w:val="20"/>
          <w:color w:val="auto"/>
        </w:rPr>
      </w:pPr>
      <w:r>
        <w:rPr>
          <w:rFonts w:ascii="Times New Roman" w:cs="Times New Roman" w:eastAsia="Times New Roman" w:hAnsi="Times New Roman"/>
          <w:sz w:val="17"/>
          <w:szCs w:val="17"/>
          <w:color w:val="auto"/>
        </w:rPr>
        <w:t xml:space="preserve">(50%)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change or revocation is filed with the Administrator prior to the Holder’s death.</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79" w:firstLine="360"/>
        <w:spacing w:after="0" w:line="254" w:lineRule="auto"/>
        <w:rPr>
          <w:sz w:val="20"/>
          <w:szCs w:val="20"/>
          <w:color w:val="auto"/>
        </w:rPr>
      </w:pPr>
      <w:r>
        <w:rPr>
          <w:rFonts w:ascii="Times New Roman" w:cs="Times New Roman" w:eastAsia="Times New Roman" w:hAnsi="Times New Roman"/>
          <w:sz w:val="18"/>
          <w:szCs w:val="18"/>
          <w:color w:val="auto"/>
        </w:rPr>
        <w:t>(a)  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84"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72" w:lineRule="exact"/>
        <w:rPr>
          <w:sz w:val="20"/>
          <w:szCs w:val="20"/>
          <w:color w:val="auto"/>
        </w:rPr>
      </w:pPr>
    </w:p>
    <w:p>
      <w:pPr>
        <w:ind w:left="660" w:right="599" w:firstLine="360"/>
        <w:spacing w:after="0" w:line="266" w:lineRule="auto"/>
        <w:rPr>
          <w:sz w:val="20"/>
          <w:szCs w:val="20"/>
          <w:color w:val="auto"/>
        </w:rPr>
      </w:pPr>
      <w:r>
        <w:rPr>
          <w:rFonts w:ascii="Times New Roman" w:cs="Times New Roman" w:eastAsia="Times New Roman" w:hAnsi="Times New Roman"/>
          <w:sz w:val="18"/>
          <w:szCs w:val="18"/>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68"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(d)  No fractional Shares shall be issued and the Administrator shall determine, in its sole discretion, whether cash shall be given in lieu of fractional Shares or whether such fractional Shares shall be eliminated by rounding down.</w:t>
      </w:r>
    </w:p>
    <w:p>
      <w:pPr>
        <w:spacing w:after="0" w:line="68"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(e)  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72" w:lineRule="exact"/>
        <w:rPr>
          <w:sz w:val="20"/>
          <w:szCs w:val="20"/>
          <w:color w:val="auto"/>
        </w:rPr>
      </w:pPr>
    </w:p>
    <w:p>
      <w:pPr>
        <w:jc w:val="both"/>
        <w:ind w:left="300" w:right="819" w:firstLine="360"/>
        <w:spacing w:after="0" w:line="289" w:lineRule="auto"/>
        <w:rPr>
          <w:sz w:val="20"/>
          <w:szCs w:val="20"/>
          <w:color w:val="auto"/>
        </w:rPr>
      </w:pPr>
      <w:r>
        <w:rPr>
          <w:rFonts w:ascii="Times New Roman" w:cs="Times New Roman" w:eastAsia="Times New Roman" w:hAnsi="Times New Roman"/>
          <w:sz w:val="17"/>
          <w:szCs w:val="17"/>
          <w:color w:val="auto"/>
        </w:rPr>
        <w:t xml:space="preserve">11.5  </w:t>
      </w:r>
      <w:r>
        <w:rPr>
          <w:rFonts w:ascii="Times New Roman" w:cs="Times New Roman" w:eastAsia="Times New Roman" w:hAnsi="Times New Roman"/>
          <w:sz w:val="17"/>
          <w:szCs w:val="17"/>
          <w:u w:val="single" w:color="auto"/>
          <w:color w:val="auto"/>
        </w:rPr>
        <w:t>Forfeiture and Claw-Back Provisions</w:t>
      </w:r>
      <w:r>
        <w:rPr>
          <w:rFonts w:ascii="Times New Roman" w:cs="Times New Roman" w:eastAsia="Times New Roman" w:hAnsi="Times New Roman"/>
          <w:sz w:val="17"/>
          <w:szCs w:val="17"/>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50" w:lineRule="exact"/>
        <w:rPr>
          <w:sz w:val="20"/>
          <w:szCs w:val="20"/>
          <w:color w:val="auto"/>
        </w:rPr>
      </w:pPr>
    </w:p>
    <w:p>
      <w:pPr>
        <w:ind w:left="660" w:right="399" w:firstLine="360"/>
        <w:spacing w:after="0" w:line="271" w:lineRule="auto"/>
        <w:rPr>
          <w:sz w:val="20"/>
          <w:szCs w:val="20"/>
          <w:color w:val="auto"/>
        </w:rPr>
      </w:pPr>
      <w:r>
        <w:rPr>
          <w:rFonts w:ascii="Times New Roman" w:cs="Times New Roman" w:eastAsia="Times New Roman" w:hAnsi="Times New Roman"/>
          <w:sz w:val="17"/>
          <w:szCs w:val="17"/>
          <w:color w:val="auto"/>
        </w:rPr>
        <w:t>(a)  (i)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(b)  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8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Prohibition on Repricing</w:t>
      </w:r>
      <w:r>
        <w:rPr>
          <w:rFonts w:ascii="Times New Roman" w:cs="Times New Roman" w:eastAsia="Times New Roman" w:hAnsi="Times New Roman"/>
          <w:sz w:val="18"/>
          <w:szCs w:val="18"/>
          <w:color w:val="auto"/>
        </w:rPr>
        <w:t>. Subject to Section 13.2 hereof,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w:t>
      </w:r>
    </w:p>
    <w:p>
      <w:pPr>
        <w:spacing w:after="0" w:line="75"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Unless the Administrator provides otherwise, vesting of Awards granted hereunder shall be suspended during any unpaid leave of absence. A Holder shall not cease to be considered an Employee, Non-Employee Director or Consultant, as applicable, in the case of any (a) leave of absence approved by the Company, (b) transfer between locations of the Company or between the Company and any of its Affiliates or any successor thereof, or (c) change in status (Employee to Director, Employee to Consultant, etc.), provided that such change does not affect the specific terms applying to the Holder’s Award.</w:t>
      </w:r>
    </w:p>
    <w:p>
      <w:pPr>
        <w:spacing w:after="0" w:line="3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9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The Committee (or another committee or a subcommittee of the Board or the Compensation 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12.6 hereof.</w:t>
      </w:r>
    </w:p>
    <w:p>
      <w:pPr>
        <w:spacing w:after="0" w:line="8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Duties and Powers of Administrator</w:t>
      </w:r>
      <w:r>
        <w:rPr>
          <w:rFonts w:ascii="Times New Roman" w:cs="Times New Roman" w:eastAsia="Times New Roman" w:hAnsi="Times New Roman"/>
          <w:sz w:val="18"/>
          <w:szCs w:val="18"/>
          <w:color w:val="auto"/>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Program or Award Agreement are not affected materially and adversely by such amendment, unless the consent of the Holder is obtained or such amendment is otherwise permitted under Section 13.10 hereof.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8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Subject to the Company’s Bylaws, the Committee’s Charter and any specific designation in the Plan, the Administrator has the exclusive power, authority and sole discretion to:</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Designate Eligible Individuals to receive Awards;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Determine the type or types of Awards to be granted to each Eligible Individual;</w:t>
      </w:r>
    </w:p>
    <w:p>
      <w:pPr>
        <w:spacing w:after="0" w:line="117" w:lineRule="exact"/>
        <w:rPr>
          <w:sz w:val="20"/>
          <w:szCs w:val="20"/>
          <w:color w:val="auto"/>
        </w:rPr>
      </w:pPr>
    </w:p>
    <w:p>
      <w:pPr>
        <w:ind w:left="660" w:right="639" w:firstLine="360"/>
        <w:spacing w:after="0" w:line="282" w:lineRule="auto"/>
        <w:rPr>
          <w:sz w:val="20"/>
          <w:szCs w:val="20"/>
          <w:color w:val="auto"/>
        </w:rPr>
      </w:pPr>
      <w:r>
        <w:rPr>
          <w:rFonts w:ascii="Times New Roman" w:cs="Times New Roman" w:eastAsia="Times New Roman" w:hAnsi="Times New Roman"/>
          <w:sz w:val="18"/>
          <w:szCs w:val="18"/>
          <w:color w:val="auto"/>
        </w:rPr>
        <w:t>(c)  Determine the number of Awards to be granted and the number of Shares to which an Award will relate;</w:t>
      </w:r>
    </w:p>
    <w:p>
      <w:pPr>
        <w:spacing w:after="0" w:line="54"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79"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(e)  Determine whether, to what extent, and pursuant to what circumstances an Award may be settled in, or the exercise price of an Award may be paid in cash, Shares, other Awards, or other property, or an Award may be canceled, forfeited, or surrendered;</w:t>
      </w:r>
    </w:p>
    <w:p>
      <w:pPr>
        <w:spacing w:after="0" w:line="122" w:lineRule="exact"/>
        <w:rPr>
          <w:sz w:val="20"/>
          <w:szCs w:val="20"/>
          <w:color w:val="auto"/>
        </w:rPr>
      </w:pPr>
    </w:p>
    <w:p>
      <w:pPr>
        <w:ind w:left="1020" w:right="1099"/>
        <w:spacing w:after="0" w:line="399" w:lineRule="auto"/>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Holder; (g)  Decide all other matters that must be determined in connection with an Award;</w:t>
      </w:r>
    </w:p>
    <w:p>
      <w:pPr>
        <w:ind w:left="660" w:right="919" w:firstLine="360"/>
        <w:spacing w:after="0" w:line="282" w:lineRule="auto"/>
        <w:rPr>
          <w:sz w:val="20"/>
          <w:szCs w:val="20"/>
          <w:color w:val="auto"/>
        </w:rPr>
      </w:pPr>
      <w:r>
        <w:rPr>
          <w:rFonts w:ascii="Times New Roman" w:cs="Times New Roman" w:eastAsia="Times New Roman" w:hAnsi="Times New Roman"/>
          <w:sz w:val="18"/>
          <w:szCs w:val="18"/>
          <w:color w:val="auto"/>
        </w:rPr>
        <w:t>(h)  Establish, adopt, or revise any rules and regulations as it may deem necessary or advisable to administer the Plan;</w:t>
      </w:r>
    </w:p>
    <w:p>
      <w:pPr>
        <w:spacing w:after="0" w:line="54" w:lineRule="exact"/>
        <w:rPr>
          <w:sz w:val="20"/>
          <w:szCs w:val="20"/>
          <w:color w:val="auto"/>
        </w:rPr>
      </w:pPr>
    </w:p>
    <w:p>
      <w:pPr>
        <w:ind w:left="660" w:right="879" w:firstLine="360"/>
        <w:spacing w:after="0" w:line="282" w:lineRule="auto"/>
        <w:rPr>
          <w:sz w:val="20"/>
          <w:szCs w:val="20"/>
          <w:color w:val="auto"/>
        </w:rPr>
      </w:pPr>
      <w:r>
        <w:rPr>
          <w:rFonts w:ascii="Times New Roman" w:cs="Times New Roman" w:eastAsia="Times New Roman" w:hAnsi="Times New Roman"/>
          <w:sz w:val="18"/>
          <w:szCs w:val="18"/>
          <w:color w:val="auto"/>
        </w:rPr>
        <w:t>(i)  Interpret the terms of, and any matter arising pursuant to, the Plan, any Program or any Award Agreement;</w:t>
      </w:r>
    </w:p>
    <w:p>
      <w:pPr>
        <w:spacing w:after="0" w:line="54" w:lineRule="exact"/>
        <w:rPr>
          <w:sz w:val="20"/>
          <w:szCs w:val="20"/>
          <w:color w:val="auto"/>
        </w:rPr>
      </w:pPr>
    </w:p>
    <w:p>
      <w:pPr>
        <w:ind w:left="660" w:right="819" w:firstLine="360"/>
        <w:spacing w:after="0" w:line="282" w:lineRule="auto"/>
        <w:rPr>
          <w:sz w:val="20"/>
          <w:szCs w:val="20"/>
          <w:color w:val="auto"/>
        </w:rPr>
      </w:pPr>
      <w:r>
        <w:rPr>
          <w:rFonts w:ascii="Times New Roman" w:cs="Times New Roman" w:eastAsia="Times New Roman" w:hAnsi="Times New Roman"/>
          <w:sz w:val="18"/>
          <w:szCs w:val="18"/>
          <w:color w:val="auto"/>
        </w:rPr>
        <w:t>(j)  Make all other decisions and determinations that may be required pursuant to the Plan or as the Administrator deems necessary or advisable to administer the Plan; and</w:t>
      </w:r>
    </w:p>
    <w:p>
      <w:pPr>
        <w:spacing w:after="0" w:line="54"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(k)  Accelerate wholly or partially the vesting or lapse of restrictions of any Award or portion thereof at any time after the grant of an Award, subject to whatever terms and conditions it selects and Section 13.2(d) hereof.</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Article 12;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hereof shall serve in such capacity at the pleasure of the Board and the Committee.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312" w:lineRule="auto"/>
        <w:rPr>
          <w:sz w:val="20"/>
          <w:szCs w:val="20"/>
          <w:color w:val="auto"/>
        </w:rPr>
      </w:pPr>
      <w:r>
        <w:rPr>
          <w:rFonts w:ascii="Times New Roman" w:cs="Times New Roman" w:eastAsia="Times New Roman" w:hAnsi="Times New Roman"/>
          <w:sz w:val="17"/>
          <w:szCs w:val="17"/>
          <w:color w:val="auto"/>
        </w:rPr>
        <w:t>(a)  This Plan shall be effective on the date it is adopted by the Board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provided, that the stockholders of the Company approve the Plan within twelve (12) months following the Effective Date.</w:t>
      </w:r>
    </w:p>
    <w:p>
      <w:pPr>
        <w:spacing w:after="0" w:line="32" w:lineRule="exact"/>
        <w:rPr>
          <w:sz w:val="20"/>
          <w:szCs w:val="20"/>
          <w:color w:val="auto"/>
        </w:rPr>
      </w:pPr>
    </w:p>
    <w:p>
      <w:pPr>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(b)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hereof, (a) increase the limits imposed in Section 3.1 hereof on the maximum number of shares which may be issued under the Plan, or (b) reduce the price per share of any outstanding Option or Stock Appreciation Right granted under the Plan, or (c) cancel any Option or Stock Appreciation Right in exchange for cash or another Award when the Option or Stock Appreciation Right price per share exceeds the Fair Market Value of the underlying Shares. Except as provided in Section 13.10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 and in no event may any Incentive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be granted under the Plan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w:t>
      </w:r>
    </w:p>
    <w:p>
      <w:pPr>
        <w:spacing w:after="0" w:line="33"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Changes in Common Stock or Assets of the Company, Acquisition or Liquidation of the Company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(a)  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number and kind of shares of Common Stock (or other securities or property) for which grants are subsequently to be made to new and continuing Non-Employee Directors pursuant to Section 4.6 hereof; (iv) the terms and conditions of any outstanding Awards (including, without limitation, any applicable performance targets or criteria with respect thereto); and (v) the grant or exercise price per share for any outstanding Awards under the Plan.</w:t>
      </w:r>
    </w:p>
    <w:p>
      <w:pPr>
        <w:spacing w:after="0" w:line="82"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(b)  In the event of any transaction or event described in Section 13.2(a)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80" w:lineRule="exact"/>
        <w:rPr>
          <w:sz w:val="20"/>
          <w:szCs w:val="20"/>
          <w:color w:val="auto"/>
        </w:rPr>
      </w:pPr>
    </w:p>
    <w:p>
      <w:pPr>
        <w:ind w:left="1020" w:right="379" w:firstLine="360"/>
        <w:spacing w:after="0" w:line="256" w:lineRule="auto"/>
        <w:rPr>
          <w:sz w:val="20"/>
          <w:szCs w:val="20"/>
          <w:color w:val="auto"/>
        </w:rPr>
      </w:pPr>
      <w:r>
        <w:rPr>
          <w:rFonts w:ascii="Times New Roman" w:cs="Times New Roman" w:eastAsia="Times New Roman" w:hAnsi="Times New Roman"/>
          <w:sz w:val="18"/>
          <w:szCs w:val="18"/>
          <w:color w:val="auto"/>
        </w:rPr>
        <w:t>(i)  To provide for either (A) termination of any such Award in exchange for an amount of cash and/or other property,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419"/>
        <w:spacing w:after="0" w:line="261" w:lineRule="auto"/>
        <w:rPr>
          <w:sz w:val="20"/>
          <w:szCs w:val="20"/>
          <w:color w:val="auto"/>
        </w:rPr>
      </w:pPr>
      <w:r>
        <w:rPr>
          <w:rFonts w:ascii="Times New Roman" w:cs="Times New Roman" w:eastAsia="Times New Roman" w:hAnsi="Times New Roman"/>
          <w:sz w:val="18"/>
          <w:szCs w:val="18"/>
          <w:color w:val="auto"/>
        </w:rPr>
        <w:t>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72" w:lineRule="exact"/>
        <w:rPr>
          <w:sz w:val="20"/>
          <w:szCs w:val="20"/>
          <w:color w:val="auto"/>
        </w:rPr>
      </w:pPr>
    </w:p>
    <w:p>
      <w:pPr>
        <w:jc w:val="both"/>
        <w:ind w:left="1020" w:right="379" w:firstLine="360"/>
        <w:spacing w:after="0" w:line="261" w:lineRule="auto"/>
        <w:rPr>
          <w:sz w:val="20"/>
          <w:szCs w:val="20"/>
          <w:color w:val="auto"/>
        </w:rPr>
      </w:pPr>
      <w:r>
        <w:rPr>
          <w:rFonts w:ascii="Times New Roman" w:cs="Times New Roman" w:eastAsia="Times New Roman" w:hAnsi="Times New Roman"/>
          <w:sz w:val="18"/>
          <w:szCs w:val="18"/>
          <w:color w:val="auto"/>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72" w:lineRule="exact"/>
        <w:rPr>
          <w:sz w:val="20"/>
          <w:szCs w:val="20"/>
          <w:color w:val="auto"/>
        </w:rPr>
      </w:pPr>
    </w:p>
    <w:p>
      <w:pPr>
        <w:ind w:left="1020" w:right="499" w:firstLine="360"/>
        <w:spacing w:after="0" w:line="281" w:lineRule="auto"/>
        <w:rPr>
          <w:sz w:val="20"/>
          <w:szCs w:val="20"/>
          <w:color w:val="auto"/>
        </w:rPr>
      </w:pPr>
      <w:r>
        <w:rPr>
          <w:rFonts w:ascii="Times New Roman" w:cs="Times New Roman" w:eastAsia="Times New Roman" w:hAnsi="Times New Roman"/>
          <w:sz w:val="17"/>
          <w:szCs w:val="17"/>
          <w:color w:val="auto"/>
        </w:rPr>
        <w:t>(iii)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56" w:lineRule="exact"/>
        <w:rPr>
          <w:sz w:val="20"/>
          <w:szCs w:val="20"/>
          <w:color w:val="auto"/>
        </w:rPr>
      </w:pPr>
    </w:p>
    <w:p>
      <w:pPr>
        <w:ind w:left="1020" w:right="439" w:firstLine="360"/>
        <w:spacing w:after="0" w:line="266" w:lineRule="auto"/>
        <w:rPr>
          <w:sz w:val="20"/>
          <w:szCs w:val="20"/>
          <w:color w:val="auto"/>
        </w:rPr>
      </w:pPr>
      <w:r>
        <w:rPr>
          <w:rFonts w:ascii="Times New Roman" w:cs="Times New Roman" w:eastAsia="Times New Roman" w:hAnsi="Times New Roman"/>
          <w:sz w:val="18"/>
          <w:szCs w:val="18"/>
          <w:color w:val="auto"/>
        </w:rPr>
        <w:t>(iv)  To provide that such Award shall be exercisable or payable or fully vested with respect to all shares covered thereby, notwithstanding anything to the contrary in the Plan or the applicable Program or Award Agreement; and</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To provide that the Award cannot vest, be exercised or become payable after such event.</w:t>
      </w:r>
    </w:p>
    <w:p>
      <w:pPr>
        <w:spacing w:after="0" w:line="117" w:lineRule="exact"/>
        <w:rPr>
          <w:sz w:val="20"/>
          <w:szCs w:val="20"/>
          <w:color w:val="auto"/>
        </w:rPr>
      </w:pPr>
    </w:p>
    <w:p>
      <w:pPr>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(c)  In connection with the occurrence of any Equity Restructuring, and notwithstanding anything to the contrary in Sections 13.2(a) and 13.2(b) hereof:</w:t>
      </w:r>
    </w:p>
    <w:p>
      <w:pPr>
        <w:spacing w:after="0" w:line="54" w:lineRule="exact"/>
        <w:rPr>
          <w:sz w:val="20"/>
          <w:szCs w:val="20"/>
          <w:color w:val="auto"/>
        </w:rPr>
      </w:pPr>
    </w:p>
    <w:p>
      <w:pPr>
        <w:ind w:left="1020" w:right="519" w:firstLine="360"/>
        <w:spacing w:after="0" w:line="282" w:lineRule="auto"/>
        <w:rPr>
          <w:sz w:val="20"/>
          <w:szCs w:val="20"/>
          <w:color w:val="auto"/>
        </w:rPr>
      </w:pPr>
      <w:r>
        <w:rPr>
          <w:rFonts w:ascii="Times New Roman" w:cs="Times New Roman" w:eastAsia="Times New Roman" w:hAnsi="Times New Roman"/>
          <w:sz w:val="18"/>
          <w:szCs w:val="18"/>
          <w:color w:val="auto"/>
        </w:rPr>
        <w:t>(i)  The number and type of securities subject to each outstanding Award and the exercise price or grant price thereof, if applicable, shall be equitably adjusted; and/or</w:t>
      </w:r>
    </w:p>
    <w:p>
      <w:pPr>
        <w:spacing w:after="0" w:line="54" w:lineRule="exact"/>
        <w:rPr>
          <w:sz w:val="20"/>
          <w:szCs w:val="20"/>
          <w:color w:val="auto"/>
        </w:rPr>
      </w:pPr>
    </w:p>
    <w:p>
      <w:pPr>
        <w:ind w:left="1020" w:right="319" w:firstLine="360"/>
        <w:spacing w:after="0" w:line="258" w:lineRule="auto"/>
        <w:rPr>
          <w:sz w:val="20"/>
          <w:szCs w:val="20"/>
          <w:color w:val="auto"/>
        </w:rPr>
      </w:pPr>
      <w:r>
        <w:rPr>
          <w:rFonts w:ascii="Times New Roman" w:cs="Times New Roman" w:eastAsia="Times New Roman" w:hAnsi="Times New Roman"/>
          <w:sz w:val="18"/>
          <w:szCs w:val="18"/>
          <w:color w:val="auto"/>
        </w:rPr>
        <w:t>(ii)  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w:t>
      </w:r>
    </w:p>
    <w:p>
      <w:pPr>
        <w:spacing w:after="0" w:line="75"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adjustments provided under this Section 13.2(c) shall be nondiscretionary and shall be final and binding on the affected Holder and the Company.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419" w:firstLine="360"/>
        <w:spacing w:after="0" w:line="266" w:lineRule="auto"/>
        <w:rPr>
          <w:sz w:val="20"/>
          <w:szCs w:val="20"/>
          <w:color w:val="auto"/>
        </w:rPr>
      </w:pPr>
      <w:r>
        <w:rPr>
          <w:rFonts w:ascii="Times New Roman" w:cs="Times New Roman" w:eastAsia="Times New Roman" w:hAnsi="Times New Roman"/>
          <w:sz w:val="18"/>
          <w:szCs w:val="18"/>
          <w:color w:val="auto"/>
        </w:rPr>
        <w:t>(i)  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w:t>
      </w:r>
    </w:p>
    <w:p>
      <w:pPr>
        <w:spacing w:after="0" w:line="68" w:lineRule="exact"/>
        <w:rPr>
          <w:sz w:val="20"/>
          <w:szCs w:val="20"/>
          <w:color w:val="auto"/>
        </w:rPr>
      </w:pPr>
    </w:p>
    <w:p>
      <w:pPr>
        <w:ind w:left="1020" w:right="319" w:firstLine="360"/>
        <w:spacing w:after="0" w:line="266" w:lineRule="auto"/>
        <w:rPr>
          <w:sz w:val="20"/>
          <w:szCs w:val="20"/>
          <w:color w:val="auto"/>
        </w:rPr>
      </w:pPr>
      <w:r>
        <w:rPr>
          <w:rFonts w:ascii="Times New Roman" w:cs="Times New Roman" w:eastAsia="Times New Roman" w:hAnsi="Times New Roman"/>
          <w:sz w:val="17"/>
          <w:szCs w:val="17"/>
          <w:color w:val="auto"/>
        </w:rPr>
        <w:t>(ii)  In the event that the successor corporation in a Change in Control and its parents and subsidiaries refuse to assume or substitute for any Award in accordance with Section 13.2(d)(i)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13.2(d)(ii) and will instead vest pursuant to the terms and conditions of the applicable Award Agreement upon a Change in Control where the successor corporation and its parents and subsidiaries refuse to assume or substitute for any Award in accordance with Section 13.2(d)(i)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13.2(d)</w:t>
      </w:r>
    </w:p>
    <w:p>
      <w:pPr>
        <w:spacing w:after="0" w:line="10" w:lineRule="exact"/>
        <w:rPr>
          <w:sz w:val="20"/>
          <w:szCs w:val="20"/>
          <w:color w:val="auto"/>
        </w:rPr>
      </w:pPr>
    </w:p>
    <w:p>
      <w:pPr>
        <w:ind w:left="1020" w:right="639" w:hanging="8"/>
        <w:spacing w:after="0" w:line="260" w:lineRule="auto"/>
        <w:tabs>
          <w:tab w:leader="none" w:pos="12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zero or negative at the time of such Change in Control, such Award shall be terminated upon the Change in Control without payment of consideration therefor.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(e)  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68" w:lineRule="exact"/>
        <w:rPr>
          <w:sz w:val="20"/>
          <w:szCs w:val="20"/>
          <w:color w:val="auto"/>
        </w:rPr>
      </w:pPr>
    </w:p>
    <w:p>
      <w:pPr>
        <w:ind w:left="660" w:right="399" w:firstLine="360"/>
        <w:spacing w:after="0" w:line="256" w:lineRule="auto"/>
        <w:rPr>
          <w:sz w:val="20"/>
          <w:szCs w:val="20"/>
          <w:color w:val="auto"/>
        </w:rPr>
      </w:pPr>
      <w:r>
        <w:rPr>
          <w:rFonts w:ascii="Times New Roman" w:cs="Times New Roman" w:eastAsia="Times New Roman" w:hAnsi="Times New Roman"/>
          <w:sz w:val="18"/>
          <w:szCs w:val="18"/>
          <w:color w:val="auto"/>
        </w:rPr>
        <w:t>(f)  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79"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(g)  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84" w:lineRule="exact"/>
        <w:rPr>
          <w:sz w:val="20"/>
          <w:szCs w:val="20"/>
          <w:color w:val="auto"/>
        </w:rPr>
      </w:pPr>
    </w:p>
    <w:p>
      <w:pPr>
        <w:ind w:left="660" w:right="479" w:firstLine="360"/>
        <w:spacing w:after="0" w:line="256" w:lineRule="auto"/>
        <w:rPr>
          <w:sz w:val="20"/>
          <w:szCs w:val="20"/>
          <w:color w:val="auto"/>
        </w:rPr>
      </w:pPr>
      <w:r>
        <w:rPr>
          <w:rFonts w:ascii="Times New Roman" w:cs="Times New Roman" w:eastAsia="Times New Roman" w:hAnsi="Times New Roman"/>
          <w:sz w:val="18"/>
          <w:szCs w:val="18"/>
          <w:color w:val="auto"/>
        </w:rPr>
        <w:t>(h)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Approval of Plan by Stockholders</w:t>
      </w:r>
      <w:r>
        <w:rPr>
          <w:rFonts w:ascii="Times New Roman" w:cs="Times New Roman" w:eastAsia="Times New Roman" w:hAnsi="Times New Roman"/>
          <w:sz w:val="18"/>
          <w:szCs w:val="18"/>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approval has not been obtained at the end of said twelve (12) month period, all Awards previously granted or awarded under the Plan shall thereupon be canceled and become null and void.</w:t>
      </w:r>
    </w:p>
    <w:p>
      <w:pPr>
        <w:spacing w:after="0" w:line="81" w:lineRule="exact"/>
        <w:rPr>
          <w:sz w:val="20"/>
          <w:szCs w:val="20"/>
          <w:color w:val="auto"/>
        </w:rPr>
      </w:pPr>
    </w:p>
    <w:p>
      <w:pPr>
        <w:jc w:val="both"/>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No Stockholders Rights</w:t>
      </w:r>
      <w:r>
        <w:rPr>
          <w:rFonts w:ascii="Times New Roman" w:cs="Times New Roman" w:eastAsia="Times New Roman" w:hAnsi="Times New Roman"/>
          <w:sz w:val="17"/>
          <w:szCs w:val="17"/>
          <w:color w:val="auto"/>
        </w:rPr>
        <w:t>. Except as otherwise provided herein, a Holder shall have none of the rights of a stockholder with respect to Shares covered by any Award until the Holder becomes the record owner of such Shares.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8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Titles and Headings, References to Sections of the Code or Exchange Act</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2"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8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82"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99" w:lineRule="exact"/>
        <w:rPr>
          <w:sz w:val="20"/>
          <w:szCs w:val="20"/>
          <w:color w:val="auto"/>
        </w:rPr>
      </w:pPr>
    </w:p>
    <w:p>
      <w:pPr>
        <w:jc w:val="center"/>
        <w:ind w:left="1800" w:right="300"/>
        <w:spacing w:after="0" w:line="454"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Affiliates. * * * * *</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lvl w:ilvl="1">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lvl w:ilvl="1">
      <w:lvlJc w:val="left"/>
      <w:lvlText w:val="(%2)"/>
      <w:numFmt w:val="lowerLetter"/>
      <w:start w:val="1"/>
    </w:lvl>
  </w:abstractNum>
  <w:abstractNum w:abstractNumId="16">
    <w:nsid w:val="5072367"/>
    <w:multiLevelType w:val="hybridMultilevel"/>
    <w:lvl w:ilvl="0">
      <w:lvlJc w:val="left"/>
      <w:lvlText w:val="(%1)"/>
      <w:numFmt w:val="decimal"/>
      <w:start w:val="2"/>
    </w:lvl>
    <w:lvl w:ilvl="1">
      <w:lvlJc w:val="left"/>
      <w:lvlText w:val="%2"/>
      <w:numFmt w:val="lowerLetter"/>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Roman"/>
      <w:start w:val="2"/>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lowerRoman"/>
      <w:start w:val="1"/>
    </w:lvl>
  </w:abstractNum>
  <w:abstractNum w:abstractNumId="39">
    <w:nsid w:val="38437FDB"/>
    <w:multiLevelType w:val="hybridMultilevel"/>
    <w:lvl w:ilvl="0">
      <w:lvlJc w:val="left"/>
      <w:lvlText w:val="(%1)"/>
      <w:numFmt w:val="lowerRoman"/>
      <w:start w:val="4"/>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2"/>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lowerRoman"/>
      <w:start w:val="2"/>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1)"/>
      <w:numFmt w:val="decimal"/>
      <w:start w:val="2"/>
    </w:lvl>
  </w:abstractNum>
  <w:abstractNum w:abstractNumId="54">
    <w:nsid w:val="23F9C13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2025-04-30T06:54:49Z</dcterms:created>
  <dcterms:modified xsi:type="dcterms:W3CDTF">2025-04-30T06:54:49Z</dcterms:modified>
</cp:coreProperties>
</file>