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____________________________________________________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____________________________________________________</w:t>
      </w:r>
    </w:p>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4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60" w:after="283"/>
        <w:jc w:val="center"/>
        <w:rPr/>
      </w:pPr>
      <w:r>
        <w:rPr>
          <w:rFonts w:ascii="Times New Roman;serif" w:hAnsi="Times New Roman;serif"/>
          <w:b/>
          <w:color w:val="000000"/>
          <w:sz w:val="18"/>
        </w:rPr>
        <w:t>For the quarterly period ended</w:t>
      </w:r>
      <w:r>
        <w:rPr>
          <w:color w:val="000000"/>
        </w:rPr>
        <w:t xml:space="preserve"> </w:t>
      </w:r>
      <w:r>
        <w:rPr>
          <w:rFonts w:ascii="Times New Roman;serif" w:hAnsi="Times New Roman;serif"/>
          <w:b/>
          <w:color w:val="000000"/>
          <w:sz w:val="18"/>
        </w:rPr>
        <w:t>September 30, 2025</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40" w:after="283"/>
              <w:jc w:val="left"/>
              <w:rPr>
                <w:color w:val="231F20"/>
              </w:rPr>
            </w:pPr>
            <w:r>
              <w:rPr>
                <w:color w:val="231F2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For the transition period from               to</w:t>
      </w:r>
    </w:p>
    <w:p>
      <w:pPr>
        <w:pStyle w:val="TextBody"/>
        <w:bidi w:val="0"/>
        <w:spacing w:lineRule="auto" w:line="288" w:before="60" w:after="283"/>
        <w:jc w:val="center"/>
        <w:rPr/>
      </w:pPr>
      <w:r>
        <w:rPr>
          <w:rFonts w:ascii="Times New Roman;serif" w:hAnsi="Times New Roman;serif"/>
          <w:b/>
          <w:color w:val="000000"/>
          <w:sz w:val="18"/>
        </w:rPr>
        <w:t>Commission file number:</w:t>
      </w:r>
      <w:r>
        <w:rPr>
          <w:color w:val="000000"/>
        </w:rPr>
        <w:t xml:space="preserve"> </w:t>
      </w:r>
      <w:r>
        <w:rPr>
          <w:rFonts w:ascii="Times New Roman;serif" w:hAnsi="Times New Roman;serif"/>
          <w:b/>
          <w:color w:val="000000"/>
          <w:sz w:val="18"/>
        </w:rPr>
        <w:t>001-36485</w:t>
      </w:r>
    </w:p>
    <w:p>
      <w:pPr>
        <w:pStyle w:val="TextBody"/>
        <w:bidi w:val="0"/>
        <w:spacing w:lineRule="auto" w:line="288" w:before="100" w:after="283"/>
        <w:jc w:val="center"/>
        <w:rPr>
          <w:rFonts w:ascii="Times New Roman;serif" w:hAnsi="Times New Roman;serif"/>
          <w:b/>
          <w:color w:val="231F20"/>
          <w:sz w:val="20"/>
        </w:rPr>
      </w:pPr>
      <w:r>
        <w:rPr>
          <w:rFonts w:ascii="Times New Roman;serif" w:hAnsi="Times New Roman;serif"/>
          <w:b/>
          <w:color w:val="231F20"/>
          <w:sz w:val="20"/>
        </w:rPr>
        <w:t>____________________________________________________</w:t>
      </w:r>
    </w:p>
    <w:p>
      <w:pPr>
        <w:pStyle w:val="TextBody"/>
        <w:bidi w:val="0"/>
        <w:spacing w:before="0" w:after="0"/>
        <w:jc w:val="center"/>
        <w:rPr/>
      </w:pPr>
      <w:r>
        <w:rPr/>
        <w:drawing>
          <wp:inline distT="0" distB="0" distL="0" distR="0">
            <wp:extent cx="5715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1500" cy="5715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ARDELYX,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____________________________________________________</w:t>
      </w:r>
    </w:p>
    <w:tbl>
      <w:tblPr>
        <w:tblW w:w="7740" w:type="dxa"/>
        <w:jc w:val="center"/>
        <w:tblInd w:w="0" w:type="dxa"/>
        <w:tblLayout w:type="fixed"/>
        <w:tblCellMar>
          <w:top w:w="28" w:type="dxa"/>
          <w:left w:w="28" w:type="dxa"/>
          <w:bottom w:w="28" w:type="dxa"/>
          <w:right w:w="28" w:type="dxa"/>
        </w:tblCellMar>
      </w:tblPr>
      <w:tblGrid>
        <w:gridCol w:w="1762"/>
        <w:gridCol w:w="1550"/>
        <w:gridCol w:w="1563"/>
        <w:gridCol w:w="836"/>
        <w:gridCol w:w="836"/>
        <w:gridCol w:w="1193"/>
      </w:tblGrid>
      <w:tr>
        <w:trPr/>
        <w:tc>
          <w:tcPr>
            <w:tcW w:w="1762"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26-1303944</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 of Incorporation or Organization)</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(I.R.S. Employer Identification No)</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400 Fifth Avenue, Suite 210, Waltham, Massachusetts</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02451</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(Address of Principal Executive Offices) </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88" w:before="0" w:after="0"/>
        <w:jc w:val="center"/>
        <w:rPr/>
      </w:pPr>
      <w:r>
        <w:rPr>
          <w:rFonts w:ascii="Times New Roman;serif" w:hAnsi="Times New Roman;serif"/>
          <w:b/>
          <w:color w:val="000000"/>
          <w:sz w:val="18"/>
        </w:rPr>
        <w:t>(510)</w:t>
      </w:r>
      <w:r>
        <w:rPr>
          <w:color w:val="000000"/>
        </w:rPr>
        <w:t xml:space="preserve"> </w:t>
      </w:r>
      <w:r>
        <w:rPr>
          <w:rFonts w:ascii="Times New Roman;serif" w:hAnsi="Times New Roman;serif"/>
          <w:b/>
          <w:color w:val="000000"/>
          <w:sz w:val="18"/>
        </w:rPr>
        <w:t>745-1700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(Former Name, Former Address and Former Fiscal Year, if Changed Since Last Report)</w:t>
      </w:r>
    </w:p>
    <w:p>
      <w:pPr>
        <w:pStyle w:val="TextBody"/>
        <w:bidi w:val="0"/>
        <w:spacing w:lineRule="auto" w:line="288" w:before="0" w:after="0"/>
        <w:jc w:val="center"/>
        <w:rPr>
          <w:rFonts w:ascii="Times New Roman;serif" w:hAnsi="Times New Roman;serif"/>
          <w:b/>
          <w:color w:val="231F20"/>
          <w:sz w:val="18"/>
        </w:rPr>
      </w:pPr>
      <w:r>
        <w:rPr>
          <w:rFonts w:ascii="Times New Roman;serif" w:hAnsi="Times New Roman;serif"/>
          <w:b/>
          <w:color w:val="231F20"/>
          <w:sz w:val="18"/>
        </w:rPr>
        <w:t>____________________________________________________</w:t>
      </w:r>
    </w:p>
    <w:p>
      <w:pPr>
        <w:pStyle w:val="TextBody"/>
        <w:bidi w:val="0"/>
        <w:spacing w:lineRule="auto" w:line="288" w:before="14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8646" w:type="dxa"/>
        <w:jc w:val="center"/>
        <w:tblInd w:w="0" w:type="dxa"/>
        <w:tblLayout w:type="fixed"/>
        <w:tblCellMar>
          <w:top w:w="28" w:type="dxa"/>
          <w:left w:w="28" w:type="dxa"/>
          <w:bottom w:w="28" w:type="dxa"/>
          <w:right w:w="28" w:type="dxa"/>
        </w:tblCellMar>
      </w:tblPr>
      <w:tblGrid>
        <w:gridCol w:w="999"/>
        <w:gridCol w:w="877"/>
        <w:gridCol w:w="883"/>
        <w:gridCol w:w="109"/>
        <w:gridCol w:w="109"/>
        <w:gridCol w:w="109"/>
        <w:gridCol w:w="519"/>
        <w:gridCol w:w="519"/>
        <w:gridCol w:w="521"/>
        <w:gridCol w:w="109"/>
        <w:gridCol w:w="109"/>
        <w:gridCol w:w="109"/>
        <w:gridCol w:w="1074"/>
        <w:gridCol w:w="1074"/>
        <w:gridCol w:w="1526"/>
      </w:tblGrid>
      <w:tr>
        <w:trPr/>
        <w:tc>
          <w:tcPr>
            <w:tcW w:w="99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par value $0.0001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ARDX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Global Market</w:t>
            </w:r>
          </w:p>
        </w:tc>
      </w:tr>
    </w:tbl>
    <w:p>
      <w:pPr>
        <w:pStyle w:val="TextBody"/>
        <w:bidi w:val="0"/>
        <w:spacing w:lineRule="auto" w:line="288" w:before="140" w:after="283"/>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No</w:t>
      </w:r>
      <w:r>
        <w:rPr>
          <w:color w:val="000000"/>
        </w:rPr>
        <w:t> ☐</w:t>
      </w:r>
    </w:p>
    <w:p>
      <w:pPr>
        <w:pStyle w:val="TextBody"/>
        <w:bidi w:val="0"/>
        <w:spacing w:lineRule="auto" w:line="288" w:before="140" w:after="283"/>
        <w:jc w:val="left"/>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4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69"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674"/>
        <w:gridCol w:w="674"/>
        <w:gridCol w:w="677"/>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bidi w:val="0"/>
        <w:spacing w:lineRule="auto" w:line="288" w:before="140" w:after="283"/>
        <w:jc w:val="left"/>
        <w:rPr/>
      </w:pPr>
      <w:r>
        <w:rPr>
          <w:rFonts w:ascii="Times New Roman;serif" w:hAnsi="Times New Roman;serif"/>
          <w:b w:val="false"/>
          <w:color w:val="000000"/>
          <w:sz w:val="16"/>
        </w:rPr>
        <w:t>Indicate by check mark whether the registrant is a shell company (as defined in Rule 12b-2 of the Exchange Act).    Yes</w:t>
      </w:r>
      <w:r>
        <w:rPr>
          <w:color w:val="000000"/>
        </w:rPr>
        <w:t> ☐    </w:t>
      </w:r>
      <w:r>
        <w:rPr>
          <w:rFonts w:ascii="Times New Roman;serif" w:hAnsi="Times New Roman;serif"/>
          <w:b w:val="false"/>
          <w:color w:val="000000"/>
          <w:sz w:val="16"/>
        </w:rPr>
        <w:t>No</w:t>
      </w:r>
      <w:r>
        <w:rPr>
          <w:color w:val="000000"/>
        </w:rPr>
        <w:t> ☒</w:t>
      </w:r>
    </w:p>
    <w:p>
      <w:pPr>
        <w:pStyle w:val="TextBody"/>
        <w:bidi w:val="0"/>
        <w:spacing w:lineRule="auto" w:line="288" w:before="140" w:after="283"/>
        <w:jc w:val="both"/>
        <w:rPr>
          <w:rFonts w:ascii="Times New Roman;serif" w:hAnsi="Times New Roman;serif"/>
          <w:b w:val="false"/>
          <w:color w:val="000000"/>
          <w:sz w:val="16"/>
        </w:rPr>
      </w:pPr>
      <w:r>
        <w:rPr>
          <w:rFonts w:ascii="Times New Roman;serif" w:hAnsi="Times New Roman;serif"/>
          <w:b w:val="false"/>
          <w:color w:val="000000"/>
          <w:sz w:val="16"/>
        </w:rPr>
        <w:t>The number of issued and outstanding shares of the registrant’s Common Stock, $0.0001 par value per share, as of October 23, 2025, was 242,974,306.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REGARDING FORWARD-LOOKING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the context requires otherwise, in this Quarterly Report on Form 10-Q, the terms “Ardelyx,” “Company,” “we,” “us” and “our” refer to Ardelyx, Inc.</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that involve risks and uncertainties. Any statements contained herein that are not statements of historical facts may be deemed to be forward-looking statements. In some cases, you can identify forward-looking statements by terminology such as “aim,” “anticipate,” “assume,” “believe,”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estimates of our expenses, future revenue, capital requirements, our needs for additional financing and our ability to obtain additional capital;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other risks and uncertainties, including those under the caption “Risk Factors.”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based these forward-looking statements largely on management’s current expectations, estimates, forecasts and projections about our business and the industry in which we operate and management’s beliefs and assumptions, and these forward-looking statements are not guarantees of future performance or development and involve known and unknown risks, uncertainties and other factors that are in some cases beyond our control, that could cause actual outcomes or results to differ materially from those expressed or implied by such forward-looking statements. Factors that could cause actual results or conditions to differ from those anticipated by these and other forward-looking statements include those more fully described in the “Item 1A. Risk Factors” section and elsewhere in this Quarterly Report on Form 10-Q. Except as required by law, we assume no obligation to update any forward-looking statement publicly, or to revise any forward-looking statement to reflect events or developments occurring after the date of this Quarterly Report on Form 10-Q, even if new information becomes available in the future. Thus, you should not assume that our silence over time means that actual events are bearing out as expressed or implied in any such forward-looking statement.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SUMMARY OF PRINCIPAL RISKS ASSOCIATED WITH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principal risks and uncertainties affecting our business include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have incurred losses in each year since our inception, and if we are unable to continue to increase revenue and/or, depending upon our pursuit of future business opportunities, we may not achieve projected cash flow positivity, and even if we do, we may not be able to sustain cash flow positivity quarter over quarter and year over year.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may require additional financing for the foreseeable future as we invest in the growth of IBSRELA and XPHOZAH in the U.S. and build a pipeline. The inability to access necessary capital when needed on acceptable terms, or at all, could force us to delay or limit our pursuit of other future business opportunities.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are substantially dependent on the successful commercialization of IBSRELA, and there is no guarantee that we will maintain sufficient market acceptance for IBSRELA, grow market share for IBSRELA, secure and maintain adequate coverage and reimbursement for IBSRELA, or generate sufficient revenue from product sales of IBSRELA.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There is no guarantee that we will achieve sufficient market acceptance for XPHOZAH, or that we will be able to secure and maintain adequate coverage and reimbursement for XPHOZAH, or generate sufficient revenue from product sales of XPHOZAH. The inclusion of XPHOZAH in the ESRD PPS creates additional uncertainty as to the commercial opportunity for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XPHOZAH is now included in the ESRD PPS, effective January 1, 2025, which means coverage for XPHOZAH for Medicare beneficiaries is no longer available under Medicare Part D, and as a result the revenue that we may generate on sales of XPHOZAH will be negatively and materially impacted.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Current and future healthcare reform legislation, regulation or action by the Trump Administration may increase the difficulty and cost for us to commercialize our approved products and may adversely affect the prices we, or they, may obtain and may have a negative impact on our business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IBSRELA and/or XPHOZAH may cause undesirable side effects or have other properties that could limit the commercial success of the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Third-party payor coverage and reimbursement status of newly commercialized products are uncertain. Failure to obtain or maintain adequate coverage and reimbursement for IBSRELA and XPHOZAH could limit our ability to market those products and decrease our ability to generate revenue.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rely completely on third parties, including certain single-source suppliers,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XPHOZAH may be materially harmed.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operating activities may be restricted as a result of covenants related to the indebtedness under our loan and security agreement with SLR, as amended, and we may be required to repay the outstanding indebtedness in an event of default, which could have a materially adverse effect on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summary risk factors described above should be read together with the text of the full risk factors below in the section entitled “Risk Factors” and the other information set forth in this Quarterly Report on Form 10-Q, including our financial statements and the related notes, as well as in other documents that we file with the U.S.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REGARDING TRADEMARKS</w:t>
      </w:r>
    </w:p>
    <w:p>
      <w:pPr>
        <w:pStyle w:val="TextBody"/>
        <w:bidi w:val="0"/>
        <w:spacing w:lineRule="auto" w:line="288" w:before="0" w:after="180"/>
        <w:ind w:left="0" w:right="0" w:firstLine="360"/>
        <w:jc w:val="both"/>
        <w:rPr/>
      </w:pPr>
      <w:r>
        <w:rPr>
          <w:rFonts w:ascii="Times New Roman;serif" w:hAnsi="Times New Roman;serif"/>
          <w:b w:val="false"/>
          <w:color w:val="000000"/>
          <w:sz w:val="20"/>
        </w:rPr>
        <w:t>ARDELYX</w:t>
      </w:r>
      <w:r>
        <w:rPr>
          <w:rFonts w:ascii="Times New Roman;serif" w:hAnsi="Times New Roman;serif"/>
          <w:b w:val="false"/>
          <w:color w:val="000000"/>
          <w:sz w:val="13"/>
        </w:rPr>
        <w:t>®</w:t>
      </w:r>
      <w:r>
        <w:rPr>
          <w:rFonts w:ascii="Times New Roman;serif" w:hAnsi="Times New Roman;serif"/>
          <w:b w:val="false"/>
          <w:color w:val="000000"/>
          <w:sz w:val="20"/>
        </w:rPr>
        <w:t>, IBSRELA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XPHOZAH</w:t>
      </w:r>
      <w:r>
        <w:rPr>
          <w:rFonts w:ascii="Times New Roman;serif" w:hAnsi="Times New Roman;serif"/>
          <w:b/>
          <w:color w:val="000000"/>
          <w:sz w:val="13"/>
        </w:rPr>
        <w:t xml:space="preserve">® </w:t>
      </w:r>
      <w:r>
        <w:rPr>
          <w:rFonts w:ascii="Times New Roman;serif" w:hAnsi="Times New Roman;serif"/>
          <w:b w:val="false"/>
          <w:color w:val="000000"/>
          <w:sz w:val="20"/>
        </w:rPr>
        <w:t>are trademarks of Ardelyx. All other trademarks, trade names and service marks appearing in this Quarterly Report on Form 10-Q are the property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ARDELYX,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 TABLE OF CONTENTS</w:t>
      </w:r>
    </w:p>
    <w:tbl>
      <w:tblPr>
        <w:tblW w:w="9673" w:type="dxa"/>
        <w:jc w:val="center"/>
        <w:tblInd w:w="0" w:type="dxa"/>
        <w:tblLayout w:type="fixed"/>
        <w:tblCellMar>
          <w:top w:w="28" w:type="dxa"/>
          <w:left w:w="28" w:type="dxa"/>
          <w:bottom w:w="28" w:type="dxa"/>
          <w:right w:w="28" w:type="dxa"/>
        </w:tblCellMar>
      </w:tblPr>
      <w:tblGrid>
        <w:gridCol w:w="293"/>
        <w:gridCol w:w="258"/>
        <w:gridCol w:w="259"/>
        <w:gridCol w:w="2653"/>
        <w:gridCol w:w="2653"/>
        <w:gridCol w:w="2658"/>
        <w:gridCol w:w="263"/>
        <w:gridCol w:w="263"/>
        <w:gridCol w:w="373"/>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ea67d28b76f47deb314d8e9d7b95d60_13">
              <w:r>
                <w:rPr>
                  <w:rStyle w:val="InternetLink"/>
                  <w:rFonts w:ascii="Times New Roman;serif" w:hAnsi="Times New Roman;serif"/>
                  <w:b/>
                  <w:color w:val="0000FF"/>
                  <w:sz w:val="20"/>
                  <w:u w:val="single"/>
                </w:rPr>
                <w:t>PART I. FINANCIAL INFORMATION</w:t>
              </w:r>
            </w:hyperlink>
          </w:p>
        </w:tc>
        <w:tc>
          <w:tcPr>
            <w:tcW w:w="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a67d28b76f47deb314d8e9d7b95d60_16">
              <w:r>
                <w:rPr>
                  <w:rStyle w:val="InternetLink"/>
                  <w:rFonts w:ascii="Times New Roman;serif" w:hAnsi="Times New Roman;serif"/>
                  <w:b w:val="false"/>
                  <w:color w:val="0000FF"/>
                  <w:sz w:val="20"/>
                  <w:u w:val="single"/>
                </w:rPr>
                <w:t>Item 1.</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a67d28b76f47deb314d8e9d7b95d60_16">
              <w:r>
                <w:rPr>
                  <w:rStyle w:val="InternetLink"/>
                  <w:rFonts w:ascii="Times New Roman;serif" w:hAnsi="Times New Roman;serif"/>
                  <w:b w:val="false"/>
                  <w:color w:val="0000FF"/>
                  <w:sz w:val="20"/>
                  <w:u w:val="single"/>
                </w:rPr>
                <w:t>Financial Statements (Unaudited)</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ea67d28b76f47deb314d8e9d7b95d60_16">
              <w:r>
                <w:rPr>
                  <w:rStyle w:val="InternetLink"/>
                  <w:rFonts w:ascii="Times New Roman;serif" w:hAnsi="Times New Roman;serif"/>
                  <w:b w:val="false"/>
                  <w:color w:val="0000FF"/>
                  <w:sz w:val="20"/>
                  <w:u w:val="single"/>
                </w:rPr>
                <w:t>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a67d28b76f47deb314d8e9d7b95d60_19">
              <w:r>
                <w:rPr>
                  <w:rStyle w:val="InternetLink"/>
                  <w:rFonts w:ascii="Times New Roman;serif" w:hAnsi="Times New Roman;serif"/>
                  <w:b w:val="false"/>
                  <w:color w:val="0000FF"/>
                  <w:sz w:val="20"/>
                  <w:u w:val="single"/>
                </w:rPr>
                <w:t>Condensed Balance Sheets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ea67d28b76f47deb314d8e9d7b95d60_19">
              <w:r>
                <w:rPr>
                  <w:rStyle w:val="InternetLink"/>
                  <w:rFonts w:ascii="Times New Roman;serif" w:hAnsi="Times New Roman;serif"/>
                  <w:b w:val="false"/>
                  <w:color w:val="0000FF"/>
                  <w:sz w:val="20"/>
                  <w:u w:val="single"/>
                </w:rPr>
                <w:t>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a67d28b76f47deb314d8e9d7b95d60_22">
              <w:r>
                <w:rPr>
                  <w:rStyle w:val="InternetLink"/>
                  <w:rFonts w:ascii="Times New Roman;serif" w:hAnsi="Times New Roman;serif"/>
                  <w:b w:val="false"/>
                  <w:color w:val="0000FF"/>
                  <w:sz w:val="20"/>
                  <w:u w:val="single"/>
                </w:rPr>
                <w:t>Condensed Statements of Operations and Comprehensive Loss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ea67d28b76f47deb314d8e9d7b95d60_22">
              <w:r>
                <w:rPr>
                  <w:rStyle w:val="InternetLink"/>
                  <w:rFonts w:ascii="Times New Roman;serif" w:hAnsi="Times New Roman;serif"/>
                  <w:b w:val="false"/>
                  <w:color w:val="0000FF"/>
                  <w:sz w:val="20"/>
                  <w:u w:val="single"/>
                </w:rPr>
                <w:t>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a67d28b76f47deb314d8e9d7b95d60_25">
              <w:r>
                <w:rPr>
                  <w:rStyle w:val="InternetLink"/>
                  <w:rFonts w:ascii="Times New Roman;serif" w:hAnsi="Times New Roman;serif"/>
                  <w:b w:val="false"/>
                  <w:color w:val="0000FF"/>
                  <w:sz w:val="20"/>
                  <w:u w:val="single"/>
                </w:rPr>
                <w:t>Condensed Statements of Changes in Stockholders’ Equity</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ea67d28b76f47deb314d8e9d7b95d60_25">
              <w:r>
                <w:rPr>
                  <w:rStyle w:val="InternetLink"/>
                  <w:rFonts w:ascii="Times New Roman;serif" w:hAnsi="Times New Roman;serif"/>
                  <w:b w:val="false"/>
                  <w:color w:val="0000FF"/>
                  <w:sz w:val="20"/>
                  <w:u w:val="single"/>
                </w:rPr>
                <w:t>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a67d28b76f47deb314d8e9d7b95d60_31">
              <w:r>
                <w:rPr>
                  <w:rStyle w:val="InternetLink"/>
                  <w:rFonts w:ascii="Times New Roman;serif" w:hAnsi="Times New Roman;serif"/>
                  <w:b w:val="false"/>
                  <w:color w:val="0000FF"/>
                  <w:sz w:val="20"/>
                  <w:u w:val="single"/>
                </w:rPr>
                <w:t>Condensed Statements of Cash Flows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ea67d28b76f47deb314d8e9d7b95d60_31">
              <w:r>
                <w:rPr>
                  <w:rStyle w:val="InternetLink"/>
                  <w:rFonts w:ascii="Times New Roman;serif" w:hAnsi="Times New Roman;serif"/>
                  <w:b w:val="false"/>
                  <w:color w:val="0000FF"/>
                  <w:sz w:val="20"/>
                  <w:u w:val="single"/>
                </w:rPr>
                <w:t>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a67d28b76f47deb314d8e9d7b95d60_34">
              <w:r>
                <w:rPr>
                  <w:rStyle w:val="InternetLink"/>
                  <w:rFonts w:ascii="Times New Roman;serif" w:hAnsi="Times New Roman;serif"/>
                  <w:b w:val="false"/>
                  <w:color w:val="0000FF"/>
                  <w:sz w:val="20"/>
                  <w:u w:val="single"/>
                </w:rPr>
                <w:t>Notes to Condensed Financial Statements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ea67d28b76f47deb314d8e9d7b95d60_34">
              <w:r>
                <w:rPr>
                  <w:rStyle w:val="InternetLink"/>
                  <w:rFonts w:ascii="Times New Roman;serif" w:hAnsi="Times New Roman;serif"/>
                  <w:b w:val="false"/>
                  <w:color w:val="0000FF"/>
                  <w:sz w:val="20"/>
                  <w:u w:val="single"/>
                </w:rPr>
                <w:t>7</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a67d28b76f47deb314d8e9d7b95d60_106">
              <w:r>
                <w:rPr>
                  <w:rStyle w:val="InternetLink"/>
                  <w:rFonts w:ascii="Times New Roman;serif" w:hAnsi="Times New Roman;serif"/>
                  <w:b w:val="false"/>
                  <w:color w:val="0000FF"/>
                  <w:sz w:val="20"/>
                  <w:u w:val="single"/>
                </w:rPr>
                <w:t>Item 2.</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a67d28b76f47deb314d8e9d7b95d60_10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ea67d28b76f47deb314d8e9d7b95d60_106">
              <w:r>
                <w:rPr>
                  <w:rStyle w:val="InternetLink"/>
                  <w:rFonts w:ascii="Times New Roman;serif" w:hAnsi="Times New Roman;serif"/>
                  <w:b w:val="false"/>
                  <w:color w:val="0000FF"/>
                  <w:sz w:val="20"/>
                  <w:u w:val="single"/>
                </w:rPr>
                <w:t>18</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a67d28b76f47deb314d8e9d7b95d60_127">
              <w:r>
                <w:rPr>
                  <w:rStyle w:val="InternetLink"/>
                  <w:rFonts w:ascii="Times New Roman;serif" w:hAnsi="Times New Roman;serif"/>
                  <w:b w:val="false"/>
                  <w:color w:val="0000FF"/>
                  <w:sz w:val="20"/>
                  <w:u w:val="single"/>
                </w:rPr>
                <w:t>Item 3.</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a67d28b76f47deb314d8e9d7b95d60_127">
              <w:r>
                <w:rPr>
                  <w:rStyle w:val="InternetLink"/>
                  <w:rFonts w:ascii="Times New Roman;serif" w:hAnsi="Times New Roman;serif"/>
                  <w:b w:val="false"/>
                  <w:color w:val="0000FF"/>
                  <w:sz w:val="20"/>
                  <w:u w:val="single"/>
                </w:rPr>
                <w:t>Quantitative and Qualitative Disclosures About Market Risk</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ea67d28b76f47deb314d8e9d7b95d60_127">
              <w:r>
                <w:rPr>
                  <w:rStyle w:val="InternetLink"/>
                  <w:rFonts w:ascii="Times New Roman;serif" w:hAnsi="Times New Roman;serif"/>
                  <w:b w:val="false"/>
                  <w:color w:val="0000FF"/>
                  <w:sz w:val="20"/>
                  <w:u w:val="single"/>
                </w:rPr>
                <w:t>25</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a67d28b76f47deb314d8e9d7b95d60_130">
              <w:r>
                <w:rPr>
                  <w:rStyle w:val="InternetLink"/>
                  <w:rFonts w:ascii="Times New Roman;serif" w:hAnsi="Times New Roman;serif"/>
                  <w:b w:val="false"/>
                  <w:color w:val="0000FF"/>
                  <w:sz w:val="20"/>
                  <w:u w:val="single"/>
                </w:rPr>
                <w:t>Item 4.</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a67d28b76f47deb314d8e9d7b95d60_130">
              <w:r>
                <w:rPr>
                  <w:rStyle w:val="InternetLink"/>
                  <w:rFonts w:ascii="Times New Roman;serif" w:hAnsi="Times New Roman;serif"/>
                  <w:b w:val="false"/>
                  <w:color w:val="0000FF"/>
                  <w:sz w:val="20"/>
                  <w:u w:val="single"/>
                </w:rPr>
                <w:t>Controls and Procedures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ea67d28b76f47deb314d8e9d7b95d60_130">
              <w:r>
                <w:rPr>
                  <w:rStyle w:val="InternetLink"/>
                  <w:rFonts w:ascii="Times New Roman;serif" w:hAnsi="Times New Roman;serif"/>
                  <w:b w:val="false"/>
                  <w:color w:val="0000FF"/>
                  <w:sz w:val="20"/>
                  <w:u w:val="single"/>
                </w:rPr>
                <w:t>26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ea67d28b76f47deb314d8e9d7b95d60_133">
              <w:r>
                <w:rPr>
                  <w:rStyle w:val="InternetLink"/>
                  <w:rFonts w:ascii="Times New Roman;serif" w:hAnsi="Times New Roman;serif"/>
                  <w:b/>
                  <w:color w:val="0000FF"/>
                  <w:sz w:val="20"/>
                  <w:u w:val="single"/>
                </w:rPr>
                <w:t>PART II. OTHER INFORMATION</w:t>
              </w:r>
            </w:hyperlink>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a67d28b76f47deb314d8e9d7b95d60_136">
              <w:r>
                <w:rPr>
                  <w:rStyle w:val="InternetLink"/>
                  <w:rFonts w:ascii="Times New Roman;serif" w:hAnsi="Times New Roman;serif"/>
                  <w:b w:val="false"/>
                  <w:color w:val="0000FF"/>
                  <w:sz w:val="20"/>
                  <w:u w:val="single"/>
                </w:rPr>
                <w:t>Item 1.</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a67d28b76f47deb314d8e9d7b95d60_136">
              <w:r>
                <w:rPr>
                  <w:rStyle w:val="InternetLink"/>
                  <w:rFonts w:ascii="Times New Roman;serif" w:hAnsi="Times New Roman;serif"/>
                  <w:b w:val="false"/>
                  <w:color w:val="0000FF"/>
                  <w:sz w:val="20"/>
                  <w:u w:val="single"/>
                </w:rPr>
                <w:t>Legal Proceedings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ea67d28b76f47deb314d8e9d7b95d60_136">
              <w:r>
                <w:rPr>
                  <w:rStyle w:val="InternetLink"/>
                  <w:rFonts w:ascii="Times New Roman;serif" w:hAnsi="Times New Roman;serif"/>
                  <w:b w:val="false"/>
                  <w:color w:val="0000FF"/>
                  <w:sz w:val="20"/>
                  <w:u w:val="single"/>
                </w:rPr>
                <w:t>26</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a67d28b76f47deb314d8e9d7b95d60_139">
              <w:r>
                <w:rPr>
                  <w:rStyle w:val="InternetLink"/>
                  <w:rFonts w:ascii="Times New Roman;serif" w:hAnsi="Times New Roman;serif"/>
                  <w:b w:val="false"/>
                  <w:color w:val="0000FF"/>
                  <w:sz w:val="20"/>
                  <w:u w:val="single"/>
                </w:rPr>
                <w:t>Item 1A.</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a67d28b76f47deb314d8e9d7b95d60_139">
              <w:r>
                <w:rPr>
                  <w:rStyle w:val="InternetLink"/>
                  <w:rFonts w:ascii="Times New Roman;serif" w:hAnsi="Times New Roman;serif"/>
                  <w:b w:val="false"/>
                  <w:color w:val="0000FF"/>
                  <w:sz w:val="20"/>
                  <w:u w:val="single"/>
                </w:rPr>
                <w:t>Risk Factors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ea67d28b76f47deb314d8e9d7b95d60_139">
              <w:r>
                <w:rPr>
                  <w:rStyle w:val="InternetLink"/>
                  <w:rFonts w:ascii="Times New Roman;serif" w:hAnsi="Times New Roman;serif"/>
                  <w:b w:val="false"/>
                  <w:color w:val="0000FF"/>
                  <w:sz w:val="20"/>
                  <w:u w:val="single"/>
                </w:rPr>
                <w:t>26</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a67d28b76f47deb314d8e9d7b95d60_142">
              <w:r>
                <w:rPr>
                  <w:rStyle w:val="InternetLink"/>
                  <w:rFonts w:ascii="Times New Roman;serif" w:hAnsi="Times New Roman;serif"/>
                  <w:b w:val="false"/>
                  <w:color w:val="0000FF"/>
                  <w:sz w:val="20"/>
                  <w:u w:val="single"/>
                </w:rPr>
                <w:t>Item 2.</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a67d28b76f47deb314d8e9d7b95d60_142">
              <w:r>
                <w:rPr>
                  <w:rStyle w:val="InternetLink"/>
                  <w:rFonts w:ascii="Times New Roman;serif" w:hAnsi="Times New Roman;serif"/>
                  <w:b w:val="false"/>
                  <w:color w:val="0000FF"/>
                  <w:sz w:val="20"/>
                  <w:u w:val="single"/>
                </w:rPr>
                <w:t>Unregistered Sales of Equity Securities, Use of Proceeds and Issuer Purchases of Equity Securities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ea67d28b76f47deb314d8e9d7b95d60_142">
              <w:r>
                <w:rPr>
                  <w:rStyle w:val="InternetLink"/>
                  <w:rFonts w:ascii="Times New Roman;serif" w:hAnsi="Times New Roman;serif"/>
                  <w:b w:val="false"/>
                  <w:color w:val="0000FF"/>
                  <w:sz w:val="20"/>
                  <w:u w:val="single"/>
                </w:rPr>
                <w:t>60</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a67d28b76f47deb314d8e9d7b95d60_145">
              <w:r>
                <w:rPr>
                  <w:rStyle w:val="InternetLink"/>
                  <w:rFonts w:ascii="Times New Roman;serif" w:hAnsi="Times New Roman;serif"/>
                  <w:b w:val="false"/>
                  <w:color w:val="0000FF"/>
                  <w:sz w:val="20"/>
                  <w:u w:val="single"/>
                </w:rPr>
                <w:t>Item 3.</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a67d28b76f47deb314d8e9d7b95d60_145">
              <w:r>
                <w:rPr>
                  <w:rStyle w:val="InternetLink"/>
                  <w:rFonts w:ascii="Times New Roman;serif" w:hAnsi="Times New Roman;serif"/>
                  <w:b w:val="false"/>
                  <w:color w:val="0000FF"/>
                  <w:sz w:val="20"/>
                  <w:u w:val="single"/>
                </w:rPr>
                <w:t>Defaults Upon Senior Securities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ea67d28b76f47deb314d8e9d7b95d60_145">
              <w:r>
                <w:rPr>
                  <w:rStyle w:val="InternetLink"/>
                  <w:rFonts w:ascii="Times New Roman;serif" w:hAnsi="Times New Roman;serif"/>
                  <w:b w:val="false"/>
                  <w:color w:val="0000FF"/>
                  <w:sz w:val="20"/>
                  <w:u w:val="single"/>
                </w:rPr>
                <w:t>60</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a67d28b76f47deb314d8e9d7b95d60_148">
              <w:r>
                <w:rPr>
                  <w:rStyle w:val="InternetLink"/>
                  <w:rFonts w:ascii="Times New Roman;serif" w:hAnsi="Times New Roman;serif"/>
                  <w:b w:val="false"/>
                  <w:color w:val="0000FF"/>
                  <w:sz w:val="20"/>
                  <w:u w:val="single"/>
                </w:rPr>
                <w:t>Item 4.</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a67d28b76f47deb314d8e9d7b95d60_148">
              <w:r>
                <w:rPr>
                  <w:rStyle w:val="InternetLink"/>
                  <w:rFonts w:ascii="Times New Roman;serif" w:hAnsi="Times New Roman;serif"/>
                  <w:b w:val="false"/>
                  <w:color w:val="0000FF"/>
                  <w:sz w:val="20"/>
                  <w:u w:val="single"/>
                </w:rPr>
                <w:t>Mine Safety Disclosures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ea67d28b76f47deb314d8e9d7b95d60_148">
              <w:r>
                <w:rPr>
                  <w:rStyle w:val="InternetLink"/>
                  <w:rFonts w:ascii="Times New Roman;serif" w:hAnsi="Times New Roman;serif"/>
                  <w:b w:val="false"/>
                  <w:color w:val="0000FF"/>
                  <w:sz w:val="20"/>
                  <w:u w:val="single"/>
                </w:rPr>
                <w:t>60</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a67d28b76f47deb314d8e9d7b95d60_151">
              <w:r>
                <w:rPr>
                  <w:rStyle w:val="InternetLink"/>
                  <w:rFonts w:ascii="Times New Roman;serif" w:hAnsi="Times New Roman;serif"/>
                  <w:b w:val="false"/>
                  <w:color w:val="0000FF"/>
                  <w:sz w:val="20"/>
                  <w:u w:val="single"/>
                </w:rPr>
                <w:t>Item 5.</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a67d28b76f47deb314d8e9d7b95d60_151">
              <w:r>
                <w:rPr>
                  <w:rStyle w:val="InternetLink"/>
                  <w:rFonts w:ascii="Times New Roman;serif" w:hAnsi="Times New Roman;serif"/>
                  <w:b w:val="false"/>
                  <w:color w:val="0000FF"/>
                  <w:sz w:val="20"/>
                  <w:u w:val="single"/>
                </w:rPr>
                <w:t>Other Information</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ea67d28b76f47deb314d8e9d7b95d60_151">
              <w:r>
                <w:rPr>
                  <w:rStyle w:val="InternetLink"/>
                  <w:rFonts w:ascii="Times New Roman;serif" w:hAnsi="Times New Roman;serif"/>
                  <w:b w:val="false"/>
                  <w:color w:val="0000FF"/>
                  <w:sz w:val="20"/>
                  <w:u w:val="single"/>
                </w:rPr>
                <w:t>60</w:t>
              </w:r>
            </w:hyperlink>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a67d28b76f47deb314d8e9d7b95d60_157">
              <w:r>
                <w:rPr>
                  <w:rStyle w:val="InternetLink"/>
                  <w:rFonts w:ascii="Times New Roman;serif" w:hAnsi="Times New Roman;serif"/>
                  <w:b w:val="false"/>
                  <w:color w:val="0000FF"/>
                  <w:sz w:val="20"/>
                  <w:u w:val="single"/>
                </w:rPr>
                <w:t>Item 6.</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a67d28b76f47deb314d8e9d7b95d60_157">
              <w:r>
                <w:rPr>
                  <w:rStyle w:val="InternetLink"/>
                  <w:rFonts w:ascii="Times New Roman;serif" w:hAnsi="Times New Roman;serif"/>
                  <w:b w:val="false"/>
                  <w:color w:val="0000FF"/>
                  <w:sz w:val="20"/>
                  <w:u w:val="single"/>
                </w:rPr>
                <w:t>Exhibits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ea67d28b76f47deb314d8e9d7b95d60_157">
              <w:r>
                <w:rPr>
                  <w:rStyle w:val="InternetLink"/>
                  <w:rFonts w:ascii="Times New Roman;serif" w:hAnsi="Times New Roman;serif"/>
                  <w:b w:val="false"/>
                  <w:color w:val="0000FF"/>
                  <w:sz w:val="20"/>
                  <w:u w:val="single"/>
                </w:rPr>
                <w:t>61</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a67d28b76f47deb314d8e9d7b95d60_160">
              <w:r>
                <w:rPr>
                  <w:rStyle w:val="InternetLink"/>
                  <w:rFonts w:ascii="Times New Roman;serif" w:hAnsi="Times New Roman;serif"/>
                  <w:b w:val="false"/>
                  <w:color w:val="0000FF"/>
                  <w:sz w:val="20"/>
                  <w:u w:val="single"/>
                </w:rPr>
                <w:t>Signature</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ea67d28b76f47deb314d8e9d7b95d60_160">
              <w:r>
                <w:rPr>
                  <w:rStyle w:val="InternetLink"/>
                  <w:rFonts w:ascii="Times New Roman;serif" w:hAnsi="Times New Roman;serif"/>
                  <w:b w:val="false"/>
                  <w:color w:val="0000FF"/>
                  <w:sz w:val="20"/>
                  <w:u w:val="single"/>
                </w:rPr>
                <w:t>62</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ea67d28b76f47deb314d8e9d7b95d60_160">
              <w:r>
                <w:rPr>
                  <w:rStyle w:val="InternetLink"/>
                  <w:rFonts w:ascii="Times New Roman;serif" w:hAnsi="Times New Roman;serif"/>
                  <w:b w:val="false"/>
                  <w:color w:val="0000FF"/>
                  <w:sz w:val="20"/>
                  <w:u w:val="single"/>
                </w:rPr>
                <w:t>Summary of Abbreviated Terms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ea67d28b76f47deb314d8e9d7b95d60_163">
              <w:r>
                <w:rPr>
                  <w:rStyle w:val="InternetLink"/>
                  <w:rFonts w:ascii="Times New Roman;serif" w:hAnsi="Times New Roman;serif"/>
                  <w:b w:val="false"/>
                  <w:color w:val="0000FF"/>
                  <w:sz w:val="20"/>
                  <w:u w:val="single"/>
                </w:rPr>
                <w:t>63</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ARDELYX,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736"/>
        <w:gridCol w:w="2258"/>
        <w:gridCol w:w="2197"/>
        <w:gridCol w:w="245"/>
        <w:gridCol w:w="961"/>
        <w:gridCol w:w="126"/>
        <w:gridCol w:w="109"/>
        <w:gridCol w:w="109"/>
        <w:gridCol w:w="109"/>
        <w:gridCol w:w="239"/>
        <w:gridCol w:w="939"/>
        <w:gridCol w:w="177"/>
      </w:tblGrid>
      <w:tr>
        <w:trPr/>
        <w:tc>
          <w:tcPr>
            <w:tcW w:w="2736"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185,168 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76,610 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57,705 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commercial manufacturing</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367,985 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356,452 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non-current</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104,186 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70,011 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486,170 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435,754 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3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liability</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83,389 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77,830 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net of current portion</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202,138 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150,853 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non-current</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royalty obligation related to the sale of future royalties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331,890 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262,465 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14)</w:t>
            </w:r>
          </w:p>
        </w:tc>
        <w:tc>
          <w:tcPr>
            <w:tcW w:w="13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500,000,000 shares authorized; 242,971,838 and 238,015,825 shares issued and outstanding as of September 30, 2025 and December 31, 2024, respectively</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1,100,664 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1,058,548 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(946,532)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(885,340)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154,280 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173,289 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486,170 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435,754 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ARDELYX,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OPERATIONS AND COMPREHENSIVE LOSS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556"/>
        <w:gridCol w:w="1176"/>
        <w:gridCol w:w="1183"/>
        <w:gridCol w:w="243"/>
        <w:gridCol w:w="948"/>
        <w:gridCol w:w="119"/>
        <w:gridCol w:w="119"/>
        <w:gridCol w:w="119"/>
        <w:gridCol w:w="119"/>
        <w:gridCol w:w="268"/>
        <w:gridCol w:w="918"/>
        <w:gridCol w:w="119"/>
        <w:gridCol w:w="109"/>
        <w:gridCol w:w="109"/>
        <w:gridCol w:w="109"/>
        <w:gridCol w:w="241"/>
        <w:gridCol w:w="945"/>
        <w:gridCol w:w="113"/>
        <w:gridCol w:w="113"/>
        <w:gridCol w:w="113"/>
        <w:gridCol w:w="113"/>
        <w:gridCol w:w="241"/>
        <w:gridCol w:w="945"/>
        <w:gridCol w:w="167"/>
      </w:tblGrid>
      <w:tr>
        <w:trPr/>
        <w:tc>
          <w:tcPr>
            <w:tcW w:w="155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208,193 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supply revenue</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revenue</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royalty revenue related to the sale of future royalties</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110,329 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98,241 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282,105 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217,486 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 of revenue</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goods sold</w:t>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64,970 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250,822 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182,618 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101,679 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80,280 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299,493 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221,269 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(36,075)</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related to the sale of future royalties</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(60,230)</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(43,550)</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(61,192)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(43,781)</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of common stock - basic and diluted</w:t>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6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net loss per share - basic and diluted</w:t>
            </w:r>
          </w:p>
        </w:tc>
        <w:tc>
          <w:tcPr>
            <w:tcW w:w="119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241,908,407 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235,911,399 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240,165,744 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234,516,305 </w:t>
            </w:r>
          </w:p>
        </w:tc>
        <w:tc>
          <w:tcPr>
            <w:tcW w:w="16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loss</w:t>
            </w:r>
          </w:p>
        </w:tc>
        <w:tc>
          <w:tcPr>
            <w:tcW w:w="13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(61,192)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(43,781)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available-for-sale securities</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(61,125)</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(43,820)</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ARDELYX,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CHANGES IN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shares)</w:t>
      </w:r>
    </w:p>
    <w:tbl>
      <w:tblPr>
        <w:tblW w:w="10293" w:type="dxa"/>
        <w:jc w:val="left"/>
        <w:tblInd w:w="0" w:type="dxa"/>
        <w:tblLayout w:type="fixed"/>
        <w:tblCellMar>
          <w:top w:w="28" w:type="dxa"/>
          <w:left w:w="28" w:type="dxa"/>
          <w:bottom w:w="28" w:type="dxa"/>
          <w:right w:w="28" w:type="dxa"/>
        </w:tblCellMar>
      </w:tblPr>
      <w:tblGrid>
        <w:gridCol w:w="1014"/>
        <w:gridCol w:w="258"/>
        <w:gridCol w:w="259"/>
        <w:gridCol w:w="593"/>
        <w:gridCol w:w="593"/>
        <w:gridCol w:w="211"/>
        <w:gridCol w:w="109"/>
        <w:gridCol w:w="109"/>
        <w:gridCol w:w="109"/>
        <w:gridCol w:w="232"/>
        <w:gridCol w:w="398"/>
        <w:gridCol w:w="121"/>
        <w:gridCol w:w="109"/>
        <w:gridCol w:w="109"/>
        <w:gridCol w:w="109"/>
        <w:gridCol w:w="211"/>
        <w:gridCol w:w="976"/>
        <w:gridCol w:w="109"/>
        <w:gridCol w:w="109"/>
        <w:gridCol w:w="109"/>
        <w:gridCol w:w="109"/>
        <w:gridCol w:w="211"/>
        <w:gridCol w:w="841"/>
        <w:gridCol w:w="109"/>
        <w:gridCol w:w="109"/>
        <w:gridCol w:w="109"/>
        <w:gridCol w:w="109"/>
        <w:gridCol w:w="350"/>
        <w:gridCol w:w="774"/>
        <w:gridCol w:w="182"/>
        <w:gridCol w:w="109"/>
        <w:gridCol w:w="109"/>
        <w:gridCol w:w="109"/>
        <w:gridCol w:w="215"/>
        <w:gridCol w:w="843"/>
        <w:gridCol w:w="158"/>
      </w:tblGrid>
      <w:tr>
        <w:trPr/>
        <w:tc>
          <w:tcPr>
            <w:tcW w:w="101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2025</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Other Comprehensive (Loss)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240,765,516 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(945,563)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139,531 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162,859 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options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860,811 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1,182,652 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on available-for-sale securities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September 30, 2025</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242,971,838 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1,100,664 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(946,532)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154,280 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93" w:type="dxa"/>
        <w:jc w:val="left"/>
        <w:tblInd w:w="0" w:type="dxa"/>
        <w:tblLayout w:type="fixed"/>
        <w:tblCellMar>
          <w:top w:w="28" w:type="dxa"/>
          <w:left w:w="28" w:type="dxa"/>
          <w:bottom w:w="28" w:type="dxa"/>
          <w:right w:w="28" w:type="dxa"/>
        </w:tblCellMar>
      </w:tblPr>
      <w:tblGrid>
        <w:gridCol w:w="908"/>
        <w:gridCol w:w="311"/>
        <w:gridCol w:w="312"/>
        <w:gridCol w:w="593"/>
        <w:gridCol w:w="593"/>
        <w:gridCol w:w="211"/>
        <w:gridCol w:w="109"/>
        <w:gridCol w:w="109"/>
        <w:gridCol w:w="109"/>
        <w:gridCol w:w="232"/>
        <w:gridCol w:w="398"/>
        <w:gridCol w:w="121"/>
        <w:gridCol w:w="109"/>
        <w:gridCol w:w="109"/>
        <w:gridCol w:w="109"/>
        <w:gridCol w:w="211"/>
        <w:gridCol w:w="976"/>
        <w:gridCol w:w="109"/>
        <w:gridCol w:w="109"/>
        <w:gridCol w:w="109"/>
        <w:gridCol w:w="109"/>
        <w:gridCol w:w="211"/>
        <w:gridCol w:w="841"/>
        <w:gridCol w:w="109"/>
        <w:gridCol w:w="109"/>
        <w:gridCol w:w="109"/>
        <w:gridCol w:w="109"/>
        <w:gridCol w:w="350"/>
        <w:gridCol w:w="774"/>
        <w:gridCol w:w="182"/>
        <w:gridCol w:w="109"/>
        <w:gridCol w:w="109"/>
        <w:gridCol w:w="109"/>
        <w:gridCol w:w="215"/>
        <w:gridCol w:w="843"/>
        <w:gridCol w:w="158"/>
      </w:tblGrid>
      <w:tr>
        <w:trPr/>
        <w:tc>
          <w:tcPr>
            <w:tcW w:w="90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2025</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238,015,825 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(885,340)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173,289 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385,593 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services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87,256 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1,641,801 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2,841,363 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on available-for-sale securities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(61,192)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September 30, 2025</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242,971,838 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1,100,664 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(946,532)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154,280 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tbl>
      <w:tblPr>
        <w:tblW w:w="10293" w:type="dxa"/>
        <w:jc w:val="left"/>
        <w:tblInd w:w="0" w:type="dxa"/>
        <w:tblLayout w:type="fixed"/>
        <w:tblCellMar>
          <w:top w:w="28" w:type="dxa"/>
          <w:left w:w="28" w:type="dxa"/>
          <w:bottom w:w="28" w:type="dxa"/>
          <w:right w:w="28" w:type="dxa"/>
        </w:tblCellMar>
      </w:tblPr>
      <w:tblGrid>
        <w:gridCol w:w="1014"/>
        <w:gridCol w:w="258"/>
        <w:gridCol w:w="259"/>
        <w:gridCol w:w="593"/>
        <w:gridCol w:w="593"/>
        <w:gridCol w:w="211"/>
        <w:gridCol w:w="109"/>
        <w:gridCol w:w="109"/>
        <w:gridCol w:w="109"/>
        <w:gridCol w:w="232"/>
        <w:gridCol w:w="398"/>
        <w:gridCol w:w="121"/>
        <w:gridCol w:w="109"/>
        <w:gridCol w:w="109"/>
        <w:gridCol w:w="109"/>
        <w:gridCol w:w="211"/>
        <w:gridCol w:w="976"/>
        <w:gridCol w:w="109"/>
        <w:gridCol w:w="109"/>
        <w:gridCol w:w="109"/>
        <w:gridCol w:w="109"/>
        <w:gridCol w:w="211"/>
        <w:gridCol w:w="841"/>
        <w:gridCol w:w="109"/>
        <w:gridCol w:w="109"/>
        <w:gridCol w:w="109"/>
        <w:gridCol w:w="109"/>
        <w:gridCol w:w="344"/>
        <w:gridCol w:w="784"/>
        <w:gridCol w:w="178"/>
        <w:gridCol w:w="109"/>
        <w:gridCol w:w="109"/>
        <w:gridCol w:w="109"/>
        <w:gridCol w:w="215"/>
        <w:gridCol w:w="843"/>
        <w:gridCol w:w="158"/>
      </w:tblGrid>
      <w:tr>
        <w:trPr/>
        <w:tc>
          <w:tcPr>
            <w:tcW w:w="101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2024</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Other Comprehensive (Loss)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235,401,398 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(889,176)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146,990 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226,297 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options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663,358 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599,378 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on available-for-sale securities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September 30, 2024</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236,890,431 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1,048,073 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(889,985)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158,297 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93" w:type="dxa"/>
        <w:jc w:val="left"/>
        <w:tblInd w:w="0" w:type="dxa"/>
        <w:tblLayout w:type="fixed"/>
        <w:tblCellMar>
          <w:top w:w="28" w:type="dxa"/>
          <w:left w:w="28" w:type="dxa"/>
          <w:bottom w:w="28" w:type="dxa"/>
          <w:right w:w="28" w:type="dxa"/>
        </w:tblCellMar>
      </w:tblPr>
      <w:tblGrid>
        <w:gridCol w:w="908"/>
        <w:gridCol w:w="311"/>
        <w:gridCol w:w="312"/>
        <w:gridCol w:w="593"/>
        <w:gridCol w:w="593"/>
        <w:gridCol w:w="211"/>
        <w:gridCol w:w="109"/>
        <w:gridCol w:w="109"/>
        <w:gridCol w:w="109"/>
        <w:gridCol w:w="232"/>
        <w:gridCol w:w="398"/>
        <w:gridCol w:w="121"/>
        <w:gridCol w:w="109"/>
        <w:gridCol w:w="109"/>
        <w:gridCol w:w="109"/>
        <w:gridCol w:w="211"/>
        <w:gridCol w:w="976"/>
        <w:gridCol w:w="109"/>
        <w:gridCol w:w="109"/>
        <w:gridCol w:w="109"/>
        <w:gridCol w:w="109"/>
        <w:gridCol w:w="211"/>
        <w:gridCol w:w="841"/>
        <w:gridCol w:w="109"/>
        <w:gridCol w:w="109"/>
        <w:gridCol w:w="109"/>
        <w:gridCol w:w="109"/>
        <w:gridCol w:w="350"/>
        <w:gridCol w:w="774"/>
        <w:gridCol w:w="182"/>
        <w:gridCol w:w="109"/>
        <w:gridCol w:w="109"/>
        <w:gridCol w:w="109"/>
        <w:gridCol w:w="215"/>
        <w:gridCol w:w="843"/>
        <w:gridCol w:w="158"/>
      </w:tblGrid>
      <w:tr>
        <w:trPr/>
        <w:tc>
          <w:tcPr>
            <w:tcW w:w="90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2024</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2023</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232,453,190 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(846,204)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166,816 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479,609 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services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40,549 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2,227,627 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1,689,456 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available-for-sale securities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(43,781)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September 30, 2024</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236,890,431 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1,048,073 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(889,985)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158,297 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ARDELYX,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666"/>
        <w:gridCol w:w="2338"/>
        <w:gridCol w:w="2354"/>
        <w:gridCol w:w="230"/>
        <w:gridCol w:w="870"/>
        <w:gridCol w:w="118"/>
        <w:gridCol w:w="118"/>
        <w:gridCol w:w="118"/>
        <w:gridCol w:w="118"/>
        <w:gridCol w:w="230"/>
        <w:gridCol w:w="870"/>
        <w:gridCol w:w="175"/>
      </w:tblGrid>
      <w:tr>
        <w:trPr/>
        <w:tc>
          <w:tcPr>
            <w:tcW w:w="2666"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7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r>
      <w:tr>
        <w:trPr/>
        <w:tc>
          <w:tcPr>
            <w:tcW w:w="7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(61,192)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(43,781)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royalty revenue related to the sale of future royalties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(31,164)</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(38,174)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commercial manufacturing</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(63,434)</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(54,619)</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and redemptions of investments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120,354 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(168,060)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(96,634)</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7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2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2022 Loan Agreement, net of costs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48,668 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49,750 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735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735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735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735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735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7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under equity incentive and stock purchase plans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735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53,952 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57,276 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(decrease) increase in cash and cash equivalents</w:t>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25,959 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beginning of period</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47,429 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Supplementary disclosure of cash flow information</w:t>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Supplementary disclosure of non-cash activities</w:t>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services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8"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pPr>
      <w:r>
        <w:rPr>
          <w:rFonts w:ascii="Times New Roman;serif" w:hAnsi="Times New Roman;serif"/>
          <w:b/>
          <w:color w:val="000000"/>
          <w:sz w:val="20"/>
        </w:rPr>
        <w:t>ARDELYX, INC</w:t>
      </w:r>
      <w:r>
        <w:rPr>
          <w:rFonts w:ascii="Times New Roman;serif" w:hAnsi="Times New Roman;serif"/>
          <w:b w:val="false"/>
          <w:color w:val="000000"/>
          <w:sz w:val="20"/>
        </w:rPr>
        <w: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 NATURE OF OPERATIONS</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are a biopharmaceutical company founded with a mission to discover, develop and commercialize innovative, first-in-class medicines that meet significant unmet medical needs. We developed a unique and innovative platform that enabled the discovery of new biological mechanisms and pathways to develop potent and efficacious therapies that minimize the side effects and drug-drug interactions frequently encountered with traditional, systemically absorbed medicines. The first molecule we discovered and developed was tenapanor, a minimally absorbed, first-in-class, oral, small molecule therapy. Tenapanor, branded as IBSRELA</w:t>
      </w:r>
      <w:r>
        <w:rPr>
          <w:rFonts w:ascii="Times New Roman;serif" w:hAnsi="Times New Roman;serif"/>
          <w:b w:val="false"/>
          <w:color w:val="000000"/>
          <w:sz w:val="13"/>
        </w:rPr>
        <w:t>®</w:t>
      </w:r>
      <w:r>
        <w:rPr>
          <w:rFonts w:ascii="Times New Roman;serif" w:hAnsi="Times New Roman;serif"/>
          <w:b w:val="false"/>
          <w:color w:val="000000"/>
          <w:sz w:val="20"/>
        </w:rPr>
        <w:t>, is approved in the U.S. for the treatment of adults with IBS-C. Tenapanor, branded as XPHOZAH</w:t>
      </w:r>
      <w:r>
        <w:rPr>
          <w:rFonts w:ascii="Times New Roman;serif" w:hAnsi="Times New Roman;serif"/>
          <w:b w:val="false"/>
          <w:color w:val="000000"/>
          <w:sz w:val="13"/>
        </w:rPr>
        <w:t>®</w:t>
      </w:r>
      <w:r>
        <w:rPr>
          <w:rFonts w:ascii="Times New Roman;serif" w:hAnsi="Times New Roman;serif"/>
          <w:b w:val="false"/>
          <w:color w:val="000000"/>
          <w:sz w:val="20"/>
        </w:rPr>
        <w:t>, is approved in the U.S. to reduce serum phosphorus in adults with CKD on dialysis as add-on therapy in patients who have an inadequate response to phosphate binders or who are intolerant of any dose of phosphate binder therapy.</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operate in one business segment, which is the development and commercialization of biopharmaceutical products. Refer to </w:t>
      </w:r>
      <w:r>
        <w:rPr>
          <w:rFonts w:ascii="Times New Roman;serif" w:hAnsi="Times New Roman;serif"/>
          <w:b w:val="false"/>
          <w:i/>
          <w:color w:val="000000"/>
          <w:sz w:val="20"/>
        </w:rPr>
        <w:t>Note 12. Segment Reporting</w:t>
      </w:r>
      <w:r>
        <w:rPr>
          <w:color w:val="000000"/>
        </w:rPr>
        <w:t xml:space="preserve"> </w:t>
      </w:r>
      <w:r>
        <w:rPr>
          <w:rFonts w:ascii="Times New Roman;serif" w:hAnsi="Times New Roman;serif"/>
          <w:b w:val="false"/>
          <w:color w:val="000000"/>
          <w:sz w:val="20"/>
        </w:rPr>
        <w:t>for further discussion on our segment reporting.</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condensed financial statements have been prepared in accordance with U.S. GAAP and pursuant to the requirements of the SEC for interim reporting. As permitted under those rules and regulations, certain footnotes or other financial information that are normally required by U.S. GAAP have been condensed or omitted. These condensed financial statements have been prepared on the same basis as our most recent annual financial statements and, in the opinion of management, reflect all normal and recurring adjustments necessary to present fairly our financial position, results of operations, changes in stockholders’ equity and cash flows for the interim periods presented.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financial statements and related financial information should be read in conjunction with the audited financial statements and the related notes thereto included in our 2024 Form 10-K. The results for the three and nine months ended September 30, 2025 are not necessarily indicative of results to be expected for the entire year ending December 31, 2025, or for any other interim period or future year.</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Refer to the </w:t>
      </w:r>
      <w:r>
        <w:rPr>
          <w:rFonts w:ascii="Times New Roman;serif" w:hAnsi="Times New Roman;serif"/>
          <w:b w:val="false"/>
          <w:i/>
          <w:color w:val="000000"/>
          <w:sz w:val="20"/>
        </w:rPr>
        <w:t>Summary of Abbreviated Terms</w:t>
      </w:r>
      <w:r>
        <w:rPr>
          <w:color w:val="000000"/>
        </w:rPr>
        <w:t xml:space="preserve"> </w:t>
      </w:r>
      <w:r>
        <w:rPr>
          <w:rFonts w:ascii="Times New Roman;serif" w:hAnsi="Times New Roman;serif"/>
          <w:b w:val="false"/>
          <w:color w:val="000000"/>
          <w:sz w:val="20"/>
        </w:rPr>
        <w:t>at the end of this Quarterly Report on Form 10-Q for definitions of terms used throughout the document.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requires management to make estimates, judgments and assumptions. The most significant assumptions are estimates used in our revenue gross-to-net accruals and other assumptions. Management bases its estimates on historical experience and on various other market-specific and relevant assumptions that management believes to be reasonable under the circumstances. Actual results could materially differ from those estimates.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 Not Yet Adopted</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December 2023, the FASB issued ASU No. 2023-09, Income Taxes (Topic 740) - </w:t>
      </w:r>
      <w:r>
        <w:rPr>
          <w:rFonts w:ascii="Times New Roman;serif" w:hAnsi="Times New Roman;serif"/>
          <w:b w:val="false"/>
          <w:i/>
          <w:color w:val="000000"/>
          <w:sz w:val="20"/>
        </w:rPr>
        <w:t>Improvements to Income Tax Disclosures</w:t>
      </w:r>
      <w:r>
        <w:rPr>
          <w:rFonts w:ascii="Times New Roman;serif" w:hAnsi="Times New Roman;serif"/>
          <w:b w:val="false"/>
          <w:color w:val="000000"/>
          <w:sz w:val="20"/>
        </w:rPr>
        <w:t>. The ASU provides additional transparency within the income tax disclosures, primarily related to the rate reconciliation and income taxes paid information. The Company anticipates that the adoption of ASU 2023-09 will result in modifications to its income tax disclosures, including an enhanced effective tax rate reconciliation using both percentages and currency amounts, broken out into defined categories, with certain reconciling items further disaggregated by nature and jurisdiction to the extent those items exceed a specified threshold. In addition, the Company will disclose income taxes paid, net of refunds received disaggregated by jurisdiction if the amount is at least five percent of total income taxes paid, net of refunds received. The new disclosure requirements will be included in the Company’s Form 10-K for the fiscal year ending December 31, 2025 and will be applied retrospectively.</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November 2024, the FASB issued ASU No. 2024-03, Income Statement (Topic 220) - </w:t>
      </w:r>
      <w:r>
        <w:rPr>
          <w:rFonts w:ascii="Times New Roman;serif" w:hAnsi="Times New Roman;serif"/>
          <w:b w:val="false"/>
          <w:i/>
          <w:color w:val="000000"/>
          <w:sz w:val="20"/>
        </w:rPr>
        <w:t>Reporting Comprehensive Income - Expense Disaggregation Disclosures, Disaggregation of Income Statement Expenses</w:t>
      </w:r>
      <w:r>
        <w:rPr>
          <w:rFonts w:ascii="Times New Roman;serif" w:hAnsi="Times New Roman;serif"/>
          <w:b w:val="false"/>
          <w:color w:val="000000"/>
          <w:sz w:val="20"/>
        </w:rPr>
        <w:t>, which requires public companies to disclose, in interim and annual reporting periods, additional information about certain expenses in the financial statements. The new disclosure requirements are effective for the Company’s annual periods beginning January 1, 2027, and interim periods beginning January 1, 2028, with early adoption permitted, and may be applied either prospectively or retrospectively. The Company is in the process of evaluating the impact of this new guidance on its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2. CASH, CASH EQUIVALENTS AND SHORT-TERM 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cash equivalents and short-term investments:</w:t>
      </w:r>
    </w:p>
    <w:tbl>
      <w:tblPr>
        <w:tblW w:w="11923" w:type="dxa"/>
        <w:jc w:val="center"/>
        <w:tblInd w:w="0" w:type="dxa"/>
        <w:tblLayout w:type="fixed"/>
        <w:tblCellMar>
          <w:top w:w="28" w:type="dxa"/>
          <w:left w:w="28" w:type="dxa"/>
          <w:bottom w:w="28" w:type="dxa"/>
          <w:right w:w="28" w:type="dxa"/>
        </w:tblCellMar>
      </w:tblPr>
      <w:tblGrid>
        <w:gridCol w:w="978"/>
        <w:gridCol w:w="696"/>
        <w:gridCol w:w="307"/>
        <w:gridCol w:w="211"/>
        <w:gridCol w:w="826"/>
        <w:gridCol w:w="109"/>
        <w:gridCol w:w="109"/>
        <w:gridCol w:w="109"/>
        <w:gridCol w:w="109"/>
        <w:gridCol w:w="211"/>
        <w:gridCol w:w="466"/>
        <w:gridCol w:w="109"/>
        <w:gridCol w:w="109"/>
        <w:gridCol w:w="109"/>
        <w:gridCol w:w="109"/>
        <w:gridCol w:w="211"/>
        <w:gridCol w:w="406"/>
        <w:gridCol w:w="109"/>
        <w:gridCol w:w="109"/>
        <w:gridCol w:w="109"/>
        <w:gridCol w:w="109"/>
        <w:gridCol w:w="211"/>
        <w:gridCol w:w="826"/>
        <w:gridCol w:w="109"/>
        <w:gridCol w:w="109"/>
        <w:gridCol w:w="109"/>
        <w:gridCol w:w="109"/>
        <w:gridCol w:w="211"/>
        <w:gridCol w:w="826"/>
        <w:gridCol w:w="109"/>
        <w:gridCol w:w="109"/>
        <w:gridCol w:w="109"/>
        <w:gridCol w:w="109"/>
        <w:gridCol w:w="211"/>
        <w:gridCol w:w="466"/>
        <w:gridCol w:w="109"/>
        <w:gridCol w:w="109"/>
        <w:gridCol w:w="109"/>
        <w:gridCol w:w="109"/>
        <w:gridCol w:w="211"/>
        <w:gridCol w:w="406"/>
        <w:gridCol w:w="109"/>
        <w:gridCol w:w="109"/>
        <w:gridCol w:w="109"/>
        <w:gridCol w:w="109"/>
        <w:gridCol w:w="211"/>
        <w:gridCol w:w="826"/>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government-sponsored agency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Yankee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Realized gains or losses have not been significant and are included in other income, net, in the condensed statements of operations and comprehensive loss.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Unrealized losses as of September 30, 2025 and December 31, 2024 were not material. All of the short-term available-for-sale securities held as of September 30, 2025 and December 31, 2024 had contractual maturities of less than one year. We determined that none of our available-for-sale securities were other-than-temporarily impaired as of September 30, 2025 and December 31, 2024, and no investment was in a continuous unrealized loss position for more than one year. Therefore, we believe that it is more likely than not that the investments will be held until maturity or a forecasted recovery of fair value.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Based on our procedures under the expected credit loss model, including an assessment of unrealized losses in our portfolio, we concluded that any unrealized losses on our marketable securities were not attributable to credit and, therefore, we have not recorded an allowance for credit losses for these securities as of September 30, 2025 and December 31, 2024.</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See “Cash and Cash Equivalents” and “Short-Term Investments” captions of </w:t>
      </w:r>
      <w:r>
        <w:rPr>
          <w:rFonts w:ascii="Times New Roman;serif" w:hAnsi="Times New Roman;serif"/>
          <w:b w:val="false"/>
          <w:i/>
          <w:color w:val="000000"/>
          <w:sz w:val="20"/>
        </w:rPr>
        <w:t>Note 2. Summary of Significant Accounting Policies</w:t>
      </w:r>
      <w:r>
        <w:rPr>
          <w:color w:val="000000"/>
        </w:rPr>
        <w:t xml:space="preserve"> </w:t>
      </w:r>
      <w:r>
        <w:rPr>
          <w:rFonts w:ascii="Times New Roman;serif" w:hAnsi="Times New Roman;serif"/>
          <w:b w:val="false"/>
          <w:color w:val="000000"/>
          <w:sz w:val="20"/>
        </w:rPr>
        <w:t>of our 2024 Form 10-K for more information on our accounting policies for cash, cash equivalents and short-term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3. FAIR VALUE MEASUREMENTS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Valuation techniques used to measure fair value must maximize the use of observable inputs and minimize the use of unobservable inputs. The three-level hierarchy for the inputs to valuation techniques is briefly summarized as follows:</w:t>
      </w:r>
    </w:p>
    <w:tbl>
      <w:tblPr>
        <w:tblW w:w="10205" w:type="dxa"/>
        <w:jc w:val="left"/>
        <w:tblInd w:w="0" w:type="dxa"/>
        <w:tblLayout w:type="fixed"/>
        <w:tblCellMar>
          <w:top w:w="28" w:type="dxa"/>
          <w:left w:w="28" w:type="dxa"/>
          <w:bottom w:w="28" w:type="dxa"/>
          <w:right w:w="28" w:type="dxa"/>
        </w:tblCellMar>
      </w:tblPr>
      <w:tblGrid>
        <w:gridCol w:w="246"/>
        <w:gridCol w:w="216"/>
        <w:gridCol w:w="218"/>
        <w:gridCol w:w="2885"/>
        <w:gridCol w:w="2743"/>
        <w:gridCol w:w="3897"/>
      </w:tblGrid>
      <w:tr>
        <w:trPr/>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3897"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1 –</w:t>
            </w:r>
          </w:p>
        </w:tc>
        <w:tc>
          <w:tcPr>
            <w:tcW w:w="9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Valuations are based on quoted prices in active markets for identical assets or liabilities and readily accessible by us at the reporting date.</w:t>
            </w:r>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2 –</w:t>
            </w:r>
          </w:p>
        </w:tc>
        <w:tc>
          <w:tcPr>
            <w:tcW w:w="9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Valuations based 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3 –</w:t>
            </w:r>
          </w:p>
        </w:tc>
        <w:tc>
          <w:tcPr>
            <w:tcW w:w="9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Valuations based on unobservable inputs for which there is little or no market data, which require us to develop our own assumptions.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fair value of our financial assets that are measured or disclosed on a recurring basis by level within the fair value hierarchy:</w:t>
      </w:r>
    </w:p>
    <w:tbl>
      <w:tblPr>
        <w:tblW w:w="12433" w:type="dxa"/>
        <w:jc w:val="center"/>
        <w:tblInd w:w="0" w:type="dxa"/>
        <w:tblLayout w:type="fixed"/>
        <w:tblCellMar>
          <w:top w:w="28" w:type="dxa"/>
          <w:left w:w="28" w:type="dxa"/>
          <w:bottom w:w="28" w:type="dxa"/>
          <w:right w:w="28" w:type="dxa"/>
        </w:tblCellMar>
      </w:tblPr>
      <w:tblGrid>
        <w:gridCol w:w="760"/>
        <w:gridCol w:w="608"/>
        <w:gridCol w:w="613"/>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406"/>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government-sponsored agency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Yankee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9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Fair Value of Debt</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 principal outstanding under our 2022 Loan Agreement is subject to a variable interest rate and therefore, we believe the carrying amount of the term loan approximates fair value as of September 30, 2025 and December 31, 2024. See </w:t>
      </w:r>
      <w:r>
        <w:rPr>
          <w:rFonts w:ascii="Times New Roman;serif" w:hAnsi="Times New Roman;serif"/>
          <w:b w:val="false"/>
          <w:i/>
          <w:color w:val="000000"/>
          <w:sz w:val="20"/>
        </w:rPr>
        <w:t>Note 8. Borrowing</w:t>
      </w:r>
      <w:r>
        <w:rPr>
          <w:color w:val="000000"/>
        </w:rPr>
        <w:t xml:space="preserve"> </w:t>
      </w:r>
      <w:r>
        <w:rPr>
          <w:rFonts w:ascii="Times New Roman;serif" w:hAnsi="Times New Roman;serif"/>
          <w:b w:val="false"/>
          <w:color w:val="000000"/>
          <w:sz w:val="20"/>
        </w:rPr>
        <w:t>for a description of the Level 2 inputs used to estimate the fair value of the liability.</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 carrying value of the deferred royalty obligation related to the sale of future royalties approximates its fair value as of September 30, 2025 and December 31, 2024 and is based on our current estimates of future royalties and commercialization milestones expected to be paid to us by Kyowa Kirin over the life of the agreement. See </w:t>
      </w:r>
      <w:r>
        <w:rPr>
          <w:rFonts w:ascii="Times New Roman;serif" w:hAnsi="Times New Roman;serif"/>
          <w:b w:val="false"/>
          <w:i/>
          <w:color w:val="000000"/>
          <w:sz w:val="20"/>
        </w:rPr>
        <w:t>Note 7. Deferred Royalty Obligation Related to the Sale of Future Royalties</w:t>
      </w:r>
      <w:r>
        <w:rPr>
          <w:color w:val="000000"/>
        </w:rPr>
        <w:t xml:space="preserve"> </w:t>
      </w:r>
      <w:r>
        <w:rPr>
          <w:rFonts w:ascii="Times New Roman;serif" w:hAnsi="Times New Roman;serif"/>
          <w:b w:val="false"/>
          <w:color w:val="000000"/>
          <w:sz w:val="20"/>
        </w:rPr>
        <w:t>for a description of the Level 3 inputs used to estimate the fair value of the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4. INVENTORY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Inventory consisted of the following: </w:t>
      </w:r>
    </w:p>
    <w:tbl>
      <w:tblPr>
        <w:tblW w:w="5470" w:type="dxa"/>
        <w:jc w:val="center"/>
        <w:tblInd w:w="0" w:type="dxa"/>
        <w:tblLayout w:type="fixed"/>
        <w:tblCellMar>
          <w:top w:w="28" w:type="dxa"/>
          <w:left w:w="28" w:type="dxa"/>
          <w:bottom w:w="28" w:type="dxa"/>
          <w:right w:w="28" w:type="dxa"/>
        </w:tblCellMar>
      </w:tblPr>
      <w:tblGrid>
        <w:gridCol w:w="706"/>
        <w:gridCol w:w="621"/>
        <w:gridCol w:w="622"/>
        <w:gridCol w:w="295"/>
        <w:gridCol w:w="1157"/>
        <w:gridCol w:w="152"/>
        <w:gridCol w:w="109"/>
        <w:gridCol w:w="109"/>
        <w:gridCol w:w="109"/>
        <w:gridCol w:w="309"/>
        <w:gridCol w:w="1056"/>
        <w:gridCol w:w="225"/>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92,957 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58,685 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129,358 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91,184 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as</w:t>
            </w:r>
          </w:p>
        </w:tc>
        <w:tc>
          <w:tcPr>
            <w:tcW w:w="16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non-current</w:t>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104,186 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70,011 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129,358 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91,184 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Prepaid commercial manufacturing with third-party CMOs not included in inventory was $8.1 million and $16.4 million as of September 30, 2025 and December 31, 2024, respectively. There were no prepayments expected to be converted into inventory after 12 months as of September 30,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5.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Disaggregation of total revenues by nature is as follows:</w:t>
      </w:r>
    </w:p>
    <w:tbl>
      <w:tblPr>
        <w:tblW w:w="10205" w:type="dxa"/>
        <w:jc w:val="left"/>
        <w:tblInd w:w="0" w:type="dxa"/>
        <w:tblLayout w:type="fixed"/>
        <w:tblCellMar>
          <w:top w:w="28" w:type="dxa"/>
          <w:left w:w="28" w:type="dxa"/>
          <w:bottom w:w="28" w:type="dxa"/>
          <w:right w:w="28" w:type="dxa"/>
        </w:tblCellMar>
      </w:tblPr>
      <w:tblGrid>
        <w:gridCol w:w="1446"/>
        <w:gridCol w:w="1271"/>
        <w:gridCol w:w="1273"/>
        <w:gridCol w:w="247"/>
        <w:gridCol w:w="969"/>
        <w:gridCol w:w="127"/>
        <w:gridCol w:w="127"/>
        <w:gridCol w:w="127"/>
        <w:gridCol w:w="127"/>
        <w:gridCol w:w="247"/>
        <w:gridCol w:w="846"/>
        <w:gridCol w:w="127"/>
        <w:gridCol w:w="109"/>
        <w:gridCol w:w="109"/>
        <w:gridCol w:w="109"/>
        <w:gridCol w:w="232"/>
        <w:gridCol w:w="911"/>
        <w:gridCol w:w="119"/>
        <w:gridCol w:w="119"/>
        <w:gridCol w:w="119"/>
        <w:gridCol w:w="119"/>
        <w:gridCol w:w="232"/>
        <w:gridCol w:w="911"/>
        <w:gridCol w:w="182"/>
      </w:tblGrid>
      <w:tr>
        <w:trPr/>
        <w:tc>
          <w:tcPr>
            <w:tcW w:w="144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105,515 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92,090 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263,406 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208,193 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supply revenue</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revenue</w:t>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royalty revenue related to the sale of future royalties</w:t>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110,329 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98,241 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282,105 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217,486 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Product Sales,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product sales, net was as follows:</w:t>
      </w:r>
    </w:p>
    <w:tbl>
      <w:tblPr>
        <w:tblW w:w="10205" w:type="dxa"/>
        <w:jc w:val="center"/>
        <w:tblInd w:w="0" w:type="dxa"/>
        <w:tblLayout w:type="fixed"/>
        <w:tblCellMar>
          <w:top w:w="28" w:type="dxa"/>
          <w:left w:w="28" w:type="dxa"/>
          <w:bottom w:w="28" w:type="dxa"/>
          <w:right w:w="28" w:type="dxa"/>
        </w:tblCellMar>
      </w:tblPr>
      <w:tblGrid>
        <w:gridCol w:w="1368"/>
        <w:gridCol w:w="1195"/>
        <w:gridCol w:w="1197"/>
        <w:gridCol w:w="229"/>
        <w:gridCol w:w="896"/>
        <w:gridCol w:w="294"/>
        <w:gridCol w:w="117"/>
        <w:gridCol w:w="117"/>
        <w:gridCol w:w="117"/>
        <w:gridCol w:w="229"/>
        <w:gridCol w:w="782"/>
        <w:gridCol w:w="294"/>
        <w:gridCol w:w="109"/>
        <w:gridCol w:w="109"/>
        <w:gridCol w:w="109"/>
        <w:gridCol w:w="214"/>
        <w:gridCol w:w="839"/>
        <w:gridCol w:w="275"/>
        <w:gridCol w:w="110"/>
        <w:gridCol w:w="110"/>
        <w:gridCol w:w="110"/>
        <w:gridCol w:w="214"/>
        <w:gridCol w:w="839"/>
        <w:gridCol w:w="332"/>
      </w:tblGrid>
      <w:tr>
        <w:trPr/>
        <w:tc>
          <w:tcPr>
            <w:tcW w:w="136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7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14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IBSRELA</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78,158 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40,638 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187,606 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104,444 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XPHOZAH</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27,357 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51,452 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75,800 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103,749 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sales, net</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105,515 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92,090 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263,406 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208,193 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 sales, net as a percentage of total revenues</w:t>
            </w:r>
          </w:p>
        </w:tc>
        <w:tc>
          <w:tcPr>
            <w:tcW w:w="112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2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2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27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3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Concentrations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product sales from Customers accounting for more than 10% of total revenues were as follows:</w:t>
      </w:r>
    </w:p>
    <w:tbl>
      <w:tblPr>
        <w:tblW w:w="10205" w:type="dxa"/>
        <w:jc w:val="center"/>
        <w:tblInd w:w="0" w:type="dxa"/>
        <w:tblLayout w:type="fixed"/>
        <w:tblCellMar>
          <w:top w:w="28" w:type="dxa"/>
          <w:left w:w="28" w:type="dxa"/>
          <w:bottom w:w="28" w:type="dxa"/>
          <w:right w:w="28" w:type="dxa"/>
        </w:tblCellMar>
      </w:tblPr>
      <w:tblGrid>
        <w:gridCol w:w="1522"/>
        <w:gridCol w:w="1339"/>
        <w:gridCol w:w="1278"/>
        <w:gridCol w:w="260"/>
        <w:gridCol w:w="258"/>
        <w:gridCol w:w="568"/>
        <w:gridCol w:w="228"/>
        <w:gridCol w:w="228"/>
        <w:gridCol w:w="228"/>
        <w:gridCol w:w="260"/>
        <w:gridCol w:w="258"/>
        <w:gridCol w:w="568"/>
        <w:gridCol w:w="109"/>
        <w:gridCol w:w="109"/>
        <w:gridCol w:w="109"/>
        <w:gridCol w:w="292"/>
        <w:gridCol w:w="239"/>
        <w:gridCol w:w="539"/>
        <w:gridCol w:w="216"/>
        <w:gridCol w:w="216"/>
        <w:gridCol w:w="216"/>
        <w:gridCol w:w="292"/>
        <w:gridCol w:w="239"/>
        <w:gridCol w:w="634"/>
      </w:tblGrid>
      <w:tr>
        <w:trPr/>
        <w:tc>
          <w:tcPr>
            <w:tcW w:w="1522"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Customers</w:t>
            </w:r>
            <w:r>
              <w:rPr>
                <w:rFonts w:ascii="Times New Roman;serif" w:hAnsi="Times New Roman;serif"/>
                <w:b w:val="false"/>
                <w:color w:val="000000"/>
                <w:sz w:val="13"/>
              </w:rPr>
              <w:t>(1)</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BioRidge Pharma, LLC</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Cardinal Health</w:t>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McKesson Corporation</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Cencora (formerly AmerisourceBergen Drug Corporation)</w:t>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Times New Roman;serif" w:hAnsi="Times New Roman;serif"/>
          <w:b w:val="false"/>
          <w:color w:val="000000"/>
          <w:sz w:val="10"/>
        </w:rPr>
        <w:t>(1)</w:t>
      </w:r>
      <w:r>
        <w:rPr>
          <w:rFonts w:ascii="Times New Roman;serif" w:hAnsi="Times New Roman;serif"/>
          <w:b w:val="false"/>
          <w:color w:val="000000"/>
          <w:sz w:val="16"/>
        </w:rPr>
        <w:t>The total of the above percentages exceeds 100% as the numerators used in the calculations represent gross product sales for each Customer, as opposed to product sales, net as presented in our condensed statements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GTN Adjustments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activities and ending reserve balances for each significant category of GTN adjustments on product sales, net, which constitute variable consideration, were as follows:</w:t>
      </w:r>
    </w:p>
    <w:tbl>
      <w:tblPr>
        <w:tblW w:w="10205" w:type="dxa"/>
        <w:jc w:val="center"/>
        <w:tblInd w:w="0" w:type="dxa"/>
        <w:tblLayout w:type="fixed"/>
        <w:tblCellMar>
          <w:top w:w="28" w:type="dxa"/>
          <w:left w:w="28" w:type="dxa"/>
          <w:bottom w:w="28" w:type="dxa"/>
          <w:right w:w="28" w:type="dxa"/>
        </w:tblCellMar>
      </w:tblPr>
      <w:tblGrid>
        <w:gridCol w:w="767"/>
        <w:gridCol w:w="651"/>
        <w:gridCol w:w="654"/>
        <w:gridCol w:w="429"/>
        <w:gridCol w:w="1256"/>
        <w:gridCol w:w="222"/>
        <w:gridCol w:w="109"/>
        <w:gridCol w:w="109"/>
        <w:gridCol w:w="109"/>
        <w:gridCol w:w="446"/>
        <w:gridCol w:w="1525"/>
        <w:gridCol w:w="230"/>
        <w:gridCol w:w="109"/>
        <w:gridCol w:w="109"/>
        <w:gridCol w:w="109"/>
        <w:gridCol w:w="395"/>
        <w:gridCol w:w="1353"/>
        <w:gridCol w:w="204"/>
        <w:gridCol w:w="109"/>
        <w:gridCol w:w="109"/>
        <w:gridCol w:w="109"/>
        <w:gridCol w:w="211"/>
        <w:gridCol w:w="721"/>
        <w:gridCol w:w="160"/>
      </w:tblGrid>
      <w:tr>
        <w:trPr/>
        <w:tc>
          <w:tcPr>
            <w:tcW w:w="76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9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Discounts and Chargebacks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Rebates, Wholesaler and GPO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Copay Assistance and Returns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14,475 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Provisions</w:t>
            </w:r>
            <w:r>
              <w:rPr>
                <w:rFonts w:ascii="Times New Roman;serif" w:hAnsi="Times New Roman;serif"/>
                <w:b w:val="false"/>
                <w:color w:val="000000"/>
                <w:sz w:val="13"/>
              </w:rPr>
              <w:t>(1)</w:t>
            </w:r>
          </w:p>
        </w:tc>
        <w:tc>
          <w:tcPr>
            <w:tcW w:w="1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Credits/payments</w:t>
            </w:r>
          </w:p>
        </w:tc>
        <w:tc>
          <w:tcPr>
            <w:tcW w:w="1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(15,615)</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(59,740)</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(100,745)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29,630 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11,709 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43,193 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Provisions included approximately $3.8 million of favorable adjustment in the 2025 first quarter, resulting from changes in prior periods’ estimated product returns for XPHOZAH.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6. COLLABORATION AND LICENSING AGREEMENTS </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out-license to external partners for the development and commercialization of tenapanor outside of the U.S. We recognize revenue from our agreements with Kyowa Kirin, Fosun Pharma and Knight as licensing revenue, product supply revenue or non-cash royalty revenue related to the sale of future royalties. See </w:t>
      </w:r>
      <w:r>
        <w:rPr>
          <w:rFonts w:ascii="Times New Roman;serif" w:hAnsi="Times New Roman;serif"/>
          <w:b w:val="false"/>
          <w:i/>
          <w:color w:val="000000"/>
          <w:sz w:val="20"/>
        </w:rPr>
        <w:t xml:space="preserve">Note 7. Collaboration and Licensing Agreements </w:t>
      </w:r>
      <w:r>
        <w:rPr>
          <w:rFonts w:ascii="Times New Roman;serif" w:hAnsi="Times New Roman;serif"/>
          <w:b w:val="false"/>
          <w:color w:val="000000"/>
          <w:sz w:val="20"/>
        </w:rPr>
        <w:t xml:space="preserve">and “Licensing Revenue Recognition” caption of </w:t>
      </w:r>
      <w:r>
        <w:rPr>
          <w:rFonts w:ascii="Times New Roman;serif" w:hAnsi="Times New Roman;serif"/>
          <w:b w:val="false"/>
          <w:i/>
          <w:color w:val="000000"/>
          <w:sz w:val="20"/>
        </w:rPr>
        <w:t>Note 2. Summary of Significant Accounting Policies</w:t>
      </w:r>
      <w:r>
        <w:rPr>
          <w:color w:val="000000"/>
        </w:rPr>
        <w:t xml:space="preserve"> </w:t>
      </w:r>
      <w:r>
        <w:rPr>
          <w:rFonts w:ascii="Times New Roman;serif" w:hAnsi="Times New Roman;serif"/>
          <w:b w:val="false"/>
          <w:color w:val="000000"/>
          <w:sz w:val="20"/>
        </w:rPr>
        <w:t>of our 2024 Form 10-K for more information on the nature, purpose, significant rights and obligations of the parties, as well as our accounting policies for such revenue streams.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total revenues by collaboration partner:</w:t>
      </w:r>
    </w:p>
    <w:tbl>
      <w:tblPr>
        <w:tblW w:w="10205" w:type="dxa"/>
        <w:jc w:val="center"/>
        <w:tblInd w:w="0" w:type="dxa"/>
        <w:tblLayout w:type="fixed"/>
        <w:tblCellMar>
          <w:top w:w="28" w:type="dxa"/>
          <w:left w:w="28" w:type="dxa"/>
          <w:bottom w:w="28" w:type="dxa"/>
          <w:right w:w="28" w:type="dxa"/>
        </w:tblCellMar>
      </w:tblPr>
      <w:tblGrid>
        <w:gridCol w:w="1497"/>
        <w:gridCol w:w="1319"/>
        <w:gridCol w:w="1321"/>
        <w:gridCol w:w="277"/>
        <w:gridCol w:w="811"/>
        <w:gridCol w:w="143"/>
        <w:gridCol w:w="143"/>
        <w:gridCol w:w="143"/>
        <w:gridCol w:w="143"/>
        <w:gridCol w:w="277"/>
        <w:gridCol w:w="811"/>
        <w:gridCol w:w="143"/>
        <w:gridCol w:w="109"/>
        <w:gridCol w:w="109"/>
        <w:gridCol w:w="109"/>
        <w:gridCol w:w="267"/>
        <w:gridCol w:w="782"/>
        <w:gridCol w:w="137"/>
        <w:gridCol w:w="137"/>
        <w:gridCol w:w="137"/>
        <w:gridCol w:w="137"/>
        <w:gridCol w:w="267"/>
        <w:gridCol w:w="782"/>
        <w:gridCol w:w="204"/>
      </w:tblGrid>
      <w:tr>
        <w:trPr/>
        <w:tc>
          <w:tcPr>
            <w:tcW w:w="149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4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revenue</w:t>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Fosun Pharma</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Knight </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licensing revenue</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supply revenue</w:t>
            </w:r>
          </w:p>
        </w:tc>
        <w:tc>
          <w:tcPr>
            <w:tcW w:w="123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Kyowa Kirin</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Knight</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supply revenue</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7,461 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royalty revenue related to the sale of future royalties</w:t>
            </w:r>
          </w:p>
        </w:tc>
        <w:tc>
          <w:tcPr>
            <w:tcW w:w="123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Kyowa Kirin</w:t>
            </w:r>
          </w:p>
        </w:tc>
        <w:tc>
          <w:tcPr>
            <w:tcW w:w="27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4,789 </w:t>
            </w:r>
          </w:p>
        </w:tc>
        <w:tc>
          <w:tcPr>
            <w:tcW w:w="14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4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7,195 </w:t>
            </w:r>
          </w:p>
        </w:tc>
        <w:tc>
          <w:tcPr>
            <w:tcW w:w="13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20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changes in our current and non-current deferred revenue balances, which are primarily attributable to Kyowa Kirin:</w:t>
      </w:r>
    </w:p>
    <w:tbl>
      <w:tblPr>
        <w:tblW w:w="10205" w:type="dxa"/>
        <w:jc w:val="center"/>
        <w:tblInd w:w="0" w:type="dxa"/>
        <w:tblLayout w:type="fixed"/>
        <w:tblCellMar>
          <w:top w:w="28" w:type="dxa"/>
          <w:left w:w="28" w:type="dxa"/>
          <w:bottom w:w="28" w:type="dxa"/>
          <w:right w:w="28" w:type="dxa"/>
        </w:tblCellMar>
      </w:tblPr>
      <w:tblGrid>
        <w:gridCol w:w="1700"/>
        <w:gridCol w:w="1489"/>
        <w:gridCol w:w="1492"/>
        <w:gridCol w:w="384"/>
        <w:gridCol w:w="337"/>
        <w:gridCol w:w="339"/>
        <w:gridCol w:w="109"/>
        <w:gridCol w:w="109"/>
        <w:gridCol w:w="109"/>
        <w:gridCol w:w="583"/>
        <w:gridCol w:w="337"/>
        <w:gridCol w:w="339"/>
        <w:gridCol w:w="109"/>
        <w:gridCol w:w="109"/>
        <w:gridCol w:w="109"/>
        <w:gridCol w:w="384"/>
        <w:gridCol w:w="284"/>
        <w:gridCol w:w="287"/>
        <w:gridCol w:w="109"/>
        <w:gridCol w:w="109"/>
        <w:gridCol w:w="109"/>
        <w:gridCol w:w="547"/>
        <w:gridCol w:w="298"/>
        <w:gridCol w:w="424"/>
      </w:tblGrid>
      <w:tr>
        <w:trPr/>
        <w:tc>
          <w:tcPr>
            <w:tcW w:w="1700"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4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Non-Current</w:t>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revenue balance as of January 1,</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8,644</w:t>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product supply</w:t>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8,212</w:t>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supply delivered</w:t>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Reclassify amounts to be recognized in the next twelve months</w:t>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w:t>
            </w:r>
          </w:p>
        </w:tc>
      </w:tr>
      <w:tr>
        <w:trPr/>
        <w:tc>
          <w:tcPr>
            <w:tcW w:w="4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balance as of September 30,</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12,770</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Significant developments and updates related to our collaboration and licensing agreements in the nine months ended September 30, 2025 and 2024 are discussed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Kyowa Kirin</w:t>
      </w:r>
    </w:p>
    <w:p>
      <w:pPr>
        <w:pStyle w:val="TextBody"/>
        <w:bidi w:val="0"/>
        <w:spacing w:lineRule="auto" w:line="288" w:before="0" w:after="180"/>
        <w:ind w:left="0" w:right="0" w:firstLine="360"/>
        <w:jc w:val="left"/>
        <w:rPr/>
      </w:pPr>
      <w:r>
        <w:rPr>
          <w:rFonts w:ascii="Times New Roman;serif" w:hAnsi="Times New Roman;serif"/>
          <w:b w:val="false"/>
          <w:color w:val="000000"/>
          <w:sz w:val="20"/>
        </w:rPr>
        <w:t>In February 2024, Kyowa Kirin announced the launch of tenapanor, marketed as PHOZEVEL</w:t>
      </w:r>
      <w:r>
        <w:rPr>
          <w:rFonts w:ascii="Times New Roman;serif" w:hAnsi="Times New Roman;serif"/>
          <w:b w:val="false"/>
          <w:color w:val="000000"/>
          <w:sz w:val="13"/>
        </w:rPr>
        <w:t>®</w:t>
      </w:r>
      <w:r>
        <w:rPr>
          <w:rFonts w:ascii="Times New Roman;serif" w:hAnsi="Times New Roman;serif"/>
          <w:b w:val="false"/>
          <w:color w:val="000000"/>
          <w:sz w:val="20"/>
        </w:rPr>
        <w:t>, for patients with CKD with hyperphosphatemia in Japan. Following the launch, we began to recognize earned royalties and commercialization milestones from sales of tenapanor in Japan, which are remitted to HCR in accordance with the HCR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first commercialization milestone was achieved in the 2025 third quarter, triggering a ¥500.0 million payment to us under the terms of the Kyowa Kirin Agreement, or approximately $3.4 million at the currency exchange rate as of September 30, 2025. This milestone was recorded as non-cash royalty revenue related to the sale of future royalties and will be remitted to HCR upon receipt.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Fosun Pharma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February 2025, we announced the approval of an NDA for tenapanor for the control of hyperphosphatemia in adult patients with CKD undergoing hemodialysis by China’s Center for Drug Evaluation of the NMPA. This approval triggered a $5.0 million milestone to us under the terms of the Fosun Agreement, which was recorded as licensing revenue on our condensed statement of operations and comprehensive loss when earned during the 2025 first quarter and was received in April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AstraZeneca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AstraZeneca Termination Agreement, we recognized royalty expense as other cost of revenue in our condensed statements of operations and comprehensive loss of zero and $12.7 million in the three and nine months ended September 30, 2025, and $10.0 million and $22.7 million in the three and nine months ended September 30, 2024, respectively. As of the 2025 second quarter, we had fully recognized the $75.0 million royalty obligation, which had been fully remitted as of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7. DEFERRED ROYALTY OBLIGATION RELATED TO THE SALE OF FUTURE ROYALTIES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and HCR have an agreement in which HCR agreed to pay up to $20.0 million in exchange for royalty and commercialization milestone payments that we may receive under our Kyowa Kirin Agreement. See </w:t>
      </w:r>
      <w:r>
        <w:rPr>
          <w:rFonts w:ascii="Times New Roman;serif" w:hAnsi="Times New Roman;serif"/>
          <w:b w:val="false"/>
          <w:i/>
          <w:color w:val="000000"/>
          <w:sz w:val="20"/>
        </w:rPr>
        <w:t>Note 8. Deferred Royalty Obligation Related to the Sale of Future Royalties</w:t>
      </w:r>
      <w:r>
        <w:rPr>
          <w:color w:val="000000"/>
        </w:rPr>
        <w:t xml:space="preserve"> </w:t>
      </w:r>
      <w:r>
        <w:rPr>
          <w:rFonts w:ascii="Times New Roman;serif" w:hAnsi="Times New Roman;serif"/>
          <w:b w:val="false"/>
          <w:color w:val="000000"/>
          <w:sz w:val="20"/>
        </w:rPr>
        <w:t>of our 2024 Form 10-K for further discussion on the nature, purpose, significant rights and obligations of the parties, as well as our accounting policies regarding the HCR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financial information related to the HCR Agreement is as follows:</w:t>
      </w:r>
    </w:p>
    <w:tbl>
      <w:tblPr>
        <w:tblW w:w="10205" w:type="dxa"/>
        <w:jc w:val="center"/>
        <w:tblInd w:w="0" w:type="dxa"/>
        <w:tblLayout w:type="fixed"/>
        <w:tblCellMar>
          <w:top w:w="28" w:type="dxa"/>
          <w:left w:w="28" w:type="dxa"/>
          <w:bottom w:w="28" w:type="dxa"/>
          <w:right w:w="28" w:type="dxa"/>
        </w:tblCellMar>
      </w:tblPr>
      <w:tblGrid>
        <w:gridCol w:w="1474"/>
        <w:gridCol w:w="1295"/>
        <w:gridCol w:w="1301"/>
        <w:gridCol w:w="261"/>
        <w:gridCol w:w="842"/>
        <w:gridCol w:w="134"/>
        <w:gridCol w:w="134"/>
        <w:gridCol w:w="134"/>
        <w:gridCol w:w="134"/>
        <w:gridCol w:w="261"/>
        <w:gridCol w:w="842"/>
        <w:gridCol w:w="134"/>
        <w:gridCol w:w="109"/>
        <w:gridCol w:w="109"/>
        <w:gridCol w:w="109"/>
        <w:gridCol w:w="229"/>
        <w:gridCol w:w="736"/>
        <w:gridCol w:w="294"/>
        <w:gridCol w:w="118"/>
        <w:gridCol w:w="118"/>
        <w:gridCol w:w="118"/>
        <w:gridCol w:w="229"/>
        <w:gridCol w:w="736"/>
        <w:gridCol w:w="354"/>
      </w:tblGrid>
      <w:tr>
        <w:trPr/>
        <w:tc>
          <w:tcPr>
            <w:tcW w:w="1474"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4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related to the sale of future royalties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(6,478)</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(5,202)</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interest rate</w:t>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7343" w:type="dxa"/>
        <w:jc w:val="center"/>
        <w:tblInd w:w="0" w:type="dxa"/>
        <w:tblLayout w:type="fixed"/>
        <w:tblCellMar>
          <w:top w:w="28" w:type="dxa"/>
          <w:left w:w="28" w:type="dxa"/>
          <w:bottom w:w="28" w:type="dxa"/>
          <w:right w:w="28" w:type="dxa"/>
        </w:tblCellMar>
      </w:tblPr>
      <w:tblGrid>
        <w:gridCol w:w="1770"/>
        <w:gridCol w:w="1557"/>
        <w:gridCol w:w="1562"/>
        <w:gridCol w:w="211"/>
        <w:gridCol w:w="721"/>
        <w:gridCol w:w="109"/>
        <w:gridCol w:w="109"/>
        <w:gridCol w:w="109"/>
        <w:gridCol w:w="109"/>
        <w:gridCol w:w="211"/>
        <w:gridCol w:w="721"/>
        <w:gridCol w:w="154"/>
      </w:tblGrid>
      <w:tr>
        <w:trPr/>
        <w:tc>
          <w:tcPr>
            <w:tcW w:w="1770"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royalty obligation balance as of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Non-cash interest expense related to sale of future royalties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Royalty distributed to HCR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royalty obligation balance as of September 30,</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8. BORROWING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long-term borrowing under the 2022 Loan Agreement: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07"/>
        <w:gridCol w:w="964"/>
        <w:gridCol w:w="964"/>
        <w:gridCol w:w="286"/>
        <w:gridCol w:w="1077"/>
        <w:gridCol w:w="159"/>
        <w:gridCol w:w="109"/>
        <w:gridCol w:w="109"/>
        <w:gridCol w:w="109"/>
        <w:gridCol w:w="277"/>
        <w:gridCol w:w="1041"/>
        <w:gridCol w:w="153"/>
        <w:gridCol w:w="109"/>
        <w:gridCol w:w="109"/>
        <w:gridCol w:w="109"/>
        <w:gridCol w:w="1031"/>
        <w:gridCol w:w="1031"/>
        <w:gridCol w:w="1461"/>
      </w:tblGrid>
      <w:tr>
        <w:trPr/>
        <w:tc>
          <w:tcPr>
            <w:tcW w:w="110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r>
      <w:tr>
        <w:trPr/>
        <w:tc>
          <w:tcPr>
            <w:tcW w:w="3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Interest rate</w:t>
            </w:r>
          </w:p>
        </w:tc>
      </w:tr>
      <w:tr>
        <w:trPr/>
        <w:tc>
          <w:tcPr>
            <w:tcW w:w="3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w:t>
            </w:r>
          </w:p>
        </w:tc>
        <w:tc>
          <w:tcPr>
            <w:tcW w:w="15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A Loan</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7.95% + 0.022% + SOFR (subject to a floor of 1.0%)</w:t>
            </w:r>
          </w:p>
        </w:tc>
      </w:tr>
      <w:tr>
        <w:trPr/>
        <w:tc>
          <w:tcPr>
            <w:tcW w:w="3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B Loan</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7.95% + 0.022% + SOFR (subject to a floor of 1.0%)</w:t>
            </w:r>
          </w:p>
        </w:tc>
      </w:tr>
      <w:tr>
        <w:trPr/>
        <w:tc>
          <w:tcPr>
            <w:tcW w:w="3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C Loan</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4.25% + 0.022% + SOFR (subject to a floor of 4.7%)</w:t>
            </w:r>
          </w:p>
        </w:tc>
      </w:tr>
      <w:tr>
        <w:trPr/>
        <w:tc>
          <w:tcPr>
            <w:tcW w:w="3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D Loan</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4.00% + 0.022% + SOFR (subject to a floor of 4.7%)</w:t>
            </w:r>
          </w:p>
        </w:tc>
      </w:tr>
      <w:tr>
        <w:trPr/>
        <w:tc>
          <w:tcPr>
            <w:tcW w:w="3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Term E Loan</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4.00% + 0.022% + SOFR (subject to a floor of 4.7%)</w:t>
            </w:r>
          </w:p>
        </w:tc>
      </w:tr>
      <w:tr>
        <w:trPr/>
        <w:tc>
          <w:tcPr>
            <w:tcW w:w="3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principal</w:t>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principal value</w:t>
            </w:r>
          </w:p>
        </w:tc>
        <w:tc>
          <w:tcPr>
            <w:tcW w:w="15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discount and debt issuance costs</w:t>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Accreted value of final fee</w:t>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long-term debt</w:t>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202,138 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150,853 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 of long-term debt</w:t>
            </w:r>
          </w:p>
        </w:tc>
        <w:tc>
          <w:tcPr>
            <w:tcW w:w="13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 of current portion</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202,138 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150,853 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June 30, 2025, we entered into an amendment to our 2022 Loan Agreement (the Fifth Amendment), by and among the Company, as borrower, SLR, as collateral agent and the lenders party thereto. The Fifth Amendment, among other things, (1) provided for the immediate draw of the principal amount of $50.0 million (the Term E Loan) on the closing date of the Fifth Amendment and (2) provides us with the option to draw an additional $100.0 million of committed senior secured term loans, consisting of two separate term loans, each in a principal amount of $50.0 million: (a) the first of which is available at the Company’s election through June 30, 2026 (the Term F Loan) and (b) the second of which is available at the Company’s election through December 20, 2026 (the Term G Loan and, together with the Term F Loan, the Incremental Term Loans). We concluded that the Fifth Amendment was a modification to the 2022 Loan Agreement and is accounted for accordingly.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interest rate for each of the Incremental Term Loans, if drawn, will be 4.95% plus the 1-month CME Term SOFR reference rate as published by the CME Term SOFR Administrator on the CME Term SOFR Administrator’s Website, subject to a SOFR floor of 3.50%. On the closing date of the Fifth Amendment, we paid (i) a fee of $0.3 million in connection with the funding of the Term E Loan, and (ii) a facility fee of $1.0 million with respect to the Incremental Term Loans.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the Fifth Amendment, the maturity date for the Term E Loan (and the other outstanding term loans) remains July 1, 2028. We are permitted to make interest-only payments on the Term E Loan (and the other outstanding term loans) through July 1, 2028. The maturity date for each of the Incremental Term Loans will be July 1, 2030. We will be permitted to make interest-only payments on the Incremental Term Loans from the date each of the Incremental Term Loans is drawn through July 1, 2030. We will be obligated to pay a final fee equal to 3.45% of the aggregate original principal amount of the Incremental Term Loans, to the extent such loans are funded, upon the earliest of any final termination, acceleration, prepayment or July 1, 2030.</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2022 Loan Agreement contains certain covenants, including a single financial covenant that the sum of our net product revenue, calculated on a trailing six (6) month basis, plus unrestricted cash and cash equivalents that are subject to a first-priority perfected lien in favor of SLR, shall be greater than or equal to 100% of the principal amount outstanding under the 2022 Loan Agreement. In addition, the 2022 Loan Agreement contains subjective acceleration clauses to accelerate the maturity of outstanding principal amount in the event that a material adverse change has occurred within the business, operations or financial condition of the Company. As of September 30, 2025, the Company believes that the likelihood of the acceleration of the maturity due to subjective acceleration clauses is remote.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total unaccreted final fee was $6.5 million and $5.4 million as of September 30, 2025 and December 31, 2024,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September 30, 2025, our total future payment obligation related to the outstanding balance of the term loans, excluding interest payments, was $209.9 million, which is due on July 1, 2028.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9. LEASES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additional details of our facility leases presented in our condensed balance sheets:</w:t>
      </w:r>
    </w:p>
    <w:tbl>
      <w:tblPr>
        <w:tblW w:w="7420" w:type="dxa"/>
        <w:jc w:val="center"/>
        <w:tblInd w:w="0" w:type="dxa"/>
        <w:tblLayout w:type="fixed"/>
        <w:tblCellMar>
          <w:top w:w="28" w:type="dxa"/>
          <w:left w:w="28" w:type="dxa"/>
          <w:bottom w:w="28" w:type="dxa"/>
          <w:right w:w="28" w:type="dxa"/>
        </w:tblCellMar>
      </w:tblPr>
      <w:tblGrid>
        <w:gridCol w:w="1412"/>
        <w:gridCol w:w="1242"/>
        <w:gridCol w:w="1246"/>
        <w:gridCol w:w="572"/>
        <w:gridCol w:w="294"/>
        <w:gridCol w:w="738"/>
        <w:gridCol w:w="109"/>
        <w:gridCol w:w="109"/>
        <w:gridCol w:w="109"/>
        <w:gridCol w:w="526"/>
        <w:gridCol w:w="270"/>
        <w:gridCol w:w="793"/>
      </w:tblGrid>
      <w:tr>
        <w:trPr/>
        <w:tc>
          <w:tcPr>
            <w:tcW w:w="141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Facilities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lease liabilities</w:t>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net of current portion</w:t>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term (in years)</w:t>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lease costs, which are included in operating expenses in our condensed statements of operations and comprehensive loss, were as follows:</w:t>
      </w:r>
    </w:p>
    <w:tbl>
      <w:tblPr>
        <w:tblW w:w="9036" w:type="dxa"/>
        <w:jc w:val="center"/>
        <w:tblInd w:w="0" w:type="dxa"/>
        <w:tblLayout w:type="fixed"/>
        <w:tblCellMar>
          <w:top w:w="28" w:type="dxa"/>
          <w:left w:w="28" w:type="dxa"/>
          <w:bottom w:w="28" w:type="dxa"/>
          <w:right w:w="28" w:type="dxa"/>
        </w:tblCellMar>
      </w:tblPr>
      <w:tblGrid>
        <w:gridCol w:w="923"/>
        <w:gridCol w:w="812"/>
        <w:gridCol w:w="814"/>
        <w:gridCol w:w="321"/>
        <w:gridCol w:w="709"/>
        <w:gridCol w:w="166"/>
        <w:gridCol w:w="166"/>
        <w:gridCol w:w="166"/>
        <w:gridCol w:w="166"/>
        <w:gridCol w:w="321"/>
        <w:gridCol w:w="938"/>
        <w:gridCol w:w="166"/>
        <w:gridCol w:w="109"/>
        <w:gridCol w:w="109"/>
        <w:gridCol w:w="109"/>
        <w:gridCol w:w="286"/>
        <w:gridCol w:w="836"/>
        <w:gridCol w:w="147"/>
        <w:gridCol w:w="147"/>
        <w:gridCol w:w="147"/>
        <w:gridCol w:w="147"/>
        <w:gridCol w:w="286"/>
        <w:gridCol w:w="836"/>
        <w:gridCol w:w="209"/>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leases</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undiscounted cash payment obligations for our operating lease liabilities as of September 30, 2025:</w:t>
      </w:r>
    </w:p>
    <w:tbl>
      <w:tblPr>
        <w:tblW w:w="5669" w:type="dxa"/>
        <w:jc w:val="center"/>
        <w:tblInd w:w="0" w:type="dxa"/>
        <w:tblLayout w:type="fixed"/>
        <w:tblCellMar>
          <w:top w:w="28" w:type="dxa"/>
          <w:left w:w="28" w:type="dxa"/>
          <w:bottom w:w="28" w:type="dxa"/>
          <w:right w:w="28" w:type="dxa"/>
        </w:tblCellMar>
      </w:tblPr>
      <w:tblGrid>
        <w:gridCol w:w="1461"/>
        <w:gridCol w:w="1286"/>
        <w:gridCol w:w="1288"/>
        <w:gridCol w:w="350"/>
        <w:gridCol w:w="1027"/>
        <w:gridCol w:w="257"/>
      </w:tblGrid>
      <w:tr>
        <w:trPr/>
        <w:tc>
          <w:tcPr>
            <w:tcW w:w="1461"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Operating Leases</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operating lease payments</w:t>
            </w:r>
          </w:p>
        </w:tc>
        <w:tc>
          <w:tcPr>
            <w:tcW w:w="13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6,024 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Imputed interest expenses</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13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5,473 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operating lease liability</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net of current portion</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10. STOCKHOLDERS’ EQUITY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January 2023, we filed a registration statement on Form S-3, which became effective in January 2023,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$150.0 million of our common stock that may be issued and sold, from time to time, under a sales agreement with Jefferies, deemed to be “at-the-market offerings” (2023 Open Market Sales Agreement). Pursuant to the 2023 Open Market Sales Agreement, Jefferies, as sales agent, may receive a commission of up to 3.0% of the gross sales price for shares of common stock sold under the 2023 Open Market Sales Agreement. In the nine months ended September 30, 2025, we completed no sales pursuant to the 2023 Open Market Sales Agreement. As of September 30, 2025, we have completed sales pursuant to the 2023 Open Market Sales Agreement, resulting in the issuance of 16.8 million shares of our common stock and receipt of gross proceeds of $70.0 million at a weighted average sales price of approximately $4.17.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11. EQUITY INCENTIVE PLANS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recognized for stock options, RSUs and our ESPP is recorded as operating expenses in our condensed statements of operations and comprehensive loss, as follows:</w:t>
      </w:r>
    </w:p>
    <w:tbl>
      <w:tblPr>
        <w:tblW w:w="9438" w:type="dxa"/>
        <w:jc w:val="center"/>
        <w:tblInd w:w="0" w:type="dxa"/>
        <w:tblLayout w:type="fixed"/>
        <w:tblCellMar>
          <w:top w:w="28" w:type="dxa"/>
          <w:left w:w="28" w:type="dxa"/>
          <w:bottom w:w="28" w:type="dxa"/>
          <w:right w:w="28" w:type="dxa"/>
        </w:tblCellMar>
      </w:tblPr>
      <w:tblGrid>
        <w:gridCol w:w="1069"/>
        <w:gridCol w:w="941"/>
        <w:gridCol w:w="945"/>
        <w:gridCol w:w="285"/>
        <w:gridCol w:w="976"/>
        <w:gridCol w:w="147"/>
        <w:gridCol w:w="147"/>
        <w:gridCol w:w="147"/>
        <w:gridCol w:w="147"/>
        <w:gridCol w:w="285"/>
        <w:gridCol w:w="834"/>
        <w:gridCol w:w="147"/>
        <w:gridCol w:w="109"/>
        <w:gridCol w:w="109"/>
        <w:gridCol w:w="109"/>
        <w:gridCol w:w="261"/>
        <w:gridCol w:w="894"/>
        <w:gridCol w:w="135"/>
        <w:gridCol w:w="135"/>
        <w:gridCol w:w="135"/>
        <w:gridCol w:w="135"/>
        <w:gridCol w:w="261"/>
        <w:gridCol w:w="894"/>
        <w:gridCol w:w="191"/>
      </w:tblGrid>
      <w:tr>
        <w:trPr/>
        <w:tc>
          <w:tcPr>
            <w:tcW w:w="10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20,305 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12,742 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9,133 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36,517 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27,518 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our total unrecognized stock-based compensation expense, net of estimated forfeitures, as of September 30, 2025 is as follows:</w:t>
      </w:r>
    </w:p>
    <w:tbl>
      <w:tblPr>
        <w:tblW w:w="8455" w:type="dxa"/>
        <w:jc w:val="center"/>
        <w:tblInd w:w="0" w:type="dxa"/>
        <w:tblLayout w:type="fixed"/>
        <w:tblCellMar>
          <w:top w:w="28" w:type="dxa"/>
          <w:left w:w="28" w:type="dxa"/>
          <w:bottom w:w="28" w:type="dxa"/>
          <w:right w:w="28" w:type="dxa"/>
        </w:tblCellMar>
      </w:tblPr>
      <w:tblGrid>
        <w:gridCol w:w="618"/>
        <w:gridCol w:w="543"/>
        <w:gridCol w:w="548"/>
        <w:gridCol w:w="664"/>
        <w:gridCol w:w="2273"/>
        <w:gridCol w:w="348"/>
        <w:gridCol w:w="109"/>
        <w:gridCol w:w="109"/>
        <w:gridCol w:w="109"/>
        <w:gridCol w:w="916"/>
        <w:gridCol w:w="916"/>
        <w:gridCol w:w="1302"/>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Unrecognized Compensation Expense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 Remaining Vesting Period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years)</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grants</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54,878 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2.67</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 grants</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74,606 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3.02</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0.42</w:t>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our stock option activity and related information for the nine months ended September 30, 2025 is as follows:</w:t>
      </w:r>
    </w:p>
    <w:tbl>
      <w:tblPr>
        <w:tblW w:w="8982" w:type="dxa"/>
        <w:jc w:val="center"/>
        <w:tblInd w:w="0" w:type="dxa"/>
        <w:tblLayout w:type="fixed"/>
        <w:tblCellMar>
          <w:top w:w="28" w:type="dxa"/>
          <w:left w:w="28" w:type="dxa"/>
          <w:bottom w:w="28" w:type="dxa"/>
          <w:right w:w="28" w:type="dxa"/>
        </w:tblCellMar>
      </w:tblPr>
      <w:tblGrid>
        <w:gridCol w:w="1141"/>
        <w:gridCol w:w="1000"/>
        <w:gridCol w:w="1008"/>
        <w:gridCol w:w="540"/>
        <w:gridCol w:w="540"/>
        <w:gridCol w:w="541"/>
        <w:gridCol w:w="109"/>
        <w:gridCol w:w="109"/>
        <w:gridCol w:w="109"/>
        <w:gridCol w:w="935"/>
        <w:gridCol w:w="2265"/>
        <w:gridCol w:w="685"/>
      </w:tblGrid>
      <w:tr>
        <w:trPr/>
        <w:tc>
          <w:tcPr>
            <w:tcW w:w="114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Exercise Price per Share</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28,085 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7,557 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6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forfeited or canceled</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30,143 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September 30, 2025</w:t>
            </w:r>
          </w:p>
        </w:tc>
        <w:tc>
          <w:tcPr>
            <w:tcW w:w="10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17,039 </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our RSUs activity and related information for the nine months ended September 30, 2025 is as follows:</w:t>
      </w:r>
    </w:p>
    <w:tbl>
      <w:tblPr>
        <w:tblW w:w="10205" w:type="dxa"/>
        <w:jc w:val="center"/>
        <w:tblInd w:w="0" w:type="dxa"/>
        <w:tblLayout w:type="fixed"/>
        <w:tblCellMar>
          <w:top w:w="28" w:type="dxa"/>
          <w:left w:w="28" w:type="dxa"/>
          <w:bottom w:w="28" w:type="dxa"/>
          <w:right w:w="28" w:type="dxa"/>
        </w:tblCellMar>
      </w:tblPr>
      <w:tblGrid>
        <w:gridCol w:w="1558"/>
        <w:gridCol w:w="1365"/>
        <w:gridCol w:w="1374"/>
        <w:gridCol w:w="482"/>
        <w:gridCol w:w="474"/>
        <w:gridCol w:w="476"/>
        <w:gridCol w:w="109"/>
        <w:gridCol w:w="109"/>
        <w:gridCol w:w="109"/>
        <w:gridCol w:w="997"/>
        <w:gridCol w:w="2416"/>
        <w:gridCol w:w="736"/>
      </w:tblGrid>
      <w:tr>
        <w:trPr/>
        <w:tc>
          <w:tcPr>
            <w:tcW w:w="1558"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4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RSUs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Weighted-Average Grant Date Fair Value per Share</w:t>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restricted stock units as of December 31, 2024</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8,013 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10,351 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restricted stock units as of September 30, 2025</w:t>
            </w:r>
          </w:p>
        </w:tc>
        <w:tc>
          <w:tcPr>
            <w:tcW w:w="9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13,824 </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we issued approximately 0.4 million shares of our common stock under the ESPP. The shares were purchased by employees at an average purchase price of $4.46 per share, resulting in proceeds to us of approximately $1.7 million.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Issuance of Common Stock for Services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we issued 0.1 million shares of our common stock to members of the board of directors who elected to receive stock in lieu of their cash fees under our Non-Employee Director Compensation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12. SEGMENT REPORTING</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operate in a single reportable segment. The CODM primarily uses aggregated net loss as reported on the condensed statements of operations and comprehensive loss to measure segment loss, supplemented by certain additional significant expense details reflected in the table below. There have been no changes in the determination of segmentation or the measurements used to determine reported segment loss discussed in our 2024 Form 10-K. See </w:t>
      </w:r>
      <w:r>
        <w:rPr>
          <w:rFonts w:ascii="Times New Roman;serif" w:hAnsi="Times New Roman;serif"/>
          <w:b w:val="false"/>
          <w:i/>
          <w:color w:val="000000"/>
          <w:sz w:val="20"/>
        </w:rPr>
        <w:t>Note 17. Segment Reporting</w:t>
      </w:r>
      <w:r>
        <w:rPr>
          <w:color w:val="000000"/>
        </w:rPr>
        <w:t xml:space="preserve"> </w:t>
      </w:r>
      <w:r>
        <w:rPr>
          <w:rFonts w:ascii="Times New Roman;serif" w:hAnsi="Times New Roman;serif"/>
          <w:b w:val="false"/>
          <w:color w:val="000000"/>
          <w:sz w:val="20"/>
        </w:rPr>
        <w:t>of our 2024 Form 10-K for more discussion on our segment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Detailed information regarding our single operating segment’s significant revenues, expenses and operating loss is as follows:</w:t>
      </w:r>
    </w:p>
    <w:tbl>
      <w:tblPr>
        <w:tblW w:w="10146" w:type="dxa"/>
        <w:jc w:val="center"/>
        <w:tblInd w:w="0" w:type="dxa"/>
        <w:tblLayout w:type="fixed"/>
        <w:tblCellMar>
          <w:top w:w="28" w:type="dxa"/>
          <w:left w:w="28" w:type="dxa"/>
          <w:bottom w:w="28" w:type="dxa"/>
          <w:right w:w="28" w:type="dxa"/>
        </w:tblCellMar>
      </w:tblPr>
      <w:tblGrid>
        <w:gridCol w:w="1324"/>
        <w:gridCol w:w="1167"/>
        <w:gridCol w:w="1169"/>
        <w:gridCol w:w="261"/>
        <w:gridCol w:w="1025"/>
        <w:gridCol w:w="135"/>
        <w:gridCol w:w="135"/>
        <w:gridCol w:w="135"/>
        <w:gridCol w:w="135"/>
        <w:gridCol w:w="261"/>
        <w:gridCol w:w="895"/>
        <w:gridCol w:w="135"/>
        <w:gridCol w:w="109"/>
        <w:gridCol w:w="109"/>
        <w:gridCol w:w="109"/>
        <w:gridCol w:w="241"/>
        <w:gridCol w:w="944"/>
        <w:gridCol w:w="124"/>
        <w:gridCol w:w="124"/>
        <w:gridCol w:w="124"/>
        <w:gridCol w:w="124"/>
        <w:gridCol w:w="241"/>
        <w:gridCol w:w="944"/>
        <w:gridCol w:w="176"/>
      </w:tblGrid>
      <w:tr>
        <w:trPr/>
        <w:tc>
          <w:tcPr>
            <w:tcW w:w="1324"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105,515 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92,090 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263,406 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208,193 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revenues</w:t>
            </w:r>
            <w:r>
              <w:rPr>
                <w:rFonts w:ascii="Times New Roman;serif" w:hAnsi="Times New Roman;serif"/>
                <w:b w:val="false"/>
                <w:color w:val="000000"/>
                <w:sz w:val="13"/>
              </w:rPr>
              <w:t>(1)</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110,329 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98,241 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282,105 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217,486 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 of revenue</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goods sold</w:t>
            </w:r>
          </w:p>
        </w:tc>
        <w:tc>
          <w:tcPr>
            <w:tcW w:w="1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15,728 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(2)</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w:t>
            </w:r>
            <w:r>
              <w:rPr>
                <w:rFonts w:ascii="Times New Roman;serif" w:hAnsi="Times New Roman;serif"/>
                <w:b w:val="false"/>
                <w:color w:val="000000"/>
                <w:sz w:val="13"/>
              </w:rPr>
              <w:t>(2)</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55,361 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118,094 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(2)</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expenses</w:t>
            </w:r>
            <w:r>
              <w:rPr>
                <w:rFonts w:ascii="Times New Roman;serif" w:hAnsi="Times New Roman;serif"/>
                <w:b w:val="false"/>
                <w:color w:val="000000"/>
                <w:sz w:val="13"/>
              </w:rPr>
              <w:t>(3)</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101,679 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80,280 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299,493 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221,269 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income (loss) from operations</w:t>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(46,076)</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(36,075)</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reconciliation items</w:t>
            </w:r>
            <w:r>
              <w:rPr>
                <w:rFonts w:ascii="Times New Roman;serif" w:hAnsi="Times New Roman;serif"/>
                <w:b w:val="false"/>
                <w:color w:val="000000"/>
                <w:sz w:val="13"/>
              </w:rPr>
              <w:t>(4)</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loss</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(61,192)</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(43,781)</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0"/>
        </w:rPr>
        <w:t>(1)</w:t>
      </w:r>
      <w:r>
        <w:rPr>
          <w:rFonts w:ascii="Times New Roman;serif" w:hAnsi="Times New Roman;serif"/>
          <w:b w:val="false"/>
          <w:i/>
          <w:color w:val="000000"/>
          <w:sz w:val="16"/>
        </w:rPr>
        <w:t>Other revenues</w:t>
      </w:r>
      <w:r>
        <w:rPr>
          <w:color w:val="000000"/>
        </w:rPr>
        <w:t xml:space="preserve"> </w:t>
      </w:r>
      <w:r>
        <w:rPr>
          <w:rFonts w:ascii="Times New Roman;serif" w:hAnsi="Times New Roman;serif"/>
          <w:b w:val="false"/>
          <w:color w:val="000000"/>
          <w:sz w:val="16"/>
        </w:rPr>
        <w:t>includes revenues from our collaboration partnerships, including licensing revenue, product supply revenue and non-cash royalty revenue related to the sale of future royalties.</w:t>
      </w:r>
    </w:p>
    <w:p>
      <w:pPr>
        <w:pStyle w:val="TextBody"/>
        <w:bidi w:val="0"/>
        <w:spacing w:lineRule="auto" w:line="288" w:before="0" w:after="0"/>
        <w:ind w:left="0" w:right="0" w:hanging="360"/>
        <w:jc w:val="left"/>
        <w:rPr/>
      </w:pPr>
      <w:r>
        <w:rPr>
          <w:rFonts w:ascii="Times New Roman;serif" w:hAnsi="Times New Roman;serif"/>
          <w:b w:val="false"/>
          <w:color w:val="000000"/>
          <w:sz w:val="10"/>
        </w:rPr>
        <w:t>(2)</w:t>
      </w:r>
      <w:r>
        <w:rPr>
          <w:rFonts w:ascii="Times New Roman;serif" w:hAnsi="Times New Roman;serif"/>
          <w:b w:val="false"/>
          <w:i/>
          <w:color w:val="000000"/>
          <w:sz w:val="16"/>
        </w:rPr>
        <w:t xml:space="preserve">Research and development, selling and general and administrative </w:t>
      </w:r>
      <w:r>
        <w:rPr>
          <w:rFonts w:ascii="Times New Roman;serif" w:hAnsi="Times New Roman;serif"/>
          <w:b w:val="false"/>
          <w:color w:val="000000"/>
          <w:sz w:val="16"/>
        </w:rPr>
        <w:t>expenses herein do not include certain allocated items, such as stock-based compensation expenses.</w:t>
      </w:r>
    </w:p>
    <w:p>
      <w:pPr>
        <w:pStyle w:val="TextBody"/>
        <w:bidi w:val="0"/>
        <w:spacing w:lineRule="auto" w:line="288" w:before="0" w:after="0"/>
        <w:ind w:left="0" w:right="0" w:hanging="360"/>
        <w:jc w:val="left"/>
        <w:rPr/>
      </w:pPr>
      <w:r>
        <w:rPr>
          <w:rFonts w:ascii="Times New Roman;serif" w:hAnsi="Times New Roman;serif"/>
          <w:b w:val="false"/>
          <w:color w:val="000000"/>
          <w:sz w:val="10"/>
        </w:rPr>
        <w:t>(3)</w:t>
      </w:r>
      <w:r>
        <w:rPr>
          <w:rFonts w:ascii="Times New Roman;serif" w:hAnsi="Times New Roman;serif"/>
          <w:b w:val="false"/>
          <w:i/>
          <w:color w:val="000000"/>
          <w:sz w:val="16"/>
        </w:rPr>
        <w:t>Other segment expenses</w:t>
      </w:r>
      <w:r>
        <w:rPr>
          <w:color w:val="000000"/>
        </w:rPr>
        <w:t xml:space="preserve"> </w:t>
      </w:r>
      <w:r>
        <w:rPr>
          <w:rFonts w:ascii="Times New Roman;serif" w:hAnsi="Times New Roman;serif"/>
          <w:b w:val="false"/>
          <w:color w:val="000000"/>
          <w:sz w:val="16"/>
        </w:rPr>
        <w:t>primarily consists of allocated facilities, information technology and employee costs of approximately $3.2 million and $11.1 million for the three and nine months ended September 30, 2025, and $3.9 million and $12.2 million for the three and nine months ended September 30, 2024, respectively.</w:t>
      </w:r>
    </w:p>
    <w:p>
      <w:pPr>
        <w:pStyle w:val="TextBody"/>
        <w:bidi w:val="0"/>
        <w:spacing w:lineRule="auto" w:line="288" w:before="0" w:after="180"/>
        <w:ind w:left="0" w:right="0" w:hanging="360"/>
        <w:jc w:val="left"/>
        <w:rPr/>
      </w:pPr>
      <w:r>
        <w:rPr>
          <w:rFonts w:ascii="Times New Roman;serif" w:hAnsi="Times New Roman;serif"/>
          <w:b w:val="false"/>
          <w:color w:val="000000"/>
          <w:sz w:val="10"/>
        </w:rPr>
        <w:t>(4)</w:t>
      </w:r>
      <w:r>
        <w:rPr>
          <w:rFonts w:ascii="Times New Roman;serif" w:hAnsi="Times New Roman;serif"/>
          <w:b w:val="false"/>
          <w:i/>
          <w:color w:val="000000"/>
          <w:sz w:val="16"/>
        </w:rPr>
        <w:t>Other reconciliation items</w:t>
      </w:r>
      <w:r>
        <w:rPr>
          <w:color w:val="000000"/>
        </w:rPr>
        <w:t xml:space="preserve"> </w:t>
      </w:r>
      <w:r>
        <w:rPr>
          <w:rFonts w:ascii="Times New Roman;serif" w:hAnsi="Times New Roman;serif"/>
          <w:b w:val="false"/>
          <w:color w:val="000000"/>
          <w:sz w:val="16"/>
        </w:rPr>
        <w:t>includes interest expense, non-cash interest expense related to the sale of future royalties, provision for income taxes and other income,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NOTE 13. NET LOSS PER SHARE </w:t>
      </w:r>
    </w:p>
    <w:p>
      <w:pPr>
        <w:pStyle w:val="TextBody"/>
        <w:bidi w:val="0"/>
        <w:spacing w:before="0" w:after="0"/>
        <w:ind w:left="0" w:right="0" w:firstLine="360"/>
        <w:jc w:val="both"/>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Basic net loss per share is calculated by dividing net loss by the weighted-average number of common shares outstanding during the period and excludes any dilutive effect of stock-based awards. Diluted net loss per common share is computed giving effect to all potential dilutive common shares, including common stock issuable upon exercise of stock options, unvested restricted stock units and ESPP shares issuable pursuant to the current purchase period. As we had net losses for the nine months ended September 30, 2025 and 2024, all potential common shares were determined to be anti-dilutive during those periods.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net loss per common share:</w:t>
      </w:r>
    </w:p>
    <w:tbl>
      <w:tblPr>
        <w:tblW w:w="10205" w:type="dxa"/>
        <w:jc w:val="center"/>
        <w:tblInd w:w="0" w:type="dxa"/>
        <w:tblLayout w:type="fixed"/>
        <w:tblCellMar>
          <w:top w:w="28" w:type="dxa"/>
          <w:left w:w="28" w:type="dxa"/>
          <w:bottom w:w="28" w:type="dxa"/>
          <w:right w:w="28" w:type="dxa"/>
        </w:tblCellMar>
      </w:tblPr>
      <w:tblGrid>
        <w:gridCol w:w="1554"/>
        <w:gridCol w:w="1302"/>
        <w:gridCol w:w="1310"/>
        <w:gridCol w:w="304"/>
        <w:gridCol w:w="754"/>
        <w:gridCol w:w="143"/>
        <w:gridCol w:w="143"/>
        <w:gridCol w:w="143"/>
        <w:gridCol w:w="143"/>
        <w:gridCol w:w="304"/>
        <w:gridCol w:w="754"/>
        <w:gridCol w:w="143"/>
        <w:gridCol w:w="109"/>
        <w:gridCol w:w="109"/>
        <w:gridCol w:w="109"/>
        <w:gridCol w:w="235"/>
        <w:gridCol w:w="871"/>
        <w:gridCol w:w="121"/>
        <w:gridCol w:w="121"/>
        <w:gridCol w:w="121"/>
        <w:gridCol w:w="121"/>
        <w:gridCol w:w="235"/>
        <w:gridCol w:w="871"/>
        <w:gridCol w:w="185"/>
      </w:tblGrid>
      <w:tr>
        <w:trPr/>
        <w:tc>
          <w:tcPr>
            <w:tcW w:w="1554"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1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1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Numerator</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(61,192)</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(43,781)</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Denominator</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4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basic and diluted</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241,908 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235,911 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240,166 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234,516 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of common stock - basic and diluted</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total numbers of securities that could potentially dilute net income per share in the future that were not considered in the diluted net loss per share calculations because the effect would have been anti-dilutive were as follows:</w:t>
      </w:r>
    </w:p>
    <w:tbl>
      <w:tblPr>
        <w:tblW w:w="9454" w:type="dxa"/>
        <w:jc w:val="center"/>
        <w:tblInd w:w="0" w:type="dxa"/>
        <w:tblLayout w:type="fixed"/>
        <w:tblCellMar>
          <w:top w:w="28" w:type="dxa"/>
          <w:left w:w="28" w:type="dxa"/>
          <w:bottom w:w="28" w:type="dxa"/>
          <w:right w:w="28" w:type="dxa"/>
        </w:tblCellMar>
      </w:tblPr>
      <w:tblGrid>
        <w:gridCol w:w="1075"/>
        <w:gridCol w:w="946"/>
        <w:gridCol w:w="948"/>
        <w:gridCol w:w="344"/>
        <w:gridCol w:w="344"/>
        <w:gridCol w:w="344"/>
        <w:gridCol w:w="344"/>
        <w:gridCol w:w="344"/>
        <w:gridCol w:w="344"/>
        <w:gridCol w:w="344"/>
        <w:gridCol w:w="344"/>
        <w:gridCol w:w="366"/>
        <w:gridCol w:w="109"/>
        <w:gridCol w:w="109"/>
        <w:gridCol w:w="109"/>
        <w:gridCol w:w="321"/>
        <w:gridCol w:w="321"/>
        <w:gridCol w:w="321"/>
        <w:gridCol w:w="321"/>
        <w:gridCol w:w="321"/>
        <w:gridCol w:w="321"/>
        <w:gridCol w:w="321"/>
        <w:gridCol w:w="321"/>
        <w:gridCol w:w="472"/>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10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30,064</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29,940</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27,584</w:t>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13,536</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12,510</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w:t>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ESPP shares issuable</w:t>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43,757</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42,624</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14. COMMITMENTS AND CONTINGENCIES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December 7, 2021 and March 29, 2022, two verified shareholders derivative lawsuits were filed in the U.S. District Court for the Northern District of California purportedly on behalf of Ardelyx against certain of Ardelyx’s executive officers and members of our board of directors, captioned Go v. Raab, et al., Case No. 4:21-cv-09455-HSG, and Morris v. Raab, et al., Case No. 4:22-cv-01988-JSC (together, the Go and Morris actions). The complaints allege that the defendants’ violations of Section 14(a) of the Securities Exchange Act of 1934, as amended, breaches of fiduciary duties, unjust enrichment, abuse of control, gross mismanagement, and waste of corporate assets for personally making and/or causing Ardelyx to make materially false and misleading statements regarding the Company’s business, operations and prospects. The complaint seeks contribution under Sections 10(b) and 21D of the Securities Exchange Act of 1934 from two executive officers. On January 19, and April 27, 2022, the court granted the parties’ stipulation to stay the Go and Morris actions, respectively, until resolution of the motion(s) to dismiss in the lawsuits captioned Strezsak v. Ardelyx, Inc., et al., Case No. 4:21-cv-05868-HSG, and Siegel v. Ardelyx, Inc., et al., Case No. 5:21-cv-06228-HSG (together, the Securities Class Actions). On October 25, 2022, the parties filed a stipulation to consolidate and stay the Go and Morris actions, and on October 27, 2022, the court consolidated the Go and Morris action and stayed the consolidated action pending resolution of the anticipated motion(s) to dismiss in the Securities Class Action. The Securities Class Actions were voluntarily dismissed on March 5, 2025. The court dismissed the Go and Morris actions on April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17, 2024, in partnership with the AAKP and the NMQF, we filed a lawsuit in the U.S. District Court for the District of Columbia against CMS, claiming that CMS has violated its statutory and regulatory authority under MIPPA, which established the ESRD PPS bundled payment system for dialysis services in 2008. Specifically, the lawsuit claims that moving XPHOZAH, along with all oral-only drugs, into the ESRD PPS is inconsistent with MIPPA’s statutory provision, and contradicts CMS’s own regulations. XPHOZAH and other oral-only drugs, are not administered by dialysis providers and cannot be taken during the delivery of maintenance dialysis. On November 8, 2024, the U.S. District Court for the District of Columbia granted defendants’ Motion to Dismiss and denied plaintiffs Motion for Preliminary Injunction, or in the Alternative, for Expedited Summary Judgment. Following the District Court’s denial of plaintiffs’ Motion to Alter or Amend the Judgment, or in the Alternative, for an Injunction Pending Appeal, plaintiffs filed an Emergency Motion for an Administrative Stay and Injunction Pending Appeal, which was denied by the United States Court of Appeals for the District of Columbia Circuit. Appellants filed an initial brief in the appeal on February 4, 2025; Appellees filed an initial brief on March 6, 2025; and Appellants filed a reply brief March 27, 2025. Both Appellees and Appellants filed a final brief on April 10, 2025. Oral argument in the case was heard on September 25,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16, 2024, a complaint was filed against us in the U.S. District Court of Massachusetts, captioned Yarborough v. Ardelyx, Inc., et al., No. 24-cv-12119 (D. Mass.). The complaint names the Company, Mike Raab, and Justin Renz as defendants and alleges violations of Sections 10(b) and 20(a) the Exchange Act and Rule 10b-5 promulgated thereunder, related to the our announcement on July 2, 2024 that it had chosen not to file an application for Transitional Drug Add-on Payment Adjustment for XPHOZAH (the “Yarborough Action”). The plaintiffs seek damages and interest, and an award of costs, including attorneys’ fees. The Court appointed Tate Wood as lead plaintiff on October 30, 2024. The lead plaintiff filed an amended complaint on January 13, 2025, in which he added Susan Rodriguez, Laura Williams and Elizabeth Grammer as additional defendants and removed Justin Renz as a defendant. The lead plaintiff purports to bring claims on behalf of all those who acquired Ardelyx common stock between February 22, 2024 and July 1, 2024. Defendants filed a motion to dismiss the amended complaint on March 14, 2025. Plaintiffs filed a response on May 13, 2025. Defendants filed a reply in support of their motion to dismiss on June 23, 2025. There is no hearing currently scheduled on the motion to dismiss, and the Court has not yet issued a decision on the motion. We believe the plaintiffs’ claims are without merit.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September 6 and 13, 2024, certain Ardelyx shareholders filed two verified derivative complaints purportedly on behalf of the Company in the United States District Court for the District of Massachusetts alleging violations of Sections 10(b) and/or 14(a) of the Exchange Act, breaches of fiduciary duty, unjust enrichment, waste, and aiding and abetting breaches of fiduciary duty against certain members of our board of directors and management based on substantially the same factual allegations in the Yarborough Action. The complaints seek unspecified damages and corporate governance reforms, as well as costs and attorneys’ fees. On September 25, 2024, the Court consolidated the two derivative actions into the case In re Ardelyx, Inc. Stockholder Derivative Litigation, Case No. 1:24-cv-12302-LTS (D. Mass.). On November 7, 2024, the Court stayed the consolidated derivative action pending resolution of any and all motion(s) to dismiss in the Yarborough Action. We believe the plaintiffs’ claims are without merit.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involved in legal proceedings arising in the ordinary course of business. As of September 30, 2025, there is no litigation pending that would reasonably be expected to have a material adverse effect on our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in conjunction with the condensed financial statements and notes thereto included elsewhere in this report and with the audited financial statements and related notes thereto included as part of our 2024 Form 10-K. This discussion and analysis and other parts of this report contain forward-looking statements that involve risk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entitled “Risk Factors.” These forward-looking statements speak only as of the date hereof. Except as required by law, we assume no obligation to update or revise these forward-looking statements for any reason. Unless the context requires otherwise, the terms “Ardelyx,” “Company,” “we,” “us” and “our” refer to Ardelyx,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are a biopharmaceutical company founded with a mission to discover, develop and commercialize innovative, first-in-class medicines that meet significant unmet medical needs. We developed a unique and innovative platform that enabled the discovery of new biological mechanisms and pathways to develop potent and efficacious therapies that minimize the side effects and drug-drug interactions frequently encountered with traditional, systemically absorbed medicines. The first molecule we discovered and developed was tenapanor, a minimally absorbed, first-in-class, oral, small molecule therapy. Tenapanor, branded as IBSRELA</w:t>
      </w:r>
      <w:r>
        <w:rPr>
          <w:rFonts w:ascii="Times New Roman;serif" w:hAnsi="Times New Roman;serif"/>
          <w:b w:val="false"/>
          <w:color w:val="000000"/>
          <w:sz w:val="13"/>
        </w:rPr>
        <w:t>®</w:t>
      </w:r>
      <w:r>
        <w:rPr>
          <w:rFonts w:ascii="Times New Roman;serif" w:hAnsi="Times New Roman;serif"/>
          <w:b w:val="false"/>
          <w:color w:val="000000"/>
          <w:sz w:val="20"/>
        </w:rPr>
        <w:t>, is approved in the U.S. for the treatment of adults with IBS-C. Tenapanor, branded as XPHOZAH</w:t>
      </w:r>
      <w:r>
        <w:rPr>
          <w:rFonts w:ascii="Times New Roman;serif" w:hAnsi="Times New Roman;serif"/>
          <w:b w:val="false"/>
          <w:color w:val="000000"/>
          <w:sz w:val="13"/>
        </w:rPr>
        <w:t>®</w:t>
      </w:r>
      <w:r>
        <w:rPr>
          <w:rFonts w:ascii="Times New Roman;serif" w:hAnsi="Times New Roman;serif"/>
          <w:b w:val="false"/>
          <w:color w:val="000000"/>
          <w:sz w:val="20"/>
        </w:rPr>
        <w:t>, is approved in the U.S. to reduce serum phosphorus in adults with CKD on dialysis as add-on therapy in patients who have an inadequate response to phosphate binders or who are intolerant of any dose of phosphate binder therapy.</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Refer to the </w:t>
      </w:r>
      <w:r>
        <w:rPr>
          <w:rFonts w:ascii="Times New Roman;serif" w:hAnsi="Times New Roman;serif"/>
          <w:b w:val="false"/>
          <w:i/>
          <w:color w:val="000000"/>
          <w:sz w:val="20"/>
        </w:rPr>
        <w:t>Summary of Abbreviated Terms</w:t>
      </w:r>
      <w:r>
        <w:rPr>
          <w:color w:val="000000"/>
        </w:rPr>
        <w:t xml:space="preserve"> </w:t>
      </w:r>
      <w:r>
        <w:rPr>
          <w:rFonts w:ascii="Times New Roman;serif" w:hAnsi="Times New Roman;serif"/>
          <w:b w:val="false"/>
          <w:color w:val="000000"/>
          <w:sz w:val="20"/>
        </w:rPr>
        <w:t>at the end of this Quarterly Report on Form 10-Q for definitions of terms used throughout the document.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committed to our mission of discovering, developing and commercializing first-in-class medicines that address unmet patient needs. Our principal strategy is to maintain our commercial momentum with our current products while identifying additional assets that leverage our core capabilities, including clinical, developmental and regulatory expertise and commercial excellence while maintaining a solid financial foundation, to support our future growth.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priorities include: (i) accelerating IBSRELA growth momentum; (ii) executing our XPHOZAH strategy to grow utilization; (iii) building a pipeline focused on areas of unmet patient need; and (iv) continuing to deliver strong commercial and financial performance.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February 2025, we announced the approval of an NDA for tenapanor for the control of hyperphosphatemia in adult patients with CKD undergoing hemodialysis by China’s Center for Drug Evaluation of the NMPA. This approval triggered a $5.0 million milestone to us under the terms of the Fosun Agreement, which was recorded as licensing revenue on our condensed statement of operations and comprehensive loss when earned during the 2025 first quarter and was received in April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the 2025 second quarter, we had fully recognized the $75.0 million royalty obligation, which had been fully remitted as of September 30, 2025 under the AstraZeneca Termination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June 30, 2025, we entered into an amendment to our 2022 Loan Agreement (the Fifth Amendment), by and among the Company, as borrower, SLR, as collateral agent and the lenders party thereto. The Fifth Amendment, among other things, (1) provided for the immediate draw of the principal amount of $50.0 million (the Term E Loan) on the closing date of the Fifth Amendment and (2) provides us with the option to draw an additional $100.0 million of committed senior secured term loans, consisting of two separate term loans, each in a principal amount of $50.0 million: (a) the first of which is available at the Company’s election through June 30, 2026 (the Term F Loan) and (b) the second of which is available at the Company’s election through December 20, 2026 (the Term G Loan and, together with the Term F Loan, the Incremental Term Loans).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interest rate for the Term E Loan is 4.00% plus a rate equal to 0.022% plus 1-month SOFR reference rate, subject to a SOFR floor of 4.7%. The interest rate for each of the Incremental Term Loans, if drawn, will be 4.95% plus the 1-month CME Term SOFR reference rate as published by the CME Term SOFR Administrator on the CME Term SOFR Administrator’s Website, subject to a SOFR floor of 3.50%. On the closing date of the Fifth Amendment, we paid (i) a fee of $0.3 million in connection with the funding of the Term E Loan, and (ii) a facility fee of $1.0 million with respect to the Incremental Term Loans.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October 30, 2025, we announced that a development program had been initiated for RDX10531, a next-generation NHE3 inhibitor with potential application across multiple therapeutic areas. NHE3 is an antiporter expressed on the apical surface of the small and large intestines and is responsible for absorbing the majority of ingested sodium. The Company plans to submit an IND in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results of operations for the three and nine months ended September 30, 2025 are not necessarily indicative of results to be expected for the entire year ending December 31, 2025, or for any other interim period or future year. See Part II, Item 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color w:val="000000"/>
        </w:rPr>
      </w:pPr>
      <w:r>
        <w:rPr>
          <w:color w:val="000000"/>
        </w:rPr>
        <w:t>“</w:t>
      </w:r>
      <w:r>
        <w:rPr>
          <w:rFonts w:ascii="Times New Roman;serif" w:hAnsi="Times New Roman;serif"/>
          <w:b w:val="false"/>
          <w:color w:val="000000"/>
          <w:sz w:val="20"/>
        </w:rPr>
        <w:t>Management’s Discussion and Analysis of Financial Condition and Results of Operations,” of our 2024 Form 10-K to enhance the understanding of our financial metrics below.</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Revenues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Below is a summary of our total revenues:</w:t>
      </w:r>
    </w:p>
    <w:tbl>
      <w:tblPr>
        <w:tblW w:w="11345" w:type="dxa"/>
        <w:jc w:val="center"/>
        <w:tblInd w:w="0" w:type="dxa"/>
        <w:tblLayout w:type="fixed"/>
        <w:tblCellMar>
          <w:top w:w="28" w:type="dxa"/>
          <w:left w:w="28" w:type="dxa"/>
          <w:bottom w:w="28" w:type="dxa"/>
          <w:right w:w="28" w:type="dxa"/>
        </w:tblCellMar>
      </w:tblPr>
      <w:tblGrid>
        <w:gridCol w:w="348"/>
        <w:gridCol w:w="306"/>
        <w:gridCol w:w="307"/>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39"/>
        <w:gridCol w:w="242"/>
        <w:gridCol w:w="271"/>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31"/>
        <w:gridCol w:w="235"/>
        <w:gridCol w:w="316"/>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b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br/>
              <w:t>2025 vs. 2024</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supply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royalty revenue related to the sale of future royalties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hanging="360"/>
        <w:jc w:val="left"/>
        <w:rPr/>
      </w:pPr>
      <w:r>
        <w:rPr>
          <w:rFonts w:ascii="Times New Roman;serif" w:hAnsi="Times New Roman;serif"/>
          <w:b w:val="false"/>
          <w:color w:val="000000"/>
          <w:sz w:val="10"/>
        </w:rPr>
        <w:t>(a)</w:t>
      </w:r>
      <w:r>
        <w:rPr>
          <w:rFonts w:ascii="Times New Roman;serif" w:hAnsi="Times New Roman;serif"/>
          <w:b w:val="false"/>
          <w:color w:val="000000"/>
          <w:sz w:val="16"/>
        </w:rPr>
        <w:t>Percent change is not meaningful.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Below is a summary of our product sales, net by product:</w:t>
      </w:r>
    </w:p>
    <w:tbl>
      <w:tblPr>
        <w:tblW w:w="11210" w:type="dxa"/>
        <w:jc w:val="center"/>
        <w:tblInd w:w="0" w:type="dxa"/>
        <w:tblLayout w:type="fixed"/>
        <w:tblCellMar>
          <w:top w:w="28" w:type="dxa"/>
          <w:left w:w="28" w:type="dxa"/>
          <w:bottom w:w="28" w:type="dxa"/>
          <w:right w:w="28" w:type="dxa"/>
        </w:tblCellMar>
      </w:tblPr>
      <w:tblGrid>
        <w:gridCol w:w="408"/>
        <w:gridCol w:w="306"/>
        <w:gridCol w:w="307"/>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187"/>
        <w:gridCol w:w="189"/>
        <w:gridCol w:w="271"/>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7"/>
        <w:gridCol w:w="189"/>
        <w:gridCol w:w="316"/>
      </w:tblGrid>
      <w:tr>
        <w:trPr/>
        <w:tc>
          <w:tcPr>
            <w:tcW w:w="40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September 30,</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b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September 30,</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br/>
              <w:t>2025 vs. 2024</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IBSRELA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XPHOZAH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sales,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Product sales,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IBSRELA product sales, net in the three and nine months ended September 30, 2025 primarily reflected higher demand, driven by continued increase in awareness and prescriber experience, and to a lesser extent, higher net price.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XPHOZAH product sales, net in the three and nine months ended September 30, 2025 primarily reflected lower demand and lower net price, both driven by the loss of XPHOZAH Medicare Part D reimbursement. As of January 1, 2025, the Centers for Medicare and Medicaid Services officially transitioned oral only therapies for ESRD patients on dialysis, including XPHOZAH, into the ESRD Prospective Payment System. This decrease was partially offset by continued growth in other channels.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XPHOZAH product sales, net in the nine months ended September 30, 2025 included the release of $3.8 million of prior periods’ estimated product returns for XPHOZAH in the 2025 first quarter.</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Product supply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Product supply revenue is primarily impacted by the timing of product supply shipments to our collaboration partners under our product supply agreements in support of non-U.S. launches. The product supply revenue was primarily attributable to Kyowa Kirin in the nine months ended September 30, 2025 and 2024.</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Licensing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Licensing revenue is primarily impacted by the timing of regulatory and commercialization milestone achievements from our collaboration partners, as well as sales-based royalties received from Knight.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licensing revenue in the nine months ended September 30, 2025 was primarily attributable to a $5.0 million milestone earned during the 2025 first quarter under the terms of the Fosun Agreement, following approval of an NDA for tenapanor for the control of hyperphosphatemia in adult patients with CKD undergoing hemodialysis by China’s Center for Drug Evaluation of the NMPA.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Non-cash royalty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Non-cash royalty revenue reflects royalties and commercialization milestones from Kyowa Kirin for sales of PHOZEVEL in Japan, which was launched in February 2024.</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non-cash royalty revenue in the three and nine months ended September 30, 2025 included approximately $3.4 million related to a commercialization milestone earned during the 2025 third quarter under the terms of the Kyowa Kirin Agreement. The payment will be remitted to HCR upon receipt in accordance with the HCR Agreement.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GTN Adjustments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Reconciliation of gross product sales to product sales, net is as follows:</w:t>
      </w:r>
    </w:p>
    <w:tbl>
      <w:tblPr>
        <w:tblW w:w="12008" w:type="dxa"/>
        <w:jc w:val="center"/>
        <w:tblInd w:w="0" w:type="dxa"/>
        <w:tblLayout w:type="fixed"/>
        <w:tblCellMar>
          <w:top w:w="28" w:type="dxa"/>
          <w:left w:w="28" w:type="dxa"/>
          <w:bottom w:w="28" w:type="dxa"/>
          <w:right w:w="28" w:type="dxa"/>
        </w:tblCellMar>
      </w:tblPr>
      <w:tblGrid>
        <w:gridCol w:w="483"/>
        <w:gridCol w:w="306"/>
        <w:gridCol w:w="307"/>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80"/>
        <w:gridCol w:w="181"/>
        <w:gridCol w:w="271"/>
        <w:gridCol w:w="109"/>
        <w:gridCol w:w="109"/>
        <w:gridCol w:w="109"/>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80"/>
        <w:gridCol w:w="181"/>
        <w:gridCol w:w="316"/>
      </w:tblGrid>
      <w:tr>
        <w:trPr/>
        <w:tc>
          <w:tcPr>
            <w:tcW w:w="48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b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br/>
              <w:t>2025 vs. 2024</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product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GTN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208,193 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GTN adjustment percentage</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GTN adjustment percentage in the three and nine months ended September 30, 2025 reflected the unfavorable payor mix shifts, primarily associated with loss of XPHOZAH Medicare Part D reimbursement.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GTN adjustment percentage in the nine months ended September 30, 2025 included the favorable impact of a change in prior periods’ estimate of expected returns of XPHOZAH, which occurred in the 2025 first quarter.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activities and ending reserve balances for each significant category of GTN adjustments on product sales, net, which constitute variable consideration, were as follows:</w:t>
      </w:r>
    </w:p>
    <w:tbl>
      <w:tblPr>
        <w:tblW w:w="10205" w:type="dxa"/>
        <w:jc w:val="center"/>
        <w:tblInd w:w="0" w:type="dxa"/>
        <w:tblLayout w:type="fixed"/>
        <w:tblCellMar>
          <w:top w:w="28" w:type="dxa"/>
          <w:left w:w="28" w:type="dxa"/>
          <w:bottom w:w="28" w:type="dxa"/>
          <w:right w:w="28" w:type="dxa"/>
        </w:tblCellMar>
      </w:tblPr>
      <w:tblGrid>
        <w:gridCol w:w="767"/>
        <w:gridCol w:w="651"/>
        <w:gridCol w:w="654"/>
        <w:gridCol w:w="429"/>
        <w:gridCol w:w="1256"/>
        <w:gridCol w:w="222"/>
        <w:gridCol w:w="109"/>
        <w:gridCol w:w="109"/>
        <w:gridCol w:w="109"/>
        <w:gridCol w:w="446"/>
        <w:gridCol w:w="1525"/>
        <w:gridCol w:w="230"/>
        <w:gridCol w:w="109"/>
        <w:gridCol w:w="109"/>
        <w:gridCol w:w="109"/>
        <w:gridCol w:w="395"/>
        <w:gridCol w:w="1353"/>
        <w:gridCol w:w="204"/>
        <w:gridCol w:w="109"/>
        <w:gridCol w:w="109"/>
        <w:gridCol w:w="109"/>
        <w:gridCol w:w="211"/>
        <w:gridCol w:w="721"/>
        <w:gridCol w:w="160"/>
      </w:tblGrid>
      <w:tr>
        <w:trPr/>
        <w:tc>
          <w:tcPr>
            <w:tcW w:w="76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9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Discounts and Chargebacks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Rebates, Wholesaler and GPO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Copay Assistance and Returns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14,475 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Provisions</w:t>
            </w:r>
            <w:r>
              <w:rPr>
                <w:rFonts w:ascii="Times New Roman;serif" w:hAnsi="Times New Roman;serif"/>
                <w:b w:val="false"/>
                <w:color w:val="000000"/>
                <w:sz w:val="13"/>
              </w:rPr>
              <w:t>(1)</w:t>
            </w:r>
          </w:p>
        </w:tc>
        <w:tc>
          <w:tcPr>
            <w:tcW w:w="1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Credits/payments</w:t>
            </w:r>
          </w:p>
        </w:tc>
        <w:tc>
          <w:tcPr>
            <w:tcW w:w="1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(15,615)</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(59,740)</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(100,745)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29,630 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11,709 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43,193 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Provisions included approximately $3.8 million of favorable adjustment in the 2025 first quarter, resulting from changes in prior periods’ estimated product returns for XPHOZAH.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Below is a summary of our cost of goods sold, operating expenses, interest expense, non-cash interest expense related to the sale of future royalties and other income, net:</w:t>
      </w:r>
    </w:p>
    <w:tbl>
      <w:tblPr>
        <w:tblW w:w="11585" w:type="dxa"/>
        <w:jc w:val="center"/>
        <w:tblInd w:w="0" w:type="dxa"/>
        <w:tblLayout w:type="fixed"/>
        <w:tblCellMar>
          <w:top w:w="28" w:type="dxa"/>
          <w:left w:w="28" w:type="dxa"/>
          <w:bottom w:w="28" w:type="dxa"/>
          <w:right w:w="28" w:type="dxa"/>
        </w:tblCellMar>
      </w:tblPr>
      <w:tblGrid>
        <w:gridCol w:w="678"/>
        <w:gridCol w:w="306"/>
        <w:gridCol w:w="307"/>
        <w:gridCol w:w="211"/>
        <w:gridCol w:w="826"/>
        <w:gridCol w:w="109"/>
        <w:gridCol w:w="109"/>
        <w:gridCol w:w="109"/>
        <w:gridCol w:w="109"/>
        <w:gridCol w:w="211"/>
        <w:gridCol w:w="721"/>
        <w:gridCol w:w="109"/>
        <w:gridCol w:w="109"/>
        <w:gridCol w:w="109"/>
        <w:gridCol w:w="109"/>
        <w:gridCol w:w="211"/>
        <w:gridCol w:w="736"/>
        <w:gridCol w:w="109"/>
        <w:gridCol w:w="109"/>
        <w:gridCol w:w="109"/>
        <w:gridCol w:w="109"/>
        <w:gridCol w:w="187"/>
        <w:gridCol w:w="189"/>
        <w:gridCol w:w="271"/>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33"/>
        <w:gridCol w:w="233"/>
        <w:gridCol w:w="316"/>
      </w:tblGrid>
      <w:tr>
        <w:trPr/>
        <w:tc>
          <w:tcPr>
            <w:tcW w:w="67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b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br/>
              <w:t>2025 vs. 2024</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goods sold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related to the sale of future royalties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Cost of Goods Sold</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Cost of product sales:</w:t>
      </w:r>
    </w:p>
    <w:p>
      <w:pPr>
        <w:pStyle w:val="TextBody"/>
        <w:bidi w:val="0"/>
        <w:spacing w:lineRule="auto" w:line="288" w:before="0" w:after="180"/>
        <w:ind w:left="0" w:right="0" w:firstLine="360"/>
        <w:jc w:val="left"/>
        <w:rPr/>
      </w:pPr>
      <w:r>
        <w:rPr>
          <w:rFonts w:ascii="Times New Roman;serif" w:hAnsi="Times New Roman;serif"/>
          <w:b w:val="false"/>
          <w:color w:val="000000"/>
          <w:sz w:val="20"/>
        </w:rPr>
        <w:t>The increase in cost of product sales in the three and nine months ended September 30, 2025 reflected higher product sales. A portion of the costs of IBSRELA and XPHOZAH units recognized as revenue during the three and nine months ended September 30, 2025 was expensed as research and development expense in periods prior to the commencement of capitalization of inventory costs for each respective product.</w:t>
      </w:r>
      <w:r>
        <w:rPr>
          <w:color w:val="000000"/>
        </w:rPr>
        <w:t xml:space="preserve"> </w:t>
      </w:r>
      <w:r>
        <w:rPr>
          <w:rFonts w:ascii="Times New Roman;serif" w:hAnsi="Times New Roman;serif"/>
          <w:b w:val="false"/>
          <w:color w:val="000000"/>
          <w:sz w:val="20"/>
        </w:rPr>
        <w:t>The cost associated with inventory sold but previously expensed as research and development was $0.3 million and $2.0 million for the three and nine months ended September 30, 2025, and $2.2 million and $4.6 million for the three and nine months ended September 30, 2024, respectively. The value of inventory on hand as of September 30, 2025 and December 31, 2024 that was previously expensed as research and development was approximately $12.3 million and $15.6 million, respectively.</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Other cost of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other cost of revenue in the three and nine months ended September 30, 2025 primarily reflected the full recognition of the $75.0 million royalty obligation under the AstraZeneca Termination Agreement as of the 2025 second quarter, partially offset by costs related to product supply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cost of revenue related to the AstraZeneca Termination Agreement was zero and $12.7 million for the three and nine months ended September 30, 2025, and $10.0 million and $22.7 million for the three and nine months ended September 30,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Below is a summary of our research and development expenses:</w:t>
      </w:r>
    </w:p>
    <w:tbl>
      <w:tblPr>
        <w:tblW w:w="11300" w:type="dxa"/>
        <w:jc w:val="center"/>
        <w:tblInd w:w="0" w:type="dxa"/>
        <w:tblLayout w:type="fixed"/>
        <w:tblCellMar>
          <w:top w:w="28" w:type="dxa"/>
          <w:left w:w="28" w:type="dxa"/>
          <w:bottom w:w="28" w:type="dxa"/>
          <w:right w:w="28" w:type="dxa"/>
        </w:tblCellMar>
      </w:tblPr>
      <w:tblGrid>
        <w:gridCol w:w="948"/>
        <w:gridCol w:w="306"/>
        <w:gridCol w:w="30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271"/>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80"/>
        <w:gridCol w:w="181"/>
        <w:gridCol w:w="316"/>
      </w:tblGrid>
      <w:tr>
        <w:trPr/>
        <w:tc>
          <w:tcPr>
            <w:tcW w:w="9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b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br/>
              <w:t>2025 vs. 2024</w:t>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External R&amp;D and other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Facilities, equipment, depreciation and other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R&amp;D expenses in the three and nine months ended September 30, 2025 primarily reflected higher external R&amp;D and other expenses associated with life cycle management, as well as the increase in employee-related expenses, driven by higher headcount to support medical engagement with scientific communities in the areas of gastroenterology and nephrology related to our marketed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employee-related expenses included stock-based compensation expense, which decreased by $0.6 million in the three months ended September 30, 2025 and increased by $1.1 million in the nine months ended September 30,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Selling, General and Administrative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selling, general and administrative expenses in the three and nine months ended September 30, 2025 primarily reflected increased commercialization and administrative costs to support net sales growth of IBSRELA and XPHOZAH. The increases consisted of spending for disease awareness initiatives, patient affordability, access support and related patient awareness, as well as increased commercial infrastructure. In addition, these increases were attributable to increased headcount, including incremental stock-based compensation expenses of $4.2 million and $7.9 million in the three and nine months ended September 30, 2025, respectively.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interest expense in the three and nine months ended September 30, 2025 primarily reflected a higher outstanding loan balance resulting from the Term D Loan and the Term E Loan draws in October 2024 and June 2025, respectively.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Non-Cash Interest Expense Related to the Sale of Future Royalties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non-cash interest expense related to the sale of future royalties in the three and nine months ended September 30, 2025 primarily reflected the increasing outstanding balance of the deferred royalty obligation attributable to the imputed interest accrued on the outstanding balance, partially offset by royalties received from Kyowa Kirin related to the sale of PHOZEVEL, which were remitted to HCR.</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income, net consists of interest income earned on our cash, cash equivalents and short-term investments and currency exchange gains and losses. In the three and nine months ended September 30, 2024, other income, net also included the periodic revaluation of our previously outstanding 2022 Exit Fee related to our 2022 Loan Agreement that was settled in October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Below is a summary of our cash, cash equivalents and short-term investments:</w:t>
      </w:r>
    </w:p>
    <w:tbl>
      <w:tblPr>
        <w:tblW w:w="8907" w:type="dxa"/>
        <w:jc w:val="left"/>
        <w:tblInd w:w="0" w:type="dxa"/>
        <w:tblLayout w:type="fixed"/>
        <w:tblCellMar>
          <w:top w:w="28" w:type="dxa"/>
          <w:left w:w="28" w:type="dxa"/>
          <w:bottom w:w="28" w:type="dxa"/>
          <w:right w:w="28" w:type="dxa"/>
        </w:tblCellMar>
      </w:tblPr>
      <w:tblGrid>
        <w:gridCol w:w="820"/>
        <w:gridCol w:w="721"/>
        <w:gridCol w:w="724"/>
        <w:gridCol w:w="326"/>
        <w:gridCol w:w="1276"/>
        <w:gridCol w:w="168"/>
        <w:gridCol w:w="109"/>
        <w:gridCol w:w="109"/>
        <w:gridCol w:w="109"/>
        <w:gridCol w:w="317"/>
        <w:gridCol w:w="1244"/>
        <w:gridCol w:w="164"/>
        <w:gridCol w:w="109"/>
        <w:gridCol w:w="109"/>
        <w:gridCol w:w="109"/>
        <w:gridCol w:w="211"/>
        <w:gridCol w:w="796"/>
        <w:gridCol w:w="109"/>
        <w:gridCol w:w="109"/>
        <w:gridCol w:w="109"/>
        <w:gridCol w:w="109"/>
        <w:gridCol w:w="218"/>
        <w:gridCol w:w="218"/>
        <w:gridCol w:w="614"/>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199,990 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185,168 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liquid funds</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242,705 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250,100 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regularly assess our cash position and our working capital needs to execute our strategy. We have historically funded our operations primarily from the sale of common stock, product sales, funds from our collaboration partnerships, funds from our loan agreements with SLR, as well as sale of future royalties to HCR. We expect that we will increasingly rely on cash generated from operations to fund our operating plan while maintaining financial flexibility from our ability to source cash from future equity sales and debt financing.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January 2023, we filed a registration statement on Form S-3, which became effective in January 2023,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$150.0 million of our common stock that may be issued and sold, from time to time, under a sales agreement with Jefferies, deemed to be “at-the-market offerings” (2023 Open Market Sales Agreement). Pursuant to the 2023 Open Market Sales Agreement, Jefferies, as sales agent, may receive a commission of up to 3.0% of the gross sales price for shares of common stock sold under the 2023 Open Market Sales Agreement. In the nine months ended September 30, 2025, we completed no sales pursuant to the 2023 Open Market Sales Agreement. As of September 30, 2025, we have completed sales pursuant to the 2023 Open Market Sales Agreement, resulting in the issuance of 16.8 million shares of our common stock and receipt of gross proceeds of $70.0 million at a weighted average sales price of approximately $4.17.</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have a loan and security agreement (as amended, the 2022 Loan Agreement) with SLR. The 2022 Loan Agreement provides a total of $300.0 million, of which $200.0 million has been drawn and outstanding as of September 30, 2025, including $50.0 million of the Term E Loan drawn during the 2025 second quarter. The additional available borrowings of $100.0 million consist of the Term F Loan and the Term G Loan, each in the amount of $50.0 million. The Term F Loan and the Term G Loan may be drawn at the Company’s election by June 30, 2026 and December 20, 2026, respectively. See </w:t>
      </w:r>
      <w:r>
        <w:rPr>
          <w:rFonts w:ascii="Times New Roman;serif" w:hAnsi="Times New Roman;serif"/>
          <w:b w:val="false"/>
          <w:i/>
          <w:color w:val="000000"/>
          <w:sz w:val="20"/>
        </w:rPr>
        <w:t>Note 9. Borrowing</w:t>
      </w:r>
      <w:r>
        <w:rPr>
          <w:color w:val="000000"/>
        </w:rPr>
        <w:t xml:space="preserve"> </w:t>
      </w:r>
      <w:r>
        <w:rPr>
          <w:rFonts w:ascii="Times New Roman;serif" w:hAnsi="Times New Roman;serif"/>
          <w:b w:val="false"/>
          <w:color w:val="000000"/>
          <w:sz w:val="20"/>
        </w:rPr>
        <w:t xml:space="preserve">of our 2024 Form 10-K and </w:t>
      </w:r>
      <w:r>
        <w:rPr>
          <w:rFonts w:ascii="Times New Roman;serif" w:hAnsi="Times New Roman;serif"/>
          <w:b w:val="false"/>
          <w:i/>
          <w:color w:val="000000"/>
          <w:sz w:val="20"/>
        </w:rPr>
        <w:t xml:space="preserve">Note 8. Borrowing </w:t>
      </w:r>
      <w:r>
        <w:rPr>
          <w:rFonts w:ascii="Times New Roman;serif" w:hAnsi="Times New Roman;serif"/>
          <w:b w:val="false"/>
          <w:color w:val="000000"/>
          <w:sz w:val="20"/>
        </w:rPr>
        <w:t>of this Quarterly Report on Form 10-Q for further discussion.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our available cash, cash equivalents and short-term investments as of September 30, 2025 will be sufficient to fund our planned operations for at least a period of one year from the issuance of these financial statements. We have based this estimate on assumptions that may prove to be wrong and we could utilize our available capital resources sooner than we currently expect. In particular, our operating plan may change and we may require significant additional capital to fund our operations. There are no assurances that our efforts to meet our operating cash flow requirements will be successful. If our current cash, cash equivalents and short-term investments as well as our plans to meet our operating cash flow requirements are not sufficient to fund necessary expenditures and meet our obligations following the issuance of these financial statements, our liquidity, financial condition and business prospects will be materially affected.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future funding requirements will depend on many factors as described in Part II, Item 1A, “Risk Factors,”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CASH FLOW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w:t>
      </w:r>
    </w:p>
    <w:tbl>
      <w:tblPr>
        <w:tblW w:w="9956" w:type="dxa"/>
        <w:jc w:val="left"/>
        <w:tblInd w:w="0" w:type="dxa"/>
        <w:tblLayout w:type="fixed"/>
        <w:tblCellMar>
          <w:top w:w="28" w:type="dxa"/>
          <w:left w:w="28" w:type="dxa"/>
          <w:bottom w:w="28" w:type="dxa"/>
          <w:right w:w="28" w:type="dxa"/>
        </w:tblCellMar>
      </w:tblPr>
      <w:tblGrid>
        <w:gridCol w:w="1564"/>
        <w:gridCol w:w="1375"/>
        <w:gridCol w:w="1380"/>
        <w:gridCol w:w="247"/>
        <w:gridCol w:w="933"/>
        <w:gridCol w:w="127"/>
        <w:gridCol w:w="127"/>
        <w:gridCol w:w="127"/>
        <w:gridCol w:w="127"/>
        <w:gridCol w:w="247"/>
        <w:gridCol w:w="933"/>
        <w:gridCol w:w="127"/>
        <w:gridCol w:w="109"/>
        <w:gridCol w:w="109"/>
        <w:gridCol w:w="109"/>
        <w:gridCol w:w="213"/>
        <w:gridCol w:w="803"/>
        <w:gridCol w:w="110"/>
        <w:gridCol w:w="110"/>
        <w:gridCol w:w="110"/>
        <w:gridCol w:w="110"/>
        <w:gridCol w:w="268"/>
        <w:gridCol w:w="272"/>
        <w:gridCol w:w="319"/>
      </w:tblGrid>
      <w:tr>
        <w:trPr/>
        <w:tc>
          <w:tcPr>
            <w:tcW w:w="156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2025 vs. 2024</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(63,434)</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(54,619)</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53,952 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57,276 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(22,217)</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25,959 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(48,176)</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increased in the nine months ended September 30, 2025 primarily due to higher expenses to support our commercial growth, as well as higher disbursements for previously accrued royalties under the AstraZeneca Termination Agreement, pursuant to which the maximum royalty obligation of $75.0 million had been fully remitted as of September 30, 2025. This increase was partially offset by cash inflows from higher product sales, net and timing of collection of our accounts receivable.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increased in the nine months ended September 30, 2025 primarily due to the timing of our investment maturities and purchases.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decreased in the nine months ended September 30, 2025 due to receipts from the Term E Loan, net of costs ($48.7 million) and the issuance of common stock under our equity incentive and stock purchase plans, which were lower than receipts from the Term C Loan, net of costs ($49.8 million) and the issuance of common stock under our equity incentive and stock purchase plans in the nine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market risks, including interest rate fluctuation exposure through our investments, in the ordinary course of our business. The goals of our investment policy are the preservation of capital, fulfillment of liquidity needs and fiduciary control of cash. To achieve our goal of maximizing income without assuming significant market risk, we maintain our excess cash and cash equivalents in money market funds and short-term debt securities. Because of the short-term maturities of our cash equivalents, we do not believe that a decrease in interest rates would have any material negative impact on the fair value of our cash equivalents.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September 30, 2025, we had cash, cash equivalents and short-term investments of $242.7 million, which consisted of bank deposits and money market funds, as well as high quality fixed income instruments, including commercial paper, U.S. government-sponsored agency bonds, U.S. treasury securities, corporate bonds and asset-backed securities. The credit rating of our short-term investments must be rated A-1/P-1, or better by Standard and Poor’s and Moody’s Investors Service. Asset-backed securities must be rated AAA/Aaa. Money market funds must be rated AAA/Aaa. Such interest-earning instruments carry a degree of interest rate risk. However, because our investments are high quality and short-term in duration, we believe that our exposure to interest rate risk is not significant and that a 10% movement in market interest rates would not have a significant impact on the total value of our portfolio, as noted above. We do not enter into investments for trading or speculative purposes.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principal outstanding under our 2022 Loan Agreement is subject to a variable interest rate, which fluctuates with changes in one-month CME Term SOFR reference rate as published by the CME Term SOFR Administrator on the CME Term SOFR Administrator’s Website. A hypothetical increase in one-month CME Term SOFR of 100 basis points above the current one-month CME Term SOFR rate would have increased our interest expense by approximately $1.3 million for the nine months ended September 30, 2025. As of September 30, 2025, we had an aggregate principal amount of $200.0 million outstanding pursuant to our 2022 Loan Agreement.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majority of our transactions are denominated in U.S. dollars. However, we do have certain transactions that are denominated in currencies other than the U.S. dollar, primarily Swiss francs, Japanese yen and the Euro, and we therefore are subject to foreign exchange risk. The fluctuation in the value of the U.S. dollar against other currencies affects the reported amounts of expenses, non-cash royalty revenue related to the sale of future royalties, assets and liabilities associated with a limited number of manufacturing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use derivative financial instruments for speculative trading purposes, nor do we hedge foreign currency exchange rate exposure in a manner that entirely offsets the earnings effects of changes in foreign currency exchange rates. As of September 30, 2025, we had no open forward foreign currency exchange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required by Rule 13a-15(b) under the Exchange Act, our management, under the supervision and with the participation of our principal executive officer and principal financial officer, has evaluated the effectiveness of the design and operation of our disclosure controls and procedures (as such term is defined in Rules 13a-15(e) and 15d-15(e) under the Exchange Act) as of September 30, 2025.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such evaluation, our principal executive officer and principal financial officer have concluded that, as of September 30, 2025, our disclosure controls and procedures were effective at a reasonable assurance level.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there were no changes in our internal control over financial reporting that have materially affected, or are reasonably likely to materially affect, our internal control over financial reporting.</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Inherent Limitations on Effectiveness of Controls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ind w:left="0" w:right="0" w:firstLine="360"/>
        <w:jc w:val="both"/>
        <w:rPr/>
      </w:pPr>
      <w:r>
        <w:rPr>
          <w:rFonts w:ascii="Times New Roman;serif" w:hAnsi="Times New Roman;serif"/>
          <w:b w:val="false"/>
          <w:color w:val="000000"/>
          <w:sz w:val="20"/>
        </w:rPr>
        <w:t>See information under the “Legal Proceedings and Claims</w:t>
      </w:r>
      <w:r>
        <w:rPr>
          <w:color w:val="000000"/>
        </w:rPr>
        <w:t xml:space="preserve">” </w:t>
      </w:r>
      <w:r>
        <w:rPr>
          <w:rFonts w:ascii="Times New Roman;serif" w:hAnsi="Times New Roman;serif"/>
          <w:b w:val="false"/>
          <w:color w:val="000000"/>
          <w:sz w:val="20"/>
        </w:rPr>
        <w:t xml:space="preserve">caption of </w:t>
      </w:r>
      <w:r>
        <w:rPr>
          <w:rFonts w:ascii="Times New Roman;serif" w:hAnsi="Times New Roman;serif"/>
          <w:b w:val="false"/>
          <w:i/>
          <w:color w:val="000000"/>
          <w:sz w:val="20"/>
        </w:rPr>
        <w:t>Note 14. Commitments and Contingencies</w:t>
      </w:r>
      <w:r>
        <w:rPr>
          <w:color w:val="000000"/>
        </w:rPr>
        <w:t xml:space="preserve"> </w:t>
      </w:r>
      <w:r>
        <w:rPr>
          <w:rFonts w:ascii="Times New Roman;serif" w:hAnsi="Times New Roman;serif"/>
          <w:b w:val="false"/>
          <w:color w:val="000000"/>
          <w:sz w:val="20"/>
        </w:rPr>
        <w:t>which we incorporated here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Our business involves significant risks, some of which are described below. You should carefully consider these risks, as well as other information in this Quarterly Report on Form 10-Q, including our financial statements and the notes thereto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Additional risks and uncertainties not presently known to us or that we currently deem immaterial may also impair our business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Financial Condition and Capital Requirements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incurred losses in each year since our inception, and if we are unable to continue to increase revenue and/or, depending upon our pursuit of future business opportunities, we may not achieve projected cash flow positivity, and even if we do, we may not be able to sustain cash flow positivity quarter over quarter and year over year.</w:t>
      </w:r>
    </w:p>
    <w:p>
      <w:pPr>
        <w:pStyle w:val="TextBody"/>
        <w:bidi w:val="0"/>
        <w:spacing w:lineRule="auto" w:line="288" w:before="0" w:after="180"/>
        <w:ind w:left="0" w:right="0" w:firstLine="360"/>
        <w:jc w:val="left"/>
        <w:rPr/>
      </w:pPr>
      <w:r>
        <w:rPr>
          <w:rFonts w:ascii="Times New Roman;serif" w:hAnsi="Times New Roman;serif"/>
          <w:b w:val="false"/>
          <w:color w:val="000000"/>
          <w:sz w:val="20"/>
        </w:rPr>
        <w:t>In March 2022, we commenced the commercialization of our first product, IBSRELA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(tenapanor) for the treatment of IBS-C in adult patients. In November 2023, we commenced the commercialization of XPHOZAH</w:t>
      </w:r>
      <w:r>
        <w:rPr>
          <w:rFonts w:ascii="Times New Roman;serif" w:hAnsi="Times New Roman;serif"/>
          <w:b w:val="false"/>
          <w:color w:val="000000"/>
          <w:sz w:val="13"/>
        </w:rPr>
        <w:t xml:space="preserve">® </w:t>
      </w:r>
      <w:r>
        <w:rPr>
          <w:rFonts w:ascii="Times New Roman;serif" w:hAnsi="Times New Roman;serif"/>
          <w:b w:val="false"/>
          <w:color w:val="000000"/>
          <w:sz w:val="20"/>
        </w:rPr>
        <w:t>(tenapanor) for the reduction of serum phosphorus in adults with CKD on dialysis as add-on therapy in patients who have an inadequate response to phosphate binders or who are intolerant of any dose of phosphate binder therapy.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incurred losses in each year since our inception in October 2007. We continue to incur significant commercialization, development and additional expenses related to our ongoing operations and pursuit of future business opportunities. As of September 30, 2025, we had an accumulated deficit of $946.5 million. Our prior losses, combined with any future losses, have had and will continue to have an adverse effect on our stockholders’ equity and working capital.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are unable to continue to increase revenue for IBSRELA and XPHOZAH, and/or if we elect to pursue future business opportunities to strengthen our pipeline, we may not achieve projected cash flow positivity, and even if we do, we may not be able to sustain cash flow positivity quarter over quarter and year over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achieve and sustain cash flow positivity quarter over quarter and year over year depends heavily on our ability to successfully commercialize ISBRELA and XPHOZAH and on the decisions we may make to expand our pipeline through internal investment and/or acquiring external assets.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successfully commercialize IBSRELA and XPHOZAH and continue to grow revenue received for both products depends on many factors, including but not limited to: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maintaining sufficient market acceptance of IBSRELA as a viable treatment option for IBS-C;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obtaining market acceptance of XPHOZAH;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access to XPHOZAH is impacted by the elimination of Medicare Part D coverage for XPHOZAH which occurred on January 1, 2025, and the extent to which this change will interfere with the shared decision-making between healthcare professionals and their patients, regardless of insurance coverage;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the elimination of separate payment for XPHOZAH for Medicare beneficiaries under Medicare Part D will influence the payment decisions of other payors and the extent to which payment for XPHOZAH will continue to be made as a pharmacy benefit for non-Medicare patients;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obtain an adequate level of coverage and reimbursement for IBSRELA by third-party payors;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the actions of the Trump Administration may result in downward pressure on the price that we receive for IBSRELA and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establishing and maintaining supply and manufacturing relationships with third parties that can provide an adequate (in amount and quality) supply of product to support the market demand for IBSRELA and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addressing any competing technological and market developments;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attracting, hiring, and retaining qualified personnel.</w:t>
      </w:r>
    </w:p>
    <w:p>
      <w:pPr>
        <w:pStyle w:val="TextBody"/>
        <w:bidi w:val="0"/>
        <w:spacing w:lineRule="auto" w:line="288" w:before="0" w:after="180"/>
        <w:ind w:left="0" w:right="0" w:firstLine="360"/>
        <w:jc w:val="left"/>
        <w:rPr/>
      </w:pPr>
      <w:r>
        <w:rPr>
          <w:rFonts w:ascii="Times New Roman;serif" w:hAnsi="Times New Roman;serif"/>
          <w:b w:val="false"/>
          <w:color w:val="000000"/>
          <w:sz w:val="20"/>
        </w:rPr>
        <w:t>With respect to our commercialization of IBSRELA and XPHOZAH, our revenue, and therefore, our ability to achieve and sustain cash flow positivity will be dependent, in part, upon the size of the markets in the U.S., the label for which approval was granted, accepted price for the product, and the ability to secure and maintain adequate reimbursement. Beginning January 1, 2025, XPHOZAH, along with other oral drugs for ESRD patients on dialysis without injectable or intravenous equivalents, are now included in the ESRD PPS, thereby eliminating coverage for XPHOZAH and these other oral drugs under Medicare Part D as of such date. The inclusion of XPHOZAH in the ESRD PPS creates additional uncertainty as to the commercial opportunity for XPHOZAH. See “—</w:t>
      </w:r>
      <w:r>
        <w:rPr>
          <w:rFonts w:ascii="Times New Roman;serif" w:hAnsi="Times New Roman;serif"/>
          <w:b w:val="false"/>
          <w:i/>
          <w:color w:val="000000"/>
          <w:sz w:val="20"/>
        </w:rPr>
        <w:t>XPHOZAH is now included in the ESRD PPS, effective January 1, 2025, which means coverage for XPHOZAH for Medicare beneficiaries is no longer available under Medicare Part D, and as a result the revenue that we may generate on sales of XPHOZAH will be negatively and materially impacted</w:t>
      </w:r>
      <w:r>
        <w:rPr>
          <w:color w:val="000000"/>
        </w:rPr>
        <w:t xml:space="preserve">” </w:t>
      </w:r>
      <w:r>
        <w:rPr>
          <w:rFonts w:ascii="Times New Roman;serif" w:hAnsi="Times New Roman;serif"/>
          <w:b w:val="false"/>
          <w:color w:val="000000"/>
          <w:sz w:val="20"/>
        </w:rPr>
        <w:t>below.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our current cash, cash equivalents and short-term investments as well as our plans to meet our operating cash flow requirements are not sufficient to fund investments we may elect to make in building our pipeline, we will not be able achieve or, if achieved, to sustain cash flow positivity, and our liquidity, financial condition, and business prospects may be materially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ability to utilize our net operating loss carryforwards and certain other tax attributes may be limited.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substantial net operating loss and tax credit carryforwards for Federal and California income tax purposes. Such net operating losses and tax credits carryforwards may be reduced as a result of certain intercompany restructuring transactions. In addition, the future utilization of such net operating loss and tax credit carryforwards and credits may be subject to limitations, pursuant to Sections 382 and 383 of the Internal Revenue Code of 1986, as amended. In general, if a corporation undergoes an “ownership change,” generally defined as a cumulative change of more than 50 percentage points (by value) in its equity ownership by certain stockholders over a three-year period, the corporation’s ability to use its pre-change NOL carryforwards and other pre-change tax attributes (such as research and development tax credits) to offset its post-change income or taxes may be limited. We have experienced ownership changes in the past and may experience additional ownership changes in the future, as a result of subsequent changes in our stock ownership, some of which are outside our control. Accordingly, we may not be able to utilize a material portion of our NOL carryforwards, even if we achieve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may require additional financing for the foreseeable future as we invest in the growth of IBSRELA and XPHOZAH in the U.S. and build a pipeline. The inability to access necessary capital when needed on acceptable terms, or at all, could force us to delay or limit our pursuit of other future business opportunities.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we will continue to expend substantial resources for the foreseeable future, including costs associated with our efforts to commercialize IBSRELA and XPHOZAH; conducting pediatric clinical trials for IBSRELA; manufacturing for IBSRELA and XPHOZAH; investments to build a pipeline; and research and development related to potential new product candidates, including development costs related to RDX10531, a next generation sodium/hydrogen exchanger 3 (NHE3) inhibitor. The inability to access necessary capital when needed on acceptable terms, or at all, could force us to delay or limit our development of potential new products, or our pursuit of future business opportunities. Our future funding requirements will depend on many factors, including, but not limited to: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we are able to continue to generate product revenue from sales of IBSRELA and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access to XPHOZAH is impacted by the elimination of Medicare Part D coverage for XPHOZAH which occurred on January 1, 2025, and the extent to which this change will interfere with the shared decision-making between healthcare professionals and their patients, regardless of insurance coverage;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the elimination of separate payment for XPHOZAH for Medicare beneficiaries under Medicare Part D will influence the payment decisions of other payors and the extent to which payment for XPHOZAH will continue to be made as a pharmacy benefit for non-Medicare patients;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extent to which the actions of the Trump Administration may result in downward pressure on the price that we receive for IBSRELA and XPHOZAH;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availability of adequate third-party reimbursement for IBSRELA;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manufacturing, selling and marketing costs associated with IBSRELA and XPHOZAH;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our existing collaboration partnerships and to establish additional collaboration partnerships, in-license/out-license, joint ventures or other similar arrangements and the financial terms of such agreements;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timing, receipt and amount of milestones or royalties from our collaboration partners,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cash requirements necessary to expand our business;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cash requirements for the discovery and/or development of other potential product candidates, including RDX10531;</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time and cost necessary to respond to technological and market developments;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costs of filing, prosecuting, maintaining, defending and enforcing any patent claims and other intellectual property rights, including litigation costs and the outcome of such litigation, and costs of defending any claims of infringement brought by others in connection with the development, manufacture or commercialization of tenapanor or any of our product candidates;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payment of interest and principal related to our loan and security agreement entered into with SLR, as amended to date.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 funds may not be available when we need them on terms that are acceptable to us, or at all. If adequate funds are not available to us on a timely basis, we may be required to delay or limit additional clinical trials for tenapanor, or delay or limit our pursuit of other future business opportunities.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Principal Risks Related to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substantially dependent on the successful commercialization of IBSRELA, and there is no guarantee that we will maintain sufficient market acceptance for IBSRELA, grow market share for IBSRELA, secure and maintain adequate coverage and reimbursement for IBSRELA, or generate sufficient revenue from product sales of IBSRELA.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began selling IBSRELA in the U.S. in March 2022. The overall commercial success of IBSRELA will depend on a number of factors, including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ability of the third-party manufacturers we contract with to provide an adequate (in amount and quality) supply of product to support the market demand for IBSRELA;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obtain and sustain an adequate level of coverage and reimbursement for IBSRELA by third-party payors;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effectiveness of IBSRELA as a treatment for adult patients with IBS-C;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IBSRELA will be subject to price negotiations under the IRA, and the timing and impact of those price negotiations on the revenue from product sales of IBSRELA;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the actions of the Trump Administration may result in downward pressure on the price that we receive for IBSRELA;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size of the treatable patient population;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continue to increase the market share of IBSRELA;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effectiveness of our sales, market access and marketing efforts;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physicians view IBSRELA as a safe and effective treatment for adult patients with IBS-C, which will impact the adoption of IBSRELA by physicians for the treatment of IBS-C;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availability, perceived advantages, relative cost, relative safety and relative efficacy of IBSRELA compared to alternative and competing treatments;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prevalence and severity of adverse side effects of IBSRELA;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potential involvement in lawsuits in connection with enforcing intellectual property rights in and to IBSRELA;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potential involvement in third-party interference, opposition, derivation or similar proceedings with respect to our patent rights directed to IBSRELA, and avoiding other challenges to our patent rights and patent infringement claims;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continued acceptable safety and tolerability profile of IBSRELA following approval.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amount of potential revenue we may achieve from the commercialization of IBSRELA is subject to these and other factors, and may be unpredictable from quarter-to-quarter. If the number of patients in the market for IBSRELA or the price that the market can bear is not as significant as we estimate, or if we are not able to continue to secure and maintain physician and patient acceptance of IBSRELA or adequate coverage and reimbursement for IBSRELA, we may not generate sufficient revenue from sales of IBSRELA. Any failure of IBSRELA to maintain market acceptance, continue to increase market share, obtain and maintain sufficient third-party coverage or reimbursement, or achieve commercial success would adversely affect our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There is no guarantee that we will achieve sufficient market acceptance for XPHOZAH, or that we will be able to secure and maintain adequate coverage and reimbursement for XPHOZAH, or generate sufficient revenue from product sales of XPHOZAH. The inclusion of XPHOZAH in the ESRD PPS creates additional uncertainty as to the commercial opportunity for XPHOZAH.</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began selling XPHOZAH in the U.S. in November 2023. The overall commercial success of XPHOZAH will depend on a number of factors, including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access to XPHOZAH is impacted by the elimination of Medicare Part D coverage for XPHOZAH which occurred on January 1, 2025, and the extent to which this change will interfere with the shared decision-making between healthcare professionals and their patients, regardless of insurance coverage;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the elimination of separate payment for XPHOZAH for Medicare beneficiaries under Medicare Part D will influence the payment decisions of other payors and the extent to which payment for XPHOZAH will continue to be made as a pharmacy benefit for non-Medicare patients;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the actions of the Trump Administration may result in downward pressure on the price that we receive for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ability of the third-party manufacturers we contract with to provide an adequate (in amount and quality) supply of product to support the market demand for XPHOZAH;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or not the content and breadth of the label that has been approved by the U.S. FDA for XPHOZAH will materially and adversely impact our ability to commercialize the product for the approved indication;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prevalence and severity of adverse side effects of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acceptance of XPHOZAH as safe, effective and well-tolerated by patients and the medical community;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manage the commercialization of IBSRELA and XPHOZAH and the complex pricing and reimbursement negotiations that may arise with marketing products containing the same active ingredient at different doses for separate indications;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availability, perceived advantages, relative cost, relative safety and relative efficacy of XPHOZAH compared to alternative and competing treatments;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obtaining and sustaining an adequate level of coverage and reimbursement for XPHOZAH by third-party payors;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potential involvement in lawsuits in connection with enforcing intellectual property rights in and to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potential involvement in third-party interference, opposition, derivation or similar proceedings with respect to our patent rights, and avoiding other challenges to our patent rights and patent infringement claims;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continued acceptable safety and tolerability profile of XPHOZAH following approval.</w:t>
      </w:r>
    </w:p>
    <w:p>
      <w:pPr>
        <w:pStyle w:val="TextBody"/>
        <w:bidi w:val="0"/>
        <w:spacing w:lineRule="auto" w:line="288" w:before="0" w:after="180"/>
        <w:ind w:left="0" w:right="0" w:firstLine="288"/>
        <w:jc w:val="left"/>
        <w:rPr/>
      </w:pPr>
      <w:r>
        <w:rPr>
          <w:rFonts w:ascii="Times New Roman;serif" w:hAnsi="Times New Roman;serif"/>
          <w:b w:val="false"/>
          <w:color w:val="000000"/>
          <w:sz w:val="20"/>
        </w:rPr>
        <w:t>There is no guarantee that we will achieve sufficient market acceptance for XPHOZAH, or that we will be able to secure and maintain adequate coverage and reimbursement for XPHOZAH, or generate sufficient revenue from product sales of XPHOZAH. The inclusion of XPHOZAH in the ESRD PPS creates additional uncertainty as to the commercial opportunity for XPHOZAH. See “—</w:t>
      </w:r>
      <w:r>
        <w:rPr>
          <w:rFonts w:ascii="Times New Roman;serif" w:hAnsi="Times New Roman;serif"/>
          <w:b w:val="false"/>
          <w:i/>
          <w:color w:val="000000"/>
          <w:sz w:val="20"/>
        </w:rPr>
        <w:t>XPHOZAH is now included in the ESRD PPS, effective January 1, 2025, which means coverage for XPHOZAH for Medicare beneficiaries is no longer available under Medicare Part D, and as a result the revenue that we may generate on sales of XPHOZAH will be negatively and materially impacted</w:t>
      </w:r>
      <w:r>
        <w:rPr>
          <w:color w:val="000000"/>
        </w:rPr>
        <w:t xml:space="preserve">” </w:t>
      </w:r>
      <w:r>
        <w:rPr>
          <w:rFonts w:ascii="Times New Roman;serif" w:hAnsi="Times New Roman;serif"/>
          <w:b w:val="false"/>
          <w:color w:val="000000"/>
          <w:sz w:val="20"/>
        </w:rPr>
        <w:t>below.</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XPHOZAH is now included in the ESRD PPS, effective January 1, 2025, which means coverage for XPHOZAH for Medicare beneficiaries is no longer available under Medicare Part D, and as a result the revenue that we may generate on sales of XPHOZAH will be negatively and materially impacted.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January 2011, the CMS, an agency within the United States Department of Health and Human Services responsible for administering the Medicare program, implemented the ESRD PPS, a new PPS for dialysis treatment. Under the ESRD PPS, CMS generally makes a single bundled payment to the dialysis facility for each dialysis treatment that covers all items and services routinely required for dialysis treatments furnished to Medicare beneficiaries in Medicare-certified ESRD facilities or at their home, including the cost of certain drugs defined by CMS to be part of the renal dialysis service. CMS included XPHOZAH in the ESRD PPS, effective January 1, 2025, which means coverage for XPHOZAH for Medicare beneficiaries is no longer available under Medicare Part D, and as a result the revenue that we may generate on sales of XPHOZAH will be negatively and materially impacted.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extent to which the inclusion of XPHOZAH in the ESRD PPS will materially and adversely impact our XPHOZAH business is dependent on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extent to which access to XPHOZAH is impacted by the elimination of Medicare Part D coverage for XPHOZAH which occurred on January 1, 2025, and the extent to which this change will interfere with the shared decision-making between healthcare professionals and their patients, regardless of insurance coverage;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the elimination of separate payment for XPHOZAH for Medicare beneficiaries under Medicare Part D will influence the payment decisions of other payors and the extent to which payment for XPHOZAH will continue to be made as a pharmacy benefit for non-Medicare patients.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IBSRELA and/or XPHOZAH may cause undesirable side effects or have other properties that could limit the commercial success of the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Undesirable side effects caused by IBSRELA and/or XPHOZAH could cause us or regulatory authorities to interrupt, delay or halt the commercialization of the product. Despite marketing approval for IBSRELA and XPHOZAH, the prevalence and/or severity of side effects caused by IBSRELA and/or XPHOZAH could result in a number of potentially significant negative consequences,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regulatory authorities may withdraw their approval of the product or seize the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or a collaboration partner may be required to recall the product;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additional restrictions may be imposed on the marketing of the particular product or the manufacturing processes for the product or any component thereof, including the imposition of a REMS which could require creation of a Medication Guide or patient package insert outlining the risks of such side effects for distribution to patients, a communication plan to educate healthcare providers of the drugs’ risks, as well as other elements to assure safe use of the product, such as a patient registry and training and certification of prescribers;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or a collaboration partner may be subject to fines, injunctions or the imposition of civil or criminal penalties;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regulatory authorities may require the addition of new labeling statements, such as a “black box” warning or a contraindication;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could be sued and held liable for harm caused to patients;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product may become less competitive;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reputation may suffer.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of the foregoing events could prevent us, or a collaboration partner, from achieving or maintaining market acceptance of IBSRELA and/or XPHOZAH, and could result in the loss of significant revenue to us, which would materially and adversely affect our results of operations and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Third-party payor coverage and reimbursement status of newly commercialized products are uncertain. Failure to obtain or maintain adequate coverage and reimbursement for IBSRELA and XPHOZAH could limit our ability to market those products and decrease our ability to generate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pricing, coverage and reimbursement of IBSRELA and XPHOZAH must be adequate to support a commercial infrastructure. The availability and adequacy of coverage and reimbursement by governmental and private payors are essential for most patients to be able to afford treatments. Sales of IBSRELA and XPHOZAH, will depend substantially, both domestically and abroad, on the extent to which the costs of the product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or our collaboration partners, may not be able to successfully commercialize IBSRELA, or XPHOZAH. Even if coverage is provided, the approved reimbursement amount may not be high enough to allow us to establish or maintain pricing sufficient to realize a return on our investment.</w:t>
      </w:r>
    </w:p>
    <w:p>
      <w:pPr>
        <w:pStyle w:val="TextBody"/>
        <w:bidi w:val="0"/>
        <w:spacing w:lineRule="auto" w:line="288" w:before="0" w:after="180"/>
        <w:ind w:left="0" w:right="0" w:firstLine="360"/>
        <w:jc w:val="left"/>
        <w:rPr/>
      </w:pPr>
      <w:r>
        <w:rPr>
          <w:rFonts w:ascii="Times New Roman;serif" w:hAnsi="Times New Roman;serif"/>
          <w:b w:val="false"/>
          <w:color w:val="000000"/>
          <w:sz w:val="20"/>
        </w:rPr>
        <w:t>In the U.S., CMS decides whether and to what extent a new drug will be covered and reimbursed under Medicare. Private payors tend to follow the coverage reimbursement policies established by CMS to a substantial degree. Beginning January 1, 2025, XPHOZAH, along with other oral drugs for ESRD patients on dialysis without injectable or intravenous equivalents, are now included in the ESRD PPS, thereby eliminating coverage for XPHOZAH and these other oral drugs under Medicare Part D as of such date. See “—</w:t>
      </w:r>
      <w:r>
        <w:rPr>
          <w:rFonts w:ascii="Times New Roman;serif" w:hAnsi="Times New Roman;serif"/>
          <w:b w:val="false"/>
          <w:i/>
          <w:color w:val="000000"/>
          <w:sz w:val="20"/>
        </w:rPr>
        <w:t>XPHOZAH is now included in the ESRD PPS, effective January 1, 2025, which means coverage for XPHOZAH for Medicare beneficiaries is no longer available under Medicare Part D, and as a result the revenue that we may generate on sales of XPHOZAH will be negatively and materially impacted</w:t>
      </w:r>
      <w:r>
        <w:rPr>
          <w:color w:val="000000"/>
        </w:rPr>
        <w:t xml:space="preserve">” </w:t>
      </w:r>
      <w:r>
        <w:rPr>
          <w:rFonts w:ascii="Times New Roman;serif" w:hAnsi="Times New Roman;serif"/>
          <w:b w:val="false"/>
          <w:color w:val="000000"/>
          <w:sz w:val="20"/>
        </w:rPr>
        <w:t>above.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Outside the U.S., international operations are generally subject to extensive governmental price controls and other market regulations, and we believe the increasing emphasis on cost-containment initiatives in Europe, Canada, Japan, China and other countries has and will continue to put pressure on the pricing and usage of IBSRELA and XPHOZAH, even if regulatory approval is received in such countries.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products. Accordingly, in markets outside the U.S., the reimbursement for our products may be reduced compared with the U.S. and may be insufficient to generate commercially reasonable revenue and profits.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Moreover, increasing efforts by governmental and third-party payors in the U.S. and abroad to cap or reduce healthcare costs may cause such organizations to limit both coverage and the level of reimbursement for newly approved products and, as a result, these caps may not cover or provide adequate payment for our product candidates. We expect to experience pricing pressures in connection with the sale of IBSRELA and XPHOZAH,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rely completely on third parties, including certain single-source suppliers,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XPHOZAH may be materially harmed.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currently have, nor do we plan to acquire, the infrastructure or capability internally to manufacture IBSRELA or XPHOZAH on a commercial scale, or to manufacture our drug supplies for use in the conduct of our nonclinical and clinical studies. Our success depends upon our ability to enter into new supplier agreements and maintain our relationships with suppliers who are critical and necessary to the production of our drug supply.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facilities used by our CMOs to manufacture our drug supply are subject to inspection by the U.S. FDA. Our ability to control the manufacturing process of our product candidates is limited to the contractual requirements and obligations we impose on our CMOs. Although they are contractually required to do so, we are completely dependent on our CMOs for compliance with the regulatory requirements, known as cGMP requirements, for manufacture of both active drug substances and finished drug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manufacture of pharmaceutical products requires significant expertise and capital investment. Manufacturers of pharmaceutical products often encounter difficulties in commercial production. These problems may include difficulties with production costs and yields, quality control, including stability of the product and quality assurance testing, and shortages of qualified personnel, as well as compliance with federal, state and foreign regulations and the challenges associated with complex supply chain management. Even if our CMOs do not experience problems and commercial manufacturing is achieved, their maximum or available manufacturing capacities may be insufficient to meet commercial demand. Finding alternative manufacturers or adding additional manufacturers requires a significant amount of time and involves significant expense. New manufacturers would need to develop and implement the necessary production techniques and processes, which along with their facilities, would need to be inspected and approved by the regulatory authorities in each applicable territory. In addition, the raw materials necessary to make API for our products are acquired from a limited number of sources. Any delay or disruption in the availability of these raw materials could result in production disruptions, delays or higher costs with consequent adverse effects on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our CMOs fail to adhere to applicable cGMP or other regulatory requirements, experience delays or disruptions in the availability of raw materials or experience manufacturing or distribution problems, we may suffer significant consequences, including the inability to meet our product requirements for our clinical development programs, and such events could result in product seizures or recalls, loss of product approval, fines and sanctions, reputational damage, shipment delays, inventory shortages, inventory write-offs and other product-related charges and increased manufacturing costs. As a result, or if maximum or available manufacturing capacities are insufficient to meet demand, our development or our commercialization efforts for IBSRELA and/or XPHOZAH may be materially harmed.</w:t>
      </w:r>
    </w:p>
    <w:p>
      <w:pPr>
        <w:pStyle w:val="TextBody"/>
        <w:bidi w:val="0"/>
        <w:spacing w:lineRule="auto" w:line="288" w:before="0" w:after="180"/>
        <w:jc w:val="left"/>
        <w:rPr/>
      </w:pPr>
      <w:r>
        <w:rPr>
          <w:rFonts w:ascii="Times New Roman;serif" w:hAnsi="Times New Roman;serif"/>
          <w:b/>
          <w:i/>
          <w:color w:val="000000"/>
          <w:sz w:val="20"/>
        </w:rPr>
        <w:t>Our future results depend on CMOs, many of whom are our single source manufacturers.</w:t>
      </w:r>
      <w:r>
        <w:rPr>
          <w:color w:val="000000"/>
        </w:rPr>
        <w:t xml:space="preserv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Many of our CMOs are currently single source manufacturers. While we try to obtain multiple sources whenever possible, similar to other commercial pharmaceutical companies, three stages of our manufacturing process are currently completed by a single source, which exposes us to a number of risks related to our supply chain, including delivery failure and drug shortages. To date, we have no qualified alternative sources for these single source CMOs.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manufacturing and commercial supply agreements with our CMOs, including our single source CMOs, contain or are likely to contain pricing provisions that are subject to adjustment based on factors outside of our control, including changes in market prices. Substantial increases in the prices for necessary materials and equipment, whether due to supply chain or logistics issues or due to inflation, would increase our operating costs and could reduce our margins. Any attempts to increase the announced or expected prices of IBSRELA and/or XPHOZAH in response to increased costs could be viewed negatively by the public and could adversely affect our business, prospects,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we currently and may in the future rely on foreign CMOs and CROs. Such foreign CMOs and CROs may be subject to U.S. legislation, sanctions,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 inability to continue to source product from any of these CMOs, which could be due to regulatory actions or requirements affecting the supplier, adverse financial or other strategic developments experienced by a CMO, labor disputes or shortages, unexpected demands, or quality issues, could adversely affect our ability to satisfy demand for our products, which could adversely and materially affect our product sales and operating results, which could significantly harm our business. Furthermore, qualifying alternate suppliers or developing our own manufacturing capability for certain highly customized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stages of our manufacturing process may be time consuming and costly. There can be no assurance that our business, financial condition and results of operations will not be materially and adversely affected by supply chain disruptions. Any disruption in the supply chain, whether or not from a single source CMO, could temporarily disrupt production of our drug supply until an alternative supplier is fully qualified by us or until such CMO is able to perform. There can be no assurance that we would be able to successfully retain an alternative CMO on a timely basis, on acceptable terms, or at all. Changes in business conditions, force majeure, governmental changes, and other factors beyond our control or which we do not presently anticipate, could also affect our CMOs’ ability to deliver components to us on a timely basis. Any of the foregoing could materially and adversely affect our results of operations, financial condition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operating activities may be restricted as a result of covenants related to the indebtedness under our loan and security agreement with SLR, as amended, and we may be required to repay the outstanding indebtedness in an event of default, which could have a materially adverse effect on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February 23, 2022, we entered into a loan and security agreement (the 2022 Loan Agreement) with SLR as collateral agent and the lenders listed in the 2022 Loan Agreement (collectively, the 2022 Lenders). The 2022 Loan Agreement was subsequently amended in August 2022 (the First Amendment), February 2023 (the Second Amendment), October 2023 (the Third Amendment), October 2024 (Fourth Amendment), and June 2025 (Fifth Amendment). The loan was funded in the amount of $27.5 million on February 23, 2022 and additional amounts of $22.5 million, $50.0 million, $50.0 million and $50.0 million were drawn on October 19, 2023, March 1, 2024, October 29, 2024 and June 30, 2025, respectively. In addition, we have the option to draw up to an additional $100.0 million, consisting of two separate term loans, each in a principal amount of $50.0 million: (a) the first of which is available at the Company’s election through June 30, 2026 and (b) the second of which is available at the Company’s election through December 20, 2026. Until we have repaid all funded indebtedness, the 2022 Loan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enter into licensing agreements, to engage in transactions with affiliates, and to encumber our intellectual property. Our business may be adversely affected by these restrictions on our ability to operate our business.</w:t>
      </w:r>
    </w:p>
    <w:p>
      <w:pPr>
        <w:pStyle w:val="TextBody"/>
        <w:bidi w:val="0"/>
        <w:spacing w:lineRule="auto" w:line="288" w:before="0" w:after="180"/>
        <w:ind w:left="0" w:right="0" w:firstLine="360"/>
        <w:jc w:val="left"/>
        <w:rPr/>
      </w:pPr>
      <w:r>
        <w:rPr>
          <w:rFonts w:ascii="Times New Roman;serif" w:hAnsi="Times New Roman;serif"/>
          <w:b w:val="false"/>
          <w:color w:val="000000"/>
          <w:sz w:val="20"/>
        </w:rPr>
        <w:t>In addition, we may be required to repay the outstanding indebtedness under the loan facility if an event of default occurs under the 2022 Loan Agreement. An event of default will occur if, among other things, we fail to make payments under the 2022 Loan Agreement; we breach any of our covenants under the 2022 Loan Agreement, subject to specified cure periods with respect to certain breaches; the Lender determines that a material adverse change has occurred; we or our assets become subject to certain legal proceedings, such as bankruptcy proceedings; we are unable to pay our debts as they become due; or we default on contracts with third parties which would permit the Lender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In this case, we may be required to limit or reduce our activities necessary to commercialize IBSRELA and/or XPHOZAH, or delay or limit clinical trials for tenapanor or other product candidates.</w:t>
      </w:r>
      <w:r>
        <w:rPr>
          <w:color w:val="EE2724"/>
        </w:rPr>
        <w:t xml:space="preserve"> </w:t>
      </w:r>
      <w:r>
        <w:rPr>
          <w:rFonts w:ascii="Times New Roman;serif" w:hAnsi="Times New Roman;serif"/>
          <w:b w:val="false"/>
          <w:color w:val="000000"/>
          <w:sz w:val="20"/>
        </w:rPr>
        <w:t>The Lenders could also exercise its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Additional Risks Related to Our Business and Industry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face substantial competition, and our competitors may discover, develop or commercialize products faster or more successfully than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Competition for IBSRELA largely comes from three prescription products marketed for certain patients with IBS-C that we are aware of, including Linzess (linaclotide), Amitiza (lubiprostone) and Trulance (plecanatide). Generic lubiprostone is also available in the U.S. Additionally, over-the-counter products not indicated for IBS-C are commonly used to treat the constipation component of IBS-C, alone and in combination with the IBS-C-indicated prescription therapies.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XPHOZAH is indicated to reduce serum phosphorus in adults with CKD on dialysis as add-on therapy in patients who have an inadequate response to phosphate binders or who are intolerant of any dose of phosphate binder therapy. The various types of phosphate binders commercialized in the U.S. include the following: Calcium acetate (several prescription brands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including PhosLo and Phoslyra); Lanthanum carbonate (Fosrenol); Sevelamer hydrochloride (Renagel); Sevelamer carbonate (Renvela); Sucroferric oxyhydroxide (Velphoro) and Ferric citrate (Auryxia). All of the listed phosphate binders are available as generics in the U.S., with the exception of Velphoro and Auryxia. Additionally, over-the-counter calcium carbonate, such as Tums and Caltrate, is also used to bind phosphorus.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the currently available phosphate binders, we are aware of at least four phosphate binders in development, including AP-301, developed by Alebund Pharmaceutical (Hong Kong) Limited and currently in Phase 3; VS-505, developed by Vidasym and currently in clinical development; TS-172, developed by Taisho Pharmaceuticals and currently in Phase 2; and OLC, developed by Unicycive Therapeutics, which has announced its plans to seek U.S. FDA approval via the 505(b)(2) pathway. OLC has demonstrated pharmacodynamic bioequivalence to Fosrenol. Additionally, Alebund is developing AP-306, an inhibitor of phosphate transporters NaPi-2b, PiT-1, and PiT-2, thus far studied in a Phase 2 clinical trial.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It is possible that our competitors’ drugs may be less expensive and more effective than our product candidates, or may render our product candidates obsolete. It is also possible that our competitors will commercialize competing drugs or treatments before we or our collaboration partners can launch any products developed from our product candidates. We also may face increased competition in the future as new companies enter into our target markets.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experience difficulties in managing our current activities and growth given our level of managerial, operational, financial and other resources.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we have continued to work to optimize our management composition, personnel and systems to support our current activities for future growth, these resources may not be adequate for this purpose. Our need to effectively execute our business strategy requires that we: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manage our commercialization activities effectively;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manage our clinical trials effectively;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manage our internal development efforts effectively while carrying out our contractual obligations to licensors, contractors, collaborators, government agencies and other third parties;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continue to improve our operational, financial and management controls, reporting systems and procedures;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retain and motivate our remaining employees and potentially identify, recruit and integrate additional employees.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are unable to maintain or expand our managerial, operational, financial and other resources to the extent required to manage our development and commercialization activities, our business will be materially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engage in strategic transactions that could impact our liquidity, increase our expenses and present significant distractions to our management.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consider strategic transactions, such as acquisitions of companies, asset purchases, and/or in-licensing of products, product candidates or technologies. In addition, if we are unable to access capital on a timely basis and on terms that are acceptable to us, we may be forced to further restructure certain aspects of our business or identify and complete one or more strategic collaborations or other transactions in order to fund the commercialization of IBSRELA and XPHOZAH, and/or the development of discovery and developmental assets through the use of alternative structures. Additional potential transactions that we may consider include a variety of different business arrangements, including spin-offs, spin outs, collaboration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up-front, milestone and royalty payments, equity investments and financial support of new research and development candidates including increase of personnel, all of which may be substantial;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exposure to unknown liabilities;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disruption of our business and diversion of our management’s time and attention in order to develop acquired products, product candidates or technologies;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incurrence of substantial debt or dilutive issuances of equity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higher-than-expected acquisition and integration costs;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write-downs of assets or goodwill or impairment charges;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increased amortization expenses;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difficulty and cost in combining the operations and personnel of any acquired businesses with our operations and personnel;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impairment of relationships with key suppliers or customers of any acquired businesses due to changes in management and ownership;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inability to retain key employees of any acquired businesses.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product liability lawsuits are brought against us, we may incur substantial liabilities and may be required to limit commercialization of IBSRELA and/or XPHOZAH.</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face an inherent risk of product liability as a result of the clinical testing of our product candidates and our commercialization of IBSRELA and XPOHZAH. For example, we may be sued if any product we develop and/or commercialize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decreased demand for the product;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injury to our reputation;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withdrawal of clinical trial participants;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costs to defend the related litigation;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diversion of management’s time and our resources;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substantial monetary awards to trial participants or patients;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regulatory investigations, product recalls or withdrawals, or labeling, marketing or promotional restrictions;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loss of revenue;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inability to commercialize or co-promote IBSRELA and/or XPHOZAH.</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inability to obtain and maintain sufficient product liability insurance at an acceptable cost and scope of coverage to protect against potential product liability claims could prevent or inhibit the commercialization of any products we develop.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obtain, sufficient capital to pay such amounts. Moreover, in the future, we may not be able to maintain insurance coverage at a reasonable cost or in sufficient amounts to protect us against losses.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attract, retain and motivate our executives, senior management and key personnel, our business will suffer.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Recruiting and retaining qualified scientific, sales and marketing, clinical, medical, business development, manufacturing, finance and administrative personnel is critical to our success. We are highly dependent on our executives, senior management and certain other key employees. The loss of the services of our executives, senior management or other key employees could impede the achievement of our development and commercial objectives and seriously harm our ability to successfully implement our business strategy. Furthermore, replacing executives, senior management and other key employees may be difficult and may take an extended period of time because of the limited number of individuals in our industry with the breadth of skills and experience required to successfully develop, gain marketing approval of and commercialize products. We may be unable to hire, train or motivate these key personnel on acceptable terms given the intense competition among numerous biopharmaceutical companies for similar personnel, particularly in our geographic regions. If we are unable to continue to attract and retain high quality personnel, our ability to grow and pursue our business strategy will be limited.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Actual or perceived failures to comply with applicable data protection, privacy and security laws, regulations, standards and other requirements could adversely affect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also be required. Similar laws have passed in other states and are continuing to be at the state and federal level, reflecting a trend toward more stringent privacy legislation in the U.S.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the FTC also has authority to initiate enforcement actions against entities that mislead customers about HIPAA compliance,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5(a) of the FTC Act. According to the FTC, failing to take appropriate steps to keep consumers’ personal information secure can constitute unfair acts or practices in or affecting commerce in violation of Section 5(a) of the FTC Act. The FTC and many state Attorneys General continue to enforce federal and state consumer protection laws against companies for online collection, use, dissemination and security practices that appear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unfair or deceptive, including on websites, to regulate the presentation of website content.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also or may become subject to rapidly evolving data protection laws, rules and regulations in foreign jurisdictions. For example, in Europe, the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U.S. and the efficacy and longevity of current transfer mechanisms between the EEA, and the United States remains uncertain. Case law from the Court of Justice of the European Union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On July 10, 2023, the European Commission adopted its Adequacy Decision in relation to the new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Relatedly, following the United Kingdom’s withdrawal from the EEA and the European Union, and the expiry of the transition period, companies have had to comply with both the GDPR and the GDPR as incorporated into United Kingdom national law, the latter regime having the ability to separately fine up to the greater of £17.5 million or 4% of global turnover. On October 12, 2023, the UK Extension to the DPF came into effect (as approved by the UK Government), as a data transfer mechanism from the United Kingdom to U.S. entities self-certified under the DPF. As we continue to expand into other foreign countries and jurisdictions, we may be subject to additional laws and regulations that may affect how we conduct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use AI Technologies in our business. 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expand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and our collaborators, CROs and other contractors and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and our collaborators, CROs, and other contractors and consultants collect and maintain information in digital form that is necessary to conduct our business, and we are increasingly dependent on information technology systems and infrastructure to operate our business. In the ordinary course of our business, we and our collaborators, CROs and other contractors and consultants collect, store and transmit large amounts of confidential information, including intellectual property, proprietary business information, clinical trial data and personal information (collectively, Confidential Information). It is critical that we and our collaborators, CROs and other contractors and consultants do so in a secure manner to maintain the confidentiality and integrity of such Confidential Information. We have established physical, electronic and organizational measures designed to safeguard and secure our systems to prevent a data compromise, and rely on commercially available systems, software, tools, and monitoring to provide security for our information technology systems and the processing, transmission and storage of Confidential Information. We have also outsourced elements of our information technology infrastructure, and as a result a number of third-party vendors may or could have access to our Confidential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information technology systems and infrastructure, and those of our current and any future collaborators, CROs, contractors and consultants and other third parties on which we rely, are vulnerable to attack, damage and interruption from computer viruses, malware (e.g., ransomware), natural disasters, terrorism, war, telecommunication and electrical failures, cyber-attacks or cyber-intrusions over the Internet, phishing attacks and other social engineering schemes, attachments to emails, human error, fraud, denial or degradation of service attacks, sophisticated nation-state and nation-state-supported actors or unauthorized access or use by persons inside our organization, or persons with access to systems inside our organization.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risk of a security breach or disruption or data loss,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There can also be no assurance that our and our collaborators’, CROs’, CMOs, contractors’, consultants’ and other service providers’ cybersecurity risk management program and processes, including policies, controls or procedures, will be fully implemented, complied with or effective in protecting our systems, networks and Confidential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and certain of our service providers are from time to time subject to cyberattacks and security incidents. We do not believe that we have experienced any significant system failure, accident or security breach to date, but if such an event were to occur and cause interruptions in our operations, it could result in a material disruption to our business. In addition, such a breach may require notification to governmental agencies, the media or individuals pursuant to various federal and state privacy and security laws, if applicable. Moreover, if a computer security breach affects our systems or those of our collaborators, CROs or other contractors, or results in the unauthorized release of personally identifiable information, our reputation could be materially damaged. Any adverse impact to the availability, integrity or confidentiality of our or third-party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which could materially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maintain proper and effective internal controls, our ability to produce accurate and timely financial statements could be impaired, which could harm our operating results, our ability to operate our business and investors’ views of us and could have a material adverse effect on the price of our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failure to implement and maintain effective internal controls over financial reporting could result in errors in our financial statements that could result in a restatement of our financial statements and cause us to fail to meet our reporting obligations. If we cannot in the future favorably assess the effectiveness of our internal controls over financial reporting, investor confidence in the reliability of our financial reports may be adversely affected, which could have a material adverse effect on the trading price of our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formed in the past, and may form in the future, collaboration partnerships, joint ventures and/or licensing arrangements, and we may not realize the benefits of such collaborations.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current collaboration partnerships for the commercialization of tenapanor in certain foreign countries, and we may form additional collaboration partnerships, create joint ventures or enter into additional licensing arrangements with third parties in the U.S. and abroad that we believe will complement or augment our existing business. In particular, we have formed collaboration partnerships with Kyowa Kirin for commercialization of tenapanor for hyperphosphatemia in Japan; with Fosun Pharma for commercialization of tenapanor for hyperphosphatemia and IBS-C in China and related territories; in Canada with Knight for commercialization of tenapanor for IBS-C and hyperphosphatemia; and with METiS for the development and commercialization of a portfolio of TGR5 agonist compounds for all therapeutic areas. While we may pursue future collaborations, we face significant competition in seeking appropriate collaboration partners, and the process to identify an appropriate partner and negotiate appropriate terms is time-consuming and complex. Delays in identifying suitable additional collaboration partners and entering into agreements to commercialize our products in ex-U.S. territories and/or develop our product candidates will delay commercialization thereof, which may reduce their competitiveness even if they reach the market. There is no guarantee that our current collaboration partnerships or any such arrangements we enter into in the future will be successful, or that any collaboration partner will commit sufficient resources to the development, regulatory approval, and commercialization effort for such products, or that such alliances will result in us achieving revenues that justify such transactions.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Clinical drug development involves a lengthy and expensive process with an uncertain outcome.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Before obtaining marketing approval from regulatory authorities for the sale of our product candidates, we must conduct extensive clinical studies to demonstrate the safety and efficacy of the product candidates in humans. Clinical testing is expensive and can take many years to complete, and its outcome is inherently uncertain.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conduct of additional clinical trials, we could encounter delays in our development if any clinical trials are suspended or terminated by us, by the IRBs of the institutions in which the trial is being conducted, or by the U.S.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U.S.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identifying and qualifying patients to participate in any clinical trials is critical to the success of the clinical trials. The timing of any future clinical trials that we may determine to conduct, will depend, in part, on the speed at which we can recruit patients to participate in testing our product candidates. Patients may be unwilling to participate in our clinical studies because of concerns about adverse events observed with the current standard of care, competitor products and/or other investigational agents, in each case for the same indications and/or similar patient populations. In addition, patients currently receiving treatment with the current standard of care or a competitor product may be reluctant to participate in a clinical trial with an investigational drug, or our inclusion and exclusion criteria for our clinical trials may present challenges in identifying acceptable patients. As a result, the timeline for recruiting patients and conducting clinical trials may be delayed. These delays could result in increased costs, delays in advancing our development of the program or termination of the clinical studies altogether. Any of these occurrences may significantly harm our business, financial condition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will rely on third parties to conduct all of our nonclinical studies and clinical trials. If these third parties do not successfully carry out their contractual duties or meet expected deadlines, we may be unable to obtain regulatory approval for additional products or commercialize our product candidates.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have the ability to independently conduct nonclinical studies or clinical trials. We rely on medical institutions, clinical investigators, contract laboratories, and other third parties, such as CROs, to conduct clinical trials on our product candidates. The third parties with whom we contract for execution of the clinical trials play a significant role in the conduct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our nonclinical studies and our clinical trials, we remain responsible for ensuring that each of our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GLPs for nonclinical studies and GCPs for clinical studies. GLPs and GCPs are regulations and guidelines enforced by the U.S. FDA, the Competent Authorities of the Member States of the EEA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U.S. FDA, the European Medicines Agency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could add additional costs and could delay the regulatory approval process.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CMOs manufacture tenapanor API outside of the U.S., our collaboration partners outside of the U.S. have sought and obtained and may continue to seek and obtain approval to commercialize tenapanor outside of the U.S., and as a result a variety of risks associated with international operations could materially adversely affect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collaboration partners have sought and obtained and may continue to seek and obtain marketing approval for tenapanor outside the U.S. Furthermore, we may seek and obtain marketing approval for IBSRELA or XPHOZAH in other territories outside of the U.S. Additionally, we have contractual agreements with CMOs involving the manufacture of tenapanor API outside of the U.S., and may otherwise engage in business outside of the U.S., including entering into additional contractual agreements with third parties. We are subject to additional risks related to entering these international business markets and relationships,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different regulatory requirements for drug approvals in foreign countries;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differing U.S. and foreign drug import and export rules;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reduced protection for intellectual property rights in foreign countries;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laws or policies governing the terms of foreign trade, and in particular increased trade restrictions, tariffs or taxes on imports or exports from or to countries where we manufacture or, sell, or our partners sell, our products to may affect the prices of and demand for our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different reimbursement systems, and different competitive drugs;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economic weakness, including inflation, or political instability in particular foreign economies and markets;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compliance with tax, employment, immigration and labor laws for employees living or traveling abroad;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foreign taxes, including withholding of payroll taxes;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foreign currency fluctuations, which could result in increased operating expenses and reduced revenues, and other obligations incident to doing business in another country;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workforce uncertainty in countries where labor unrest is more common than in the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production shortages resulting from any events affecting raw material supply or manufacturing capabilities abroad;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potential liability resulting from development work conducted by these distributors;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business interruptions resulting from geopolitical actions, including war and terrorism, or natural disasters.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Changes in U.S. and international trade policies may adversely impact our business and operating results.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rely on foreign third-party manufacturers. The U.S. government and persons involved in the current administration have made statements and taken certain actions that may lead to potential changes to U.S. and international trade policies. The extent and duration of any tariffs and the resulting impact on general economic conditions and on our business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uncertain and depend on various factors, such as negotiations between the United States and other countries, the response of such countries, exemptions or exclusions that may be granted, and the availability and cost of alternative sources of supply of materials we purchase from companies in other countries targeted with tariffs.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unfavorable government policies on international trade, such as export controls, capital controls or tariffs, may increase the cost of manufacturing our product candidates and platform materials, affect the demand for IBSRELA and XPHOZAH, and import or export of API and finished product. If any new tariffs, export controls, legislation and/or regulations are implemented, or if existing trade agreements are renegotiated or, in particular, if the U.S. government takes retaliatory trade actions due to the recent trade tension, such changes could have an adverse effect on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involves the use of hazardous materials and we and third-parties with whom we contract must comply with environmental laws and regulations, which can be expensive and restrict how we do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and manufacturers and suppliers with whom we may contract are subject to laws and regulations governing the use, manufacture, storage, handling, and disposal of hazardous materials, including the components of our tenapanor and our product candidates.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and business operations, and could result in environmental damage requiring costly clean-up and resulting in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 adversely affected by earthquakes or other natural disasters and our business continuity and disaster recovery plans may not adequately protect us from a serious disaster.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currently occupy a leased facility located in the San Francisco Bay Area, which in the past has experienced severe earthquakes. We do not carry earthquake insurance. Earthquakes or other natural disasters could severely disrupt our operations, and have a material adverse effect on our business, results of operations, financial condition and prospects.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a natural disaster, power outage or other event occurred that prevented us from using all or a significant portion of our leased facilities, including our California facility, it may be difficult or time consuming to restore some of our business functions. The disaster recovery and business continuity plans we have in place currently are not holistic in coverage and may prove inadequate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Government Regulation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Current and future healthcare reform legislation, regulation or action by the Trump Administration may increase the difficulty and cost for us to commercialize our approved products and may adversely affect the prices we, or they, may obtain and may have a negative impact on our business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U.S. and some foreign jurisdictions there have been, and continue to be, a number of legislative and regulatory changes and proposed changes regarding the healthcare system that could, among other things, restrict or regulate post approval activities with respect to our approved products and affect our ability to profitably sell our products. In the U.S., the ACA was enacted in 2010 with a goal of reducing the cost of healthcare and substantially changing the way healthcare is financed by both government and private insurers. Since its enactment, certain provisions of the ACA have been subject to judicial, executive, and legislative challenges. On June 17, 2021, the U.S. Supreme Court dismissed the most recent judicial challenge to the ACA brought by several states without specifically ruling on the constitutionality of the ACA. Thus, the ACA will remain in effect in its current form.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ACA, among other things, increased the minimum Medicaid rebates owed by manufacturers under the MDRP, extended manufacturer rebate liability from fee-for-service Medicaid utilization to include the utilization of Medicaid managed care organizations and established annual fees and taxes on manufacturers of certain branded prescription drugs.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pPr>
      <w:r>
        <w:rPr>
          <w:rFonts w:ascii="Times New Roman;serif" w:hAnsi="Times New Roman;serif"/>
          <w:b w:val="false"/>
          <w:color w:val="000000"/>
          <w:sz w:val="20"/>
        </w:rPr>
        <w:t>Moreover, beginning January 1, 2025, XPHOZAH, along with other oral drugs for ESRD patients on dialysis without injectable or intravenous equivalents, are now included in the ESRD PPS, thereby eliminating coverage under Medicare Part D as of such date. See “—</w:t>
      </w:r>
      <w:r>
        <w:rPr>
          <w:rFonts w:ascii="Times New Roman;serif" w:hAnsi="Times New Roman;serif"/>
          <w:b w:val="false"/>
          <w:i/>
          <w:color w:val="000000"/>
          <w:sz w:val="20"/>
        </w:rPr>
        <w:t>XPHOZAH is now included in the ESRD PPS, effective January 1, 2025, which means coverage for XPHOZAH for Medicare beneficiaries is no longer available under Medicare Part D, and as a result the revenue that we may generate on sales of XPHOZAH will be negatively and materially impacted</w:t>
      </w:r>
      <w:r>
        <w:rPr>
          <w:color w:val="000000"/>
        </w:rPr>
        <w:t xml:space="preserve">” </w:t>
      </w:r>
      <w:r>
        <w:rPr>
          <w:rFonts w:ascii="Times New Roman;serif" w:hAnsi="Times New Roman;serif"/>
          <w:b w:val="false"/>
          <w:color w:val="000000"/>
          <w:sz w:val="20"/>
        </w:rPr>
        <w:t>above.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legislative changes have been proposed and adopted in the U.S. since the ACA was enacted. These laws, among other things, included aggregate reductions of Medicare payments to providers that will remain in effect through 2032,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More recently, the American Rescue Plan Act of 2021 was signed into law, which eliminated the statutory Medicaid drug rebate cap beginning January 1, 2024. The rebate was previously capped at 100% of a drug’s AMP.</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Most significantly, the IRA was signed into law in August 2022. Among other things, the IRA requires manufacturers of certain drugs to engage in price negotiations with Medicare with prices that can be negotiated subject to a cap (with resulting prices for the initial ten drugs first effective in 2026), imposes rebates under Medicare Part B and Medicare Part D to penalize price increases that outpace inflation (first due in 2023), redesigns the Medicare Part D benefit (beginning in 2025), and replaces the Part D coverage gap discount program with a new discounting program (which began on January 1, 2025). Under the IRA, small molecule drugs and biologics that otherwise qualify for selection first become eligible for price negotiation seven and eleven years, respectively, after U.S. FDA approval. The IRA permits the Secretary of HHS to implement many of these provisions through guidance, as opposed to regulation, for the initial years. CMS has published the negotiated prices for the initial ten drugs, which will first be effective in 2026, and the list of the subsequent 15 drugs that will be subject to negotiation, with their negotiated prices effective in 2027. Each year thereafter, more Part B and Part D products will become subject to the HHS price negotiation program. HHS has issued and will continue to issue guidance implementing the IRA, although the program is currently subject to legal challenges. While the impact of the IRA on us and the pharmaceutical industry cannot yet be fully determined, it is likely to be significant.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Trump administration is pursuing a two-fold strategy to reduce drug costs in the U.S. While it is unclear whether and how the Trump proposals will be implemented, the Trump policies are likely to have a negative impact on the pharmaceutical industry and on our ability to receive adequate revenues for IBSRELA and XPHOZAH. On the one hand,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reportedly entered into confidential pricing agreements with the federal government. On the other hand, the Trump administration is pursuing traditional regulatory pathways to impose drug pricing policies, although proposed regulations have not yet been published.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and it is possible that Congress could enact additional laws that negatively affect the pharmaceutical industry.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individual states have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 One state has utilized a so-called prescription drug affordability board to impose an upper payment limit in the state, while another state has enacted legislation that bans price increases that outpace inflation. Other enacted state laws affect the distribution of pharmaceuticals.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Despite having received regulatory approval for IBSRELA and XPHOZAH, we will be subject to ongoing regulatory obligations and continued regulatory review, which may result in significant additional expense. Additionally, IBSRELA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and XPHOZAH could be subject to other restrictions and market withdrawal, and we may be subject to penalties if we fail to comply with regulatory requirements or experience unanticipated problems with our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Even after a drug is approved by the U.S. FDA or foreign regulatory authorities, the manufacturing processes, labeling, packaging, distribution, pharmacovigilance,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 regulations for any clinical trials that we conduct post-approval. As such, we and our third-party CMOs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will also be required to report certain adverse reactions and production problems, if any, to the U.S.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U.S. FDA approval.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Later discovery of previously unknown problems with a product, including adverse events of unanticipated severity or frequency, or with our third-party manufacturers or manufacturing processes, or failure to comply with regulatory, agency or other requirements, may result in, among other things: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warning or untitled letters or fines;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restrictions on the marketing or manufacturing of the product, withdrawal of the product from the market or voluntary or mandatory product recalls;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injunctions or the imposition of civil or criminal penalties;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suspension or revocation of existing regulatory approvals;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suspension of any of our ongoing clinical trials;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refusal to approve pending applications or supplements to approved applications submitted by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restrictions on our or our CMOs’ operations;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product seizure or detention, or refusal to permit the import or export of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IBSRELA and XPHOZAH. If regulatory sanctions are applied or if regulatory approval is withdrawn, the value of our company and our operating results will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U.S. FDA’s policies may change, and additional government regulations may be enacted.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cannot predict the likelihood, nature or extent of government regulation that may arise from future legislation or administrative or executive action, either in the U.S. or abroad.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Disruptions at the U.S. FDA and other government agencies caused by funding shortages or global health concerns could hinder their ability to hire and retain key leadership and other personnel, or otherwise review and process regulatory submissions in a timely manner, which could negatively impact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ability of the U.S. FDA to review and process regulatory submissions can be affected by a variety of factors, including government budget and funding levels, ability to hire and retain key personnel and accept the payment of user fees, and statutory, regulatory, policy changes, and other events that may otherwise affect the U.S. FDA’s ability to perform routine functions. For example, over the last several years, the U.S. government has shut down several times, including the current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government shutdown which began on October 1, 2025, and certain regulatory agencies, such as the U.S. FDA, have had to furlough U.S. FDA employees and suspend certain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Disruptions at the U.S. FDA and other agencies may also slow the time necessary for new drugs to be reviewed and/or approved by necessary government agencies, which would adversely affect our business. If a prolonged government shutdown occurs or continues, or if global health concerns prevent the U.S. FDA or other regulatory authorities from conducting their regular inspections, reviews, or other regulatory activities, it could significantly impact the ability of the U.S. FDA or other regulatory authorities to timely review and process our regulatory submissions, which could have a material adverse effect on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and our CMOs are subject to significant regulation with respect to manufacturing IBSRELA and XPHOZAH. The manufacturing facilities on which we rely may not continue to meet regulatory requirements or may not be able to meet supply demands.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All entities involved in the preparation of product for commercial sale, or product candidates for clinical trials, including our existing CMOs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products or product candidates that may not be detectable in final product testing. We or our CMOs must supply all necessary documentation in support of an NDA or comparable regulatory filing on a timely basis and must adhere to cGMP regulations enforced by the U.S. FDA and other regulatory agencies through their facilities inspection programs. The facilities and quality systems of some, or all, of our CMOs must pass a pre-approval inspection for compliance with the applicable regulations as a condition of regulatory approval of our product candidates. In addition, the regulatory authorities may, at any time, audit or inspect a manufacturing facility involved with the manufacture of our product or the associated quality systems for compliance with the regulations applicable to the activities being conducted. Although we oversee the CMOs, we cannot control the manufacturing process of, and are completely dependent on, our CMOs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CMOs to maintain adequate quality control, quality assurance and qualified personnel.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regulatory authorities also may, at any time following approval of a product for sale, audit the manufacturing facilities of our CMOs.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or any of our third-party manufacturers fail to maintain regulatory compliance, the U.S.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comply or are found to have failed to comply with U.S. FDA and other regulations related to the promotion of our products for unapproved uses, other sales practices, as well as the design and implementation of our patient assistance programs, we could be subject to criminal penalties, substantial fines or other sanctions and damage awards.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regulations relating to the promotion of products for unapproved uses and the design and implementation of patient assistance programs are complex and subject to substantial interpretation by the U.S. FDA and other government agencies. With respect to the commercialization of IBSRELA and/or XPHOZAH, we are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have implemented compliance and training programs designed to ensure that our sales and marketing practices comply with applicable regulations regarding off-label promotion. Notwithstanding these programs, the U.S.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other sales practices, as well as the design and implementation of patient assistance programs, including the Department of Justice and various U.S. Attorneys’ Offices, the Office of Inspector General of the Department of Health and Human Services, the U.S. FDA, the FTC and various state Attorneys General offices. These investigations have alleged violations of various federal and state laws and regulations, including claims asserting antitrust violations, violations of the FFDCA,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the U.S. FDA or any other governmental agency initiates an enforcement action against us or if we are the subject of a qui tam suit and it is determined that we violated U.S. FDA or other regulations relating to the promotion of our products and/or the design and implementation of our patient assistance programs,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IBSRELA and/or XPHOZAH may cause or contribute to adverse medical events that we are required to report to regulatory agencies and if we fail to do so we could be subject to sanctions that would materially harm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required to report certain information about adverse medical events if our products may have caused or contributed to those adverse events. The timing of our obligation to report is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U.S. FDA or a foreign regulatory agency could take action, including criminal prosecution, the imposition of civil monetary penalties, seizure of our products or delay in approval or clearance of future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employees, independent contractors, principal investigators, CROs, collaboration partners, consultants, CMOs and vendors may engage in misconduct or other improper activities, including noncompliance with regulatory standards and requirements.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exposed to the risk that our employees, independent contractors, principal investigators, CROs, collaboration partners, consultants, CMOs and vendors may engage in fraudulent conduct or other illegal activity. Misconduct by these parties could include intentional, reckless and/or negligent conduct or unauthorized activities that violate any of the following: U.S. FDA regulations, including those laws that require the reporting of true, complete and accurate financial and other information to the U.S. FDA; manufacturing standards; or federal and state healthcare fraud and abuse laws and regulations.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 and curtailment of our operations, any of which could adversely affect our ability to operate our business and our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Failure to obtain regulatory approvals in foreign jurisdictions would prevent us from marketing our products internationally.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order to market any product in the EEA (which is composed of the 27 Member States of the European Union plus Norway, Iceland and Liechtenstein), and many other foreign jurisdictions, separate regulatory approvals are required. In the EEA, medicinal products can only be commercialized after obtaining a Marketing Authorization. Before the Marketing Authorization is granted, the European Medicines Agency or the competent authorities of the Member States of the EEA make an assessment of the risk-benefit balance of the product on the basis of scientific criteria concerning its quality, safety and efficacy.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approval procedures vary among countries and can involve additional clinical testing, and the time required to obtain approval may differ from that required to obtain U.S. FDA approval. Clinical trials conducted in one country may not be accepted by regulatory authorities in other countries. Approval by the U.S. FDA does not ensure approval by regulatory authorities in other countries, and approval by one or more foreign regulatory authorities does not ensure approval by regulatory authorities in other foreign countries or by the U.S. FDA. However, a failure or delay in obtaining regulatory approval in one country may have a negative effect on the regulatory process in others. The foreign regulatory approval process may include all of the risks associated with obtaining U.S. FDA approval. We may not be able to file for regulatory approvals or to do so on a timely basis, and even if we do file, we may not receive necessary approvals to commercialize our products in any market.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and our collaboration partners are subject to healthcare laws, regulation and enforcement; our failure or the failure of any such collaboration partners to comply with these laws could have a material adverse effect on our results of operations and financial conditions.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and our collaboration partners are subject to additional healthcare statutory and regulatory requirements and enforcement by the federal government and the states and foreign governments in which we conduct our business. The laws that may affect our ability to operate as a commercial organization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this statute or specific intent to violate it in order to have committed a violation;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federal false claims laws, including the False Claims Act, which prohibit, among other things, individuals or entities from knowingly presenting, or causing to be presented, claims for payment from Medicare, Medicaid, or other third-party payors that are false or fraudulent. In addition, the government may assert that a claim including items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services resulting from a violation of the federal Anti-Kickback Statute constitutes a false or fraudulent claim for purposes of the False Claims Act;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federal criminal laws that prohibit executing a scheme to defraud any healthcare benefit program or making false statements relating to healthcare matters. Similar to the federal Anti-Kickback Statute, a person or entity does not need to have actual knowledge of these statutes or specific intent to violate them in order to have committed a violation;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federal Physician Payments Sunshine Act requirements under the ACA, which requires manufacturers of drugs, devices, biologics, and medical supplies to report annually to CMS information related to payments and other transfers of value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and ownership and investment interests held by physicians (as defined by the statute) and their immediate family members;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state law equivalents of each of the above federal laws, such as anti-kickback and false claims laws which may apply to items or services reimbursed by any third-party payor, including commercial insurers;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state laws that require drug manufacturers to report information related to payments and other transfers of value to physicians and other healthcare providers or pricing information and marketing expenditures;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European and other foreign law equivalents of each of the laws, including reporting requirements detailing interactions with and payments to healthcare providers.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adversely impact our financial results.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Legislative or regulatory healthcare reforms in the U.S. may make it more difficult and costly for us to obtain regulatory clearance or approval of our product candidates and to produce, market and distribute our products after clearance or approval is obtained.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legislation is drafted and introduced in Congress that could significantly change the statutory provisions governing the regulatory clearance or approval, manufacture, and marketing of regulated products or the reimbursement thereof. In addition, U.S. FDA regulations and guidance are often revised or reinterpreted by the U.S.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additional clinical trials to be conducted prior to obtaining approval;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to manufacturing methods;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recall, replacement, or discontinuance of one or more of our products;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additional record keeping.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comply with our reporting and payment obligations under the MDRP or other governmental pricing programs in the U.S., we could be subject to additional reimbursement requirements, penalties, sanctions and fines, which could have a material adverse effect on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participate in the MDRP and other federal and state government pricing programs in the U.S., and we may participate in additional government pricing programs in the future. These programs generally require manufacturers to pay rebates or otherwise provide discounts to government payors in connection with drugs that are dispensed to beneficiaries of these programs. Medicaid drug rebates are based on pricing data that we are obligated to report on a monthly and quarterly basis to CMS, the federal agency that administers the MDRP and Medicare programs. For the MDRP, these data include the AMP and the best price for each drug. If we become aware that our MDRP price reporting submission for a prior period was incorrect or has changed as a result of recalculation of the pricing data, we must resubmit the corrected data for up to three years after those data originally were due. In addition, there is increased focus by the Office of Inspector General within the U.S. Department of Health and Human Services on the methodologies used by manufacturers to calculate AMP, and best price, to assess manufacturer compliance with MDRP reporting requirements. If we fail to provide information timely or are found to have knowingly submitted false information to the government, we may be subject to civil monetary penalties and other sanctions, including termination from the MDRP, which would result in payment not being available for our covered drugs under Medicaid and Medicare Part B. Failure to make necessary disclosures and/or to identify overpayments could result in allegations against us under the Federal False Claims Act and other laws and regulations.</w:t>
      </w:r>
    </w:p>
    <w:p>
      <w:pPr>
        <w:pStyle w:val="TextBody"/>
        <w:bidi w:val="0"/>
        <w:spacing w:lineRule="auto" w:line="288" w:before="0" w:after="180"/>
        <w:ind w:left="0" w:right="0" w:firstLine="360"/>
        <w:jc w:val="left"/>
        <w:rPr/>
      </w:pPr>
      <w:r>
        <w:rPr>
          <w:rFonts w:ascii="Times New Roman;serif" w:hAnsi="Times New Roman;serif"/>
          <w:b w:val="false"/>
          <w:color w:val="000000"/>
          <w:sz w:val="20"/>
        </w:rPr>
        <w:t>The IRA imposes rebates under Medicare Part B and Medicare Part D that are triggered by price increases that outpace inflation (first due in 2023), as described under “—</w:t>
      </w:r>
      <w:r>
        <w:rPr>
          <w:rFonts w:ascii="Times New Roman;serif" w:hAnsi="Times New Roman;serif"/>
          <w:b w:val="false"/>
          <w:i/>
          <w:color w:val="000000"/>
          <w:sz w:val="20"/>
        </w:rPr>
        <w:t>Current and future healthcare reform legislation, regulation or action by the Trump Administration may increase the difficulty and cost for us to commercialize our approved products and may adversely affect the prices we, or they, may obtain and may have a negative impact on our business and results of operations.</w:t>
      </w:r>
      <w:r>
        <w:rPr>
          <w:color w:val="000000"/>
        </w:rPr>
        <w:t xml:space="preserve">” </w:t>
      </w:r>
      <w:r>
        <w:rPr>
          <w:rFonts w:ascii="Times New Roman;serif" w:hAnsi="Times New Roman;serif"/>
          <w:b w:val="false"/>
          <w:color w:val="000000"/>
          <w:sz w:val="20"/>
        </w:rPr>
        <w:t>The Medicare Part D rebate will be calculated on the basis of the AMP figures we report pursuant to the MDRP.</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Federal law requires that a manufacturer that participates in the MDRP also participate in the 340B program in order for federal funds to be available for the manufacturer’s drugs under Medicaid and Medicare Part B. We participate in the 340B program, which is administered by the HRSA, and requires us to charge statutorily defined covered entities no more than the 340B “ceiling price” for our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outpatient drug as calculated under the MDRP. In general, products subject to Medicaid price reporting and rebate liability are also subject to the 340B ceiling price calculation and discount requirement. We are obligated to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order to be eligible to have drug products paid for with federal funds under Medicaid and Medicare Part B and purchased by certain federal agencies and grantees, we also participate in the U.S. VA/FSS pricing program. Under the VA/FSS program, we are obligated to report the Non-FAMP for our covered drugs to the VA and charge certain federal agencies no more than the Federal Ceiling Price (FCP), which is calculated based on Non-FAMP using a statutory formula. These four agencies are the VA, the U.S. Department of Defense, the U.S. Coast Guard and the U.S. Public Health Service (including the Indian Health Service).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participate in the Tricare Retail Pharmacy program, under which we are required to pay quarterly rebates on utilization of innovator products that are dispensed through the Tricare Retail Pharmacy network to Tricare beneficiaries. The rebates are calculated as the difference between the annual Non-FAMP and FCP. We are required to list our innovator products on a Tricare Agreement in order for them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could result in allegations against us under the False Claims Act and other laws and regulations. If we fail to provide timely information or are found to have knowingly submitted false information, we may be subject to civil monetary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IBSRELA and, if launched, XPHOZAH,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Pricing and rebate calculations are complex, vary among products and programs, and are often subject to interpretation by us,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 consuming. Any required refunds to the U.S. government or responding to a government investigation or enforcement action would be expensive and time consuming and could have a material adverse effect on our business, results of operations and financial condition. Price recalculations under the MDRP also may affect the ceiling price at which we are required to offer products under the 340B program. Civil monetary penalties can be applied if we are found to have knowingly submitted any false price or product information to the government, if we fail to submit the required price data on a timely basis, or if we are found to have charged 340B covered entities more than the statutorily mandated ceiling price. In the event that CMS were to terminate our Medicaid rebate agreement, no federal payments would be available under Medicaid or Medicare for IBSRELA or, if launched, XPHOZAH. We cannot offer any assurances that our submissions will not be found to be incomplete or incorrect.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success will depend on our ability to obtain, maintain and protect our intellectual property rights.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success and ability to compete depend in part on our ability to obtain, maintain and enforce issued patents, trademarks and other intellectual property rights and proprietary technology in the U.S. and elsewhere. If we cannot adequately obtain, maintain and enforce our intellectual property rights and proprietary technology, competitors may be able to use our technologies or the goodwill we have acquired in the marketplace and erode or negate any competitive advantage we may have and our ability to compete, which could harm our business and ability to achieve profitability and/or cause us to incur significant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a combination of contractual provisions, confidentiality procedures and patent, trademark, copyright, trade secret and other intellectual property laws to protect the proprietary aspects of our products, product candidates, brands, technologies, trade secrets, know-how and data. These legal measures afford only limited protection, and competitors or others may gain access to or use our intellectual property rights and proprietary information. 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U.S. and other jurisdictions we depend upon may not provide sufficient protection in the future to prevent the infringement, use, violation, or misappropriation of our patents, trademarks, data, technology, and other intellectual property rights and products by others; and may not provide an adequate remedy if our intellectual property rights are infringed, misappropriated, or otherwise violated by others.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rely in part on our portfolio of issued and pending patent applications in the U.S. and other countries to protect our intellectual property and competitive position. However, it is also possible that we may fail to identify patentable aspects of inventions made in the course of our development, manufacture and commercialization activities before it is too late to obtain patent protection on them. If we fail to timely file for patent protection in any jurisdiction, we may be precluded from doing so at a later date. Although we enter into non-disclosure and confidentiality agreements with parties who have access to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Any of these outcomes could impair our ability to prevent competition from third parties, which may have an adverse impact on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patent positions of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and services. Our pending and future patent applications may not result in the issuance of patents or, if issued, may not issue in a form that will be advantageous to us. The coverage claimed in a patent application can be significantly reduced before the patent is issued, and its scope can be reinterpreted after issuance. We cannot offer any assurances that the breadth of our granted patents will be sufficient to stop a competitor from developing, manufacturing and commercializing a product or technologies in a non-infringing manner that would be competitive with one or more of our products or technologies, or otherwise provide us with any competitive advantage.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Patents have a limited lifespan. In the U.S., the natural expiration of a utility patent is generally 20 years from the earliest effective non-provisional filing date. Though an issued patent is presumed valid and enforceable, its issuance is not conclusive as to its validity or its enforceability and it may not provide us with adequate proprietary protection or competitive advantages against competitors with similar products or services. Patents, if issued, may be challenged, deemed unenforceable, invalidated, narrowed or circumvented.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 may be costly. Thus, any patents that we may own may not provide the anticipated level of, or any, protection against competitors. Furthermore, an adverse decision may result in a third party receiving a patent right sought by us, which in turn could affect our ability to develop, manufacture or commercialize our products or technologies.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services and technology. In addition, we may need the cooperation of any such co-owners of our patents in order to enforce such patents against third parties, and such cooperation may not be provided to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degree of future protection for our proprietary rights is uncertain, and we cannot ensure that: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of our patents, or any of our pending patent applications, if issued, will include claims having a scope sufficient to protect our products or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of our pending patent applications will issue as patents;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were the first to make the inventions covered by each of our patents and pending patent applications;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were the first to file patent applications for these inventions;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Others will not develop, manufacture and/or commercialize similar or alternative products or technologies that do not infringe our patents;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of our challenged patents will ultimately be found to be valid and enforceable;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patents issued to us will provide a basis for an exclusive market for our commercially viable products or technologies will provide us with any competitive advantages or will not be challenged by third parties;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will develop additional proprietary technologies or products that are separately patentable; 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commercial activities or products will not infringe upon the patents of others.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become subject to third-party claims alleging infringement, misappropriation or violation of such third parties’ patents or other intellectual property rights and/or third-party claims seeking to invalidate our patents, which would be costly, time consuming and, if successfully asserted against us, delay or prevent the development, manufacture or commercialization of our products or product candidates.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our ability to develop, manufacture or commercialize our products and product candidates without infringing, misappropriating or otherwise violating the intellectual property rights of third parties. There have been many lawsuits and other proceedings asserting infringement or misappropriation of patents and other intellectual property rights in the pharmaceutical and biotechnology industries, and companies in the industry have used intellectual property litigation to gain a competitive advantage. While we take steps to ensure that we do not infringe upon, misappropriate or otherwise violate the intellectual property rights of others, there can be no assurances that we will not be subject to claims alleging that the manufacture, use or sale of IBSRELA or XPHOZAH or of any other product candidates infringes existing or future third-party patents, or that such claims, if any, will not be successful.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IBSRELA or XPHOZAH or other product candidates.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IBSRELA or XPHOZAH or our other product candidates.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Third parties may initiate legal proceedings alleging that we are infringing, misappropriating or otherwise violating their intellectual property rights. These proceedings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 could be forced to stop or delay development, manufacturing or sales of the product or product candidate that is the subject of the suit. As a result of patent infringement claims, or in order to avoid potential claims, we may choose to seek, or be required to seek, a license from the third party and would most likely be required to pay license fees or royalties or both. These licenses may not be available on acceptable terms, or at all. Even if we were able to obtain a license, we may be unable to maintain such licenses and the rights may be nonexclusive, which would give our competitors access to the same intellectual property. Ultimately, we could be prevented from commercializing a product, or forced to redesign it if, as a result of actual or threatened patent infringement claims, we are unable to enter into licenses on acceptable terms, or unable to maintain such licenses when granted. Even if we are successful in defending against such claims, such litigation can be expensive and time consuming to litigate and would divert management’s attention from our core business. Any of these events could harm our business significantly.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could be ordered to pay substantial damages, including treble damages and attorney’s fees if we are found to be willfully infringing a third party’s patents or other intellectual property right. Even if we believe such claims are without merit, a court of competent jurisdiction could hold that these third party patents are valid and enforceable, and infringed by the use of our products and/or technologies, which could have a negative impact on the commercial success of our current and any future products or technologies. If we were to challenge the validity of any such third 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 party claim of patent infringement. Even if we are successful in defending against such claims, such litigation can be expensive and time consuming to litigate and would divert management’s attention from our core business. Any of these events could harm our business significantly.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infringement claims against us, third parties may also raise similar claims before administrative bodies in the U.S. or abroad. Such mechanisms include reexamination, post grant review, inter parties review, derivation or opposition proceedings before the USPTO or other jurisdictional body relating to our intellectual property rights or the intellectual property rights of others. If third parties prepare and file patent applications in the U.S. that also claim technology similar or identical to ours, we may have to participate in interference or derivation proceedings in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 Such administrative proceedings could result in revocation of or amendment to our patents in such a way that they no longer cover our products or product candidates. With respect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technologies. Such a loss of patent protection would have a material adverse impact on our business, financial condition, results of operations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not able to successfully enforce our intellectual property rights, the commercial value of IBSRELA and XPHOZAH or other product candidates may be adversely affected and we may not be able to compete effectively in our market.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enforceability of patents in the biotechnology and pharmaceutical field involves complex legal and scientific questions, the answers to which can be uncertain. The patent applications that we own or license may fail to result in issued patents in the U.S. or in foreign countries. Additionally, our research and development efforts may result in product candidates for which patent protection is limited or not available. Even if patents do issue, third parties may challenge the validity, enforceability, scope or infringement thereof, which may result in such patents being narrowed, invalidated, held unenforceable or not infringed. For example, U.S. patents can be challenged by any person before the new USPTO Patent Trial and Appeals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U.S., Europe and other jurisdictions third parties can raise questions of validity with a patent office even before a patent has granted. Furthermore, even if unchallenged, our patents and patent applications may not prevent others from designing around our patent claims. For example, a third party may develop a 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IBSRELA and XPHOZAH or any future product candidates is successfully challenged, then our ability to commercialize such product could be negatively affected, and we may face unexpected competition that could have a material adverse impact on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Even where laws provide intellectual property and/or regulatory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a product or product candidate, the defendant could counterclaim that our patent is invalid, unenforceable and/or not infringed. In patent litigation in the U.S. and other jurisdictions, defendant counterclaims alleging invalidity, unenforceability and/or noninfringement are commonplace. Grounds for a validity challenge could be an alleged failure to meet any of several statutory requirements, including novelty, nonobviousness and enablement. Grounds for an unenforceability assertion could be an allegation that someone connected with prosecution of the patent withheld relevant information from the USPTO, or made a misleading statement, during prosecution. The outcome following legal assertions of invalidity, unenforceability and noninfringement is unpredictable. With respect to validity, for example, we cannot be certain that there is no invalidating prior art, of which we and the patent examiner were unaware during prosecution. If a defendant were to prevail on a legal assertion of invalidity, unenforceability or non-infringement of our intellectual property related to a product or a product candidate, we could lose part, and possibly all, of the patent protection on such product or product candidate. Such a loss of patent protection could have a material adverse impact on our business. Moreover, our competitors could counterclaim that we infringe their intellectual property and may attempt to prevent us from commercializing a product.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the composition and use of IBSRELA are currently claimed by four (4) issued patents that are listed in the U.S. FDA’s Orange Book, we cannot assure that we will be successful in defending against third parties asserting that any of our patents are invalid, unenforceable or not infringed by the third parties’ products, or in competing against third parties seeking to introduce generic versions of IBSRELA or any of our future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U.S., the Hatch-Waxman Act provides non-patent regulatory exclusivity for five years from the date of the first U.S. FDA approval of a drug containing an NCE. The U.S. FDA is prohibited during those five years from approving an ANDA that references the NDA that has been granted NCE exclusivity. However, if any patents are listed in the U.S. FDA Orange Book for such NCE-containing drug, a generic manufacturer may file an ANDA that references a NDA product with granted NCE exclusivity after four years from the first NDA approval date provided it is accompanied by a Paragraph IV certification asserting that each Orange Book listed patent is invalid, unenforceable, or that the generic product does not infringe the Orange Book listed patents. The Hatch-Waxman Act does not prevent a third party from filing, or the U.S. FDA from approving, another full NDA (i.e., not an ANDA) for an already-approved drug where the third party has conducted its own pre-clinical and clinical trials to independently demonstrate safety and effectiveness without reliance on the original NDA data.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cases where NCE exclusivity has been granted for an NDA, as in the case of IBSRELA, if an ANDA sponsor has provided a Paragraph IV certification to the U.S. FDA when filing an ANDA, the ANDA sponsor must also send a notice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thereof to the NCE NDA owner. The NCE NDA owner may then initiate a patent infringement lawsuit in response to the Paragraph IV certification. The filing of a patent infringement lawsuit within 45 days after the NCE NDA owner’s receipt of a notice of the Paragraph IV certification automatically prevents the U.S. FDA from approving the ANDA until the earlier of 30 months after the NCE NDA owner’s receipt of the Paragraph IV certification notice or a final decision in the infringement case in favor of the ANDA sponsor. There can be no assurances that an ANDA that references our IBSRELA NDA and includes a Paragraph IV certification will not be filed, or that we will be successful in enforcing our Orange Book listed patents against such ANDA sponsor.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were actively involved in the discovery and design of our products or potential drug candidates, or in the development of our discovery and design platform could require us to pursue legal action to protect our trade secrets and confidential information, which could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the laws of some foreign countries do not protect proprietary rights to the same extent or in the same manner as the laws of the U.S. As a result, we may encounter significant problems in protecting and defending our intellectual property both in the U.S.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Although we have obtained patent term extension in the U.S. under the Hatch-Waxman Act, extending the term of exclusivity for tenapanor, if we do not obtain patent term extension in foreign countries under similar legislation, our business may be materially harmed. Furthermore, we have obtained patent term adjustment in the U.S. under the American Inventors Protection Act extending the patent term for certain patents covering tenapanor.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U.S. Patent No. 8,541,448 covering tenapanor was subject to patent term adjustment under the American Inventors Protection Act for delays by the USPTO in granting the patent. Additionally, following the approval by the U.S. FDA for our NDA to market tenapanor for IBS-C, this patent was granted patent term extension under the Hatch-Waxman Act and together with patent term adjustment provides us with exclusivity for tenapanor and uses thereof until August 1, 2033. The Hatch-Waxman Act allows a maximum of one patent to be extended per U.S. FDA approved product. Extension and/or adjustment of patent term (collectively, Patent Restoration) also may be available in certain foreign countries upon regulatory approval of our product candidates. Despite seeking Patent Restoration for tenapanor in all countries where it is available, it may not be granted in any foreign country because of, for example, failing to apply within applicable deadlines, failing to apply prior to expiration of relevant patents or otherwise failing to satisfy applicable requirements. Moreover, the term of patent protection subject to Patent Restoration, as well as the scope of patent protection during any such Patent Restoration, afforded by the governmental authority could be less than we request or could change due to changes to applicable Patent Restoration laws or regulations or interpretations thereof.</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are unable to obtain Patent Term Restoration in any particular country, or the term of any such extension is less than we request, or is changed due to changes in applicable laws or regulations or interpretations thereof, the period during which we will have exclusive rights to our product in such country could be shortened and our competitors may obtain approval of competing products following our non-extended/adjusted patent expiration, and our revenue could be reduced, possibly materially.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not be able to enforce our intellectual property rights throughout the world.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Europe’s new Unified Patent Court may, in particular, present uncertainties for our ability to protect and enforce our patent rights against competitors in Europe. In 2012, the EU Patent Package regulations were passed with the goal of providing a single pan-European Unitary Patent and a new UPC, for litigation involving European patents. Implementation of the EU Patent Package entered into force on June 1, 2023. Under the UPC, all European patents, including those issued prior to ratification of the EU Patent Package, will by default automatically fall under the jurisdiction of the UPC. The UPC will provide our competitors with a new forum to centrally revoke our European patents and allow for the possibility of a competitor to obtain pan-European injunctions. It will be several years before we will understand the scope of patent rights that will be recognized and the strength of patent remedies that will be provided by the UPC. Under the EU Patent Package as currently proposed, we will have the right to opt our patents out of the UPC over the first seven years of the court’s existence, but doing so may preclude us from realizing the benefits of the new unified court.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U.S. and foreign countries may affect our ability to obtain and enforce adequate intellectual property protection for our technology.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unable to protect the confidentiality of our trade secrets, the value of our technology could be materially adversely affected and our business would be harmed.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consider proprietary trade secrets, confidential know-how and unpatented know-how to be important to our business. We seek to protect our confidential proprietary information, in part, by entering into confidentiality agreements and invention assignment agreements with parties who have access to them, including our employees, consultants, scientific advisors, contractors, CROs, contract manufacturers, collaborators and other third parties, that are designed to protect our proprietary information. However, we cannot be certain that such agreements have been entered into with all relevant parties that may have or have had access to our trade secrets or proprietary technology, and we cannot be certain that our trade secrets and other confidential proprietary information will not be disclosed or that competitors will not otherwise gain access to our trade secrets and other confidential proprietary technology, or independently develop substantially equivalent information and techniques. For example, any of these parties with whom we have entered into such confidentiality or invention assignment agreements may breach the agreements and disclose our proprietary information, including trade secrets, and we may not be able to obtain adequate remedies for such breaches. 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Monitoring unauthorized uses and disclosures of our intellectual property is difficult, and we do not know, whether the steps we have taken to protect our intellectual property will be effective.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Unauthorized parties may also attempt to copy or reverse engineer certain aspects of our products that we consider proprietary. We may not be able to obtain adequate remedies in the event of such unauthorized use. Enforcing a claim that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party illegally disclosed or misappropriated a trade secret can be difficult, expensive and time consuming, and the outcome is unpredictable. In addition, some courts inside and outside the United States are less willing or unwilling to protect trade secrets. Trade secrets will also over time be disseminated within the industry through independent development, the publication of journal articles and the movement of personnel skilled in the art from company to company or academic institutions to industry scientific positions. Though our agreements with third parties typically restrict the ability of our advisors, employees, collaborators, licensors, suppliers, third-party contractors and consultants to publish data potentially relating to our trade secrets and proprietary information, our agreements may contain certain limited publication rights. In addition, if any of our trade secrets were to be lawfully obtained or independently developed by a competitor, we would have no right to prevent such competitor from using that technology or information to compete with us, which could harm our competitive position. Despite employing the contractual and other security precautions described above, the need to share trade secrets increases the risk that such trade secrets become known by our competitors, are incorporated (inadvertently or not) into the technology of others, or are disclosed or used in violation of these agreements. If any of these events occurs or if we otherwise lose protection for our trade secrets, the value of such information may be greatly reduced and our competitive position, business, financial condition, results of operations and prospects would be harmed.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current or future registered or unregistered trademarks or trade names may be challenged, infringed, circumvented or declared generic or descriptive, cancelled or determined to be infringing on other marks. We may not be able to protect or preserve our rights to these trademarks and trade names or may be forced to stop using those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trademark registration proceedings, we may receive rejections of our applications by the USPTO or in other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Although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competitive position, business, financial condition, results of operations and prospects.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Moreover, any name we have proposed to use with our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 subject to claims that we or our employees have misappropriated the intellectual property, including know-how or trade secrets, of a third party, or claiming ownership of what we regard as our own intellectual property.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 future litigation may be necessary to defend against such claims. If we fail to defend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stock price may continue to be volatile and our stockholders may not be able to resell shares of our common stock at or above the price they paid.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trading price of our common stock is highly volatile and could be subject to wide fluctuations in response to various factors, some of which are beyond our control. These factors include those discussed in this “Risk Factors” section and others such as: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success or lack of success with regards to our commercialization of IBSRELA and XPHOZAH;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results of regulatory inspections of our facilities or those of our CMOs, or specific label restrictions or patient populations for XPHOZAH’s use, or changes or delays in the regulatory review process;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announcements regarding coverage and reimbursement for XPHOZAH alone or with other oral ESRD related drugs without injectable or intravenous equivalents;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announcements relating to our current or future collaboration partnerships;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announcements of therapeutic innovations or new products or strategic transactions by us or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adverse actions taken by regulatory agencies with respect to our product label, our clinical trials, manufacturing supply chain or sales and marketing activities;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or developments in laws or regulations applicable to our approved products or our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success of our testing and clinical trials;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to meet any of our projected timelines or goals with regard to the commercialization of IBSRELA and XPOHZAH, or the clinical development and commercialization of any of our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success of our efforts to acquire or license or discover additional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intellectual property infringement actions in which we may become involved;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success of our efforts to obtain adequate intellectual property protection for our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announcements concerning our competitors or the pharmaceutical industry in general;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achievement of expected product sales and profitability;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manufacture, supply or distribution shortages;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actual or anticipated fluctuations in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U.S. FDA or other U.S. or foreign regulatory actions affecting us or our industry or other healthcare reform measures in the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financial estimates or recommendations by securities analysts;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trading volume of our common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sales of our common stock by us, our executive officers and directors or our stockholders in the future;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sales of debt securities and sales or licensing of assets;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general economic and market conditions and overall fluctuations in the U.S. equity markets;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loss of any of our key scientific or management personnel.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sell shares of our common stock in future financings, stockholders may experience immediate dilution and, as a result, our stock price may decline.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will experience additional dilution and, as a result, our stock price may decline.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incur significant costs as a result of operating as a public company, and our management devotes substantial time to new compliance initiatives. We may fail to comply with the rules that apply to public companies, including Section 404 of the Sarbanes-Oxley Act of 2002, which could result in sanctions or other penalties that would harm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incur significant legal, accounting and other expenses as a public company, including costs resulting from public company reporting obligations under the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need to devote a substantial amount of time to ensure that we comply with all of these requirements.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Section 404 of The Sarbanes-Oxley Act of 2002 (Section 404) and the related rules of the SEC which generally require, among other things, our management and independent registered public accounting firm to report on the effectiveness of our internal control over financial reporting. Our compliance with Section 404 requires that we incur substantial expense and expend significant management efforts.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 adversely affected by the global economic environment.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U.S., presidential elections, other political influences and inflationary pressures. Our results of operations could be adversely affected by general conditions in the global economy and in the global financial markets, including the current inflationary environment and rising interest rates. Adverse developments that affect financial institutions, transactional counterparties, or other third parties, or concerns or rumors about these events, have in the past and may in the future lead to market-wide liquidity problems. For example, on March 10, 2023, Silicon Valley Bank was closed by the California Department of Financial Protection and Innovation, which appointed the U.S. Federal Deposit Insurance Corporation as receiver. Similarly, other institutions have been and may continue to be swept into receivership. We currently have no borrowing or deposit exposure to directly impacted institutions and have not experienced an adverse impact to our liquidity or to our business operations, financial condition, or results of operations as a result of these recent events. However, uncertainty may remain over liquidity concerns in the broader financial services industry, and there may be unpredictable impacts to our business and our industry. We cannot anticipate all the ways in which the global economic climate and global financial market conditions could adversely impact our business in the future.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U.S. result in widespread and prolonged unemployment, either regionally or on a national basis, or if certain provisions of the Patient Protection and ACA, as amended by the Health Care and Education Reconciliation Act, collectively known as the ACA, are repealed,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Provisions in our charter documents and under Delaware law could discourage a takeover that stockholders may consider favorable and may lead to entrenchment of management.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classified board of directors with three-year staggered terms, which may delay the ability of stockholders to change the membership of a majority of our board of directors;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no cumulative voting in the election of directors, which limits the ability of minority stockholders to elect director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required approval of at least two-thirds of the shares entitled to vote to remove a director for cause, and the prohibition on removal of directors without cause;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ability of our board of directors to alter our bylaws without obtaining stockholder approval;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required approval of at least two-thirds of the shares entitled to vote at an election of directors to adopt, amend or repeal our bylaws or repeal the provisions of our amended and restated certificate of incorporation regarding the election and removal of directors;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these provisions would apply even if we were to receive an offer that some stockholders may consider beneficial.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Claims for indemnification by our directors and officers may reduce our available funds to satisfy successful third-party claims against us and may reduce the amount of money available to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provide that we will indemnify our directors and officers, in each case to the fullest extent permitted by Delaware law.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as permitted by Section 145 of the Delaware General Corporation Law, our amended and restated bylaws and our indemnification agreements that we have entered into with our directors and officers provide that: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will indemnify our directors and officers for serving us in those capacities or for serving other business enterprises at our request, to the fullest extent permitted by Delaware law. Delaware law provides that a corporation may indemnify such a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may, in our discretion, indemnify employees and agents in those circumstances where indemnification is permitted by applicable law.</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will not be obligated pursuant to our amended and restated bylaws to indemnify a person with respect to proceedings initiated by that person against us or our other indemnities, except with respect to proceedings authorized by our board of directors or brought to enforce a right to indemnification.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rights conferred in our amended and restated bylaws are not exclusive, and we are authorized to enter into indemnification agreements with our directors, officers, employees and agents and to obtain insurance to indemnify such persons.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may not retroactively amend our amended and restated bylaw provisions to reduce our indemnification obligations to directors, officers, employees and agents.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do not currently intend to pay dividends on our common stock, and, consequently, our stockholders’ ability to achieve a return on their investment will depend on appreciation in the price of our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currently intend to pay any cash dividends on our common stock for the foreseeable future. We currently intend to invest our future earnings, if any, to fund our future business opportunities. Additionally, the terms of our Loan Agreement could restrict our ability to pay dividends. Therefore, our stockholders are not likely to receive any dividends on our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Unregistered Sales of Equity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Use of Proceeds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Trading Plans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no director or Section 16 officer adopted or terminated any Rule 10b5-1 plans or non-Rule 10b5-1 trading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803"/>
        <w:gridCol w:w="1525"/>
        <w:gridCol w:w="1531"/>
        <w:gridCol w:w="109"/>
        <w:gridCol w:w="109"/>
        <w:gridCol w:w="109"/>
        <w:gridCol w:w="195"/>
        <w:gridCol w:w="195"/>
        <w:gridCol w:w="196"/>
        <w:gridCol w:w="112"/>
        <w:gridCol w:w="112"/>
        <w:gridCol w:w="112"/>
        <w:gridCol w:w="186"/>
        <w:gridCol w:w="186"/>
        <w:gridCol w:w="191"/>
        <w:gridCol w:w="112"/>
        <w:gridCol w:w="112"/>
        <w:gridCol w:w="112"/>
        <w:gridCol w:w="265"/>
        <w:gridCol w:w="265"/>
        <w:gridCol w:w="266"/>
        <w:gridCol w:w="109"/>
        <w:gridCol w:w="109"/>
        <w:gridCol w:w="109"/>
        <w:gridCol w:w="272"/>
        <w:gridCol w:w="272"/>
        <w:gridCol w:w="393"/>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8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Filed</w:t>
              <w:br/>
              <w:t>Herewith</w:t>
            </w:r>
          </w:p>
        </w:tc>
      </w:tr>
      <w:tr>
        <w:trPr/>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06/24/2024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Certificate of Amendment to 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06/20/2023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Second 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08/04/2025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dx-20250930xex101.htm">
              <w:r>
                <w:rPr>
                  <w:rStyle w:val="InternetLink"/>
                  <w:rFonts w:ascii="Times New Roman;serif" w:hAnsi="Times New Roman;serif"/>
                  <w:b w:val="false"/>
                  <w:color w:val="0000FF"/>
                  <w:sz w:val="20"/>
                  <w:u w:val="single"/>
                </w:rPr>
                <w:t>Transition and Separation Agreement, dated August 1, 2025, by and between Ardelyx, Inc. and Justin Renz.</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dx-20250930xex102.htm">
              <w:r>
                <w:rPr>
                  <w:rStyle w:val="InternetLink"/>
                  <w:rFonts w:ascii="Times New Roman;serif" w:hAnsi="Times New Roman;serif"/>
                  <w:b w:val="false"/>
                  <w:color w:val="0000FF"/>
                  <w:sz w:val="20"/>
                  <w:u w:val="single"/>
                </w:rPr>
                <w:t>Offer Letter, dated September 23, 2025, by and between Ardelyx, Inc. and Sue Hohenleitner.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dx-20250930xex103.htm">
              <w:r>
                <w:rPr>
                  <w:rStyle w:val="InternetLink"/>
                  <w:rFonts w:ascii="Times New Roman;serif" w:hAnsi="Times New Roman;serif"/>
                  <w:b w:val="false"/>
                  <w:color w:val="0000FF"/>
                  <w:sz w:val="20"/>
                  <w:u w:val="single"/>
                </w:rPr>
                <w:t>Offer Letter, dated June 29, 2025, by and between Ardelyx, Inc. and John Bishop.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dx-20250930xex104.htm">
              <w:r>
                <w:rPr>
                  <w:rStyle w:val="InternetLink"/>
                  <w:rFonts w:ascii="Times New Roman;serif" w:hAnsi="Times New Roman;serif"/>
                  <w:b w:val="false"/>
                  <w:color w:val="0000FF"/>
                  <w:sz w:val="20"/>
                  <w:u w:val="single"/>
                </w:rPr>
                <w:t>Offer Letter, dated May 29, 2025, by and between Ardelyx, Inc. and Edward Conner.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dx-20250930xex311.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dx-20250930xex312.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dx-20250930xex321.htm">
              <w:r>
                <w:rPr>
                  <w:rStyle w:val="InternetLink"/>
                  <w:rFonts w:ascii="Times New Roman;serif" w:hAnsi="Times New Roman;serif"/>
                  <w:b w:val="false"/>
                  <w:color w:val="0000FF"/>
                  <w:sz w:val="20"/>
                  <w:u w:val="single"/>
                </w:rPr>
                <w:t>Certification of Chief Executive Officer and Chief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formatted in Inline Extensible Business Reporting Language (XBRL): (i) Condensed Balance Sheets as of September 30, 2025 and December 31, 2024, (ii) Condensed Statements of Operations and Comprehensive Loss for the three and nine months ended September 30, 2025 and 2024, (iii) Condensed Statements of Changes in Stockholders’ Equity for the three and nine months ended September 30, 2025 and 2024, (iv) Condensed Statements of Cash Flows for the nine months ended September 30, 2025 and 2024, and (v) Notes to Unaudited Condensed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Indicates management contract or compensatory plan.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certification attached as Exhibit 32.1 that accompanies this Quarterly Report on Form 10-Q, is deemed furnished and not filed with the SEC and is not to be incorporated by reference into any filing of Ardelyx, Inc. under the Securities Act of 1933, as amended, or the Exchange Act,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185" w:type="dxa"/>
        <w:jc w:val="left"/>
        <w:tblInd w:w="0" w:type="dxa"/>
        <w:tblLayout w:type="fixed"/>
        <w:tblCellMar>
          <w:top w:w="28" w:type="dxa"/>
          <w:left w:w="28" w:type="dxa"/>
          <w:bottom w:w="28" w:type="dxa"/>
          <w:right w:w="28" w:type="dxa"/>
        </w:tblCellMar>
      </w:tblPr>
      <w:tblGrid>
        <w:gridCol w:w="726"/>
        <w:gridCol w:w="640"/>
        <w:gridCol w:w="643"/>
        <w:gridCol w:w="199"/>
        <w:gridCol w:w="199"/>
        <w:gridCol w:w="199"/>
        <w:gridCol w:w="1466"/>
        <w:gridCol w:w="1466"/>
        <w:gridCol w:w="1493"/>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Ardelyx, Inc.</w:t>
            </w:r>
          </w:p>
        </w:tc>
        <w:tc>
          <w:tcPr>
            <w:tcW w:w="154" w:type="dxa"/>
            <w:tcBorders/>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30, 2025</w:t>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2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Joseph Reilly</w:t>
            </w:r>
          </w:p>
        </w:tc>
        <w:tc>
          <w:tcPr>
            <w:tcW w:w="154" w:type="dxa"/>
            <w:tcBorders/>
          </w:tcPr>
          <w:p>
            <w:pPr>
              <w:pStyle w:val="TableContents"/>
              <w:bidi w:val="0"/>
              <w:spacing w:before="0" w:after="283"/>
              <w:jc w:val="left"/>
              <w:rPr>
                <w:sz w:val="4"/>
                <w:szCs w:val="4"/>
              </w:rPr>
            </w:pPr>
            <w:r>
              <w:rPr>
                <w:sz w:val="4"/>
                <w:szCs w:val="4"/>
              </w:rPr>
            </w:r>
          </w:p>
        </w:tc>
      </w:tr>
      <w:tr>
        <w:trPr/>
        <w:tc>
          <w:tcPr>
            <w:tcW w:w="200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Joseph Reilly</w:t>
            </w:r>
          </w:p>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Senior Vice President and Chief Accounting Officer</w:t>
            </w:r>
          </w:p>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(Principal Accounting Officer)</w:t>
            </w:r>
          </w:p>
        </w:tc>
        <w:tc>
          <w:tcPr>
            <w:tcW w:w="154" w:type="dxa"/>
            <w:tcBorders/>
          </w:tcPr>
          <w:p>
            <w:pPr>
              <w:pStyle w:val="TableContents"/>
              <w:bidi w:val="0"/>
              <w:spacing w:before="0" w:after="283"/>
              <w:jc w:val="left"/>
              <w:rPr>
                <w:sz w:val="4"/>
                <w:szCs w:val="4"/>
              </w:rPr>
            </w:pPr>
            <w:r>
              <w:rPr>
                <w:sz w:val="4"/>
                <w:szCs w:val="4"/>
              </w:rPr>
            </w:r>
          </w:p>
        </w:tc>
      </w:tr>
      <w:tr>
        <w:trPr/>
        <w:tc>
          <w:tcPr>
            <w:tcW w:w="2009" w:type="dxa"/>
            <w:gridSpan w:val="3"/>
            <w:vMerge w:val="continue"/>
            <w:tcBorders/>
            <w:tcMar>
              <w:top w:w="0" w:type="dxa"/>
              <w:left w:w="0" w:type="dxa"/>
              <w:bottom w:w="0" w:type="dxa"/>
              <w:right w:w="0" w:type="dxa"/>
            </w:tcMar>
            <w:vAlign w:val="center"/>
          </w:tcPr>
          <w:p>
            <w:pPr>
              <w:pStyle w:val="Normal"/>
              <w:bidi w:val="0"/>
              <w:jc w:val="left"/>
              <w:rPr/>
            </w:pPr>
            <w:r>
              <w:rPr/>
            </w:r>
          </w:p>
        </w:tc>
        <w:tc>
          <w:tcPr>
            <w:tcW w:w="597" w:type="dxa"/>
            <w:gridSpan w:val="3"/>
            <w:vMerge w:val="continue"/>
            <w:tcBorders/>
            <w:tcMar>
              <w:top w:w="0" w:type="dxa"/>
              <w:left w:w="0" w:type="dxa"/>
              <w:bottom w:w="0" w:type="dxa"/>
              <w:right w:w="0" w:type="dxa"/>
            </w:tcMar>
            <w:vAlign w:val="center"/>
          </w:tcPr>
          <w:p>
            <w:pPr>
              <w:pStyle w:val="Normal"/>
              <w:bidi w:val="0"/>
              <w:jc w:val="left"/>
              <w:rPr/>
            </w:pPr>
            <w:r>
              <w:rPr/>
            </w:r>
          </w:p>
        </w:tc>
        <w:tc>
          <w:tcPr>
            <w:tcW w:w="442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vMerge w:val="continue"/>
            <w:tcBorders/>
            <w:tcMar>
              <w:top w:w="0" w:type="dxa"/>
              <w:left w:w="0" w:type="dxa"/>
              <w:bottom w:w="0" w:type="dxa"/>
              <w:right w:w="0" w:type="dxa"/>
            </w:tcMar>
            <w:vAlign w:val="center"/>
          </w:tcPr>
          <w:p>
            <w:pPr>
              <w:pStyle w:val="Normal"/>
              <w:bidi w:val="0"/>
              <w:jc w:val="left"/>
              <w:rPr/>
            </w:pPr>
            <w:r>
              <w:rPr/>
            </w:r>
          </w:p>
        </w:tc>
        <w:tc>
          <w:tcPr>
            <w:tcW w:w="597" w:type="dxa"/>
            <w:gridSpan w:val="3"/>
            <w:vMerge w:val="continue"/>
            <w:tcBorders/>
            <w:tcMar>
              <w:top w:w="0" w:type="dxa"/>
              <w:left w:w="0" w:type="dxa"/>
              <w:bottom w:w="0" w:type="dxa"/>
              <w:right w:w="0" w:type="dxa"/>
            </w:tcMar>
            <w:vAlign w:val="center"/>
          </w:tcPr>
          <w:p>
            <w:pPr>
              <w:pStyle w:val="Normal"/>
              <w:bidi w:val="0"/>
              <w:jc w:val="left"/>
              <w:rPr/>
            </w:pPr>
            <w:r>
              <w:rPr/>
            </w:r>
          </w:p>
        </w:tc>
        <w:tc>
          <w:tcPr>
            <w:tcW w:w="442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240" w:after="283"/>
        <w:jc w:val="both"/>
        <w:rPr/>
      </w:pPr>
      <w:hyperlink w:anchor="icea67d28b76f47deb314d8e9d7b95d6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SUMMARY OF ABBREVIATED TERMS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Throughout this Quarterly Report on Form 10-Q, we have used terms which are defined below:</w:t>
      </w:r>
    </w:p>
    <w:tbl>
      <w:tblPr>
        <w:tblW w:w="10205" w:type="dxa"/>
        <w:jc w:val="center"/>
        <w:tblInd w:w="0" w:type="dxa"/>
        <w:tblLayout w:type="fixed"/>
        <w:tblCellMar>
          <w:top w:w="28" w:type="dxa"/>
          <w:left w:w="28" w:type="dxa"/>
          <w:bottom w:w="28" w:type="dxa"/>
          <w:right w:w="28" w:type="dxa"/>
        </w:tblCellMar>
      </w:tblPr>
      <w:tblGrid>
        <w:gridCol w:w="464"/>
        <w:gridCol w:w="408"/>
        <w:gridCol w:w="347"/>
        <w:gridCol w:w="1535"/>
        <w:gridCol w:w="1220"/>
        <w:gridCol w:w="1225"/>
        <w:gridCol w:w="411"/>
        <w:gridCol w:w="347"/>
        <w:gridCol w:w="351"/>
        <w:gridCol w:w="1229"/>
        <w:gridCol w:w="1099"/>
        <w:gridCol w:w="1569"/>
      </w:tblGrid>
      <w:tr>
        <w:trPr/>
        <w:tc>
          <w:tcPr>
            <w:tcW w:w="46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r>
      <w:tr>
        <w:trPr/>
        <w:tc>
          <w:tcPr>
            <w:tcW w:w="121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340B Program</w:t>
            </w:r>
          </w:p>
        </w:tc>
        <w:tc>
          <w:tcPr>
            <w:tcW w:w="3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Health Service’s 340B Drug Pricing Program</w:t>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GTN</w:t>
            </w:r>
          </w:p>
        </w:tc>
        <w:tc>
          <w:tcPr>
            <w:tcW w:w="3897" w:type="dxa"/>
            <w:gridSpan w:val="3"/>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gross-to-net</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AAKP</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American Association of Kidney Patients</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HCR</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HealthCare Royalty Partners IV, L.P.</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ACA</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Affordable Care Act</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HCR Agreement</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Royalty and Sales Milestone Interest Acquisition Agreement</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AI Technologies</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Artificial intelligence, machine learning and certain automated decision-making technologies </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HHS</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Department of Health and Human Services</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AMP</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manufacturer price</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HIPAA</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Health Insurance Portability and Accountability Act of 1996, as amended, and regulations promulgated thereunder</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ANDA</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abbreviated New Drug Application</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HRSA</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Health Resources and Services Administration</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2024 Form 10-K</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18"/>
              </w:rPr>
            </w:pPr>
            <w:r>
              <w:rPr>
                <w:rFonts w:ascii="Times New Roman;serif" w:hAnsi="Times New Roman;serif"/>
                <w:b w:val="false"/>
                <w:color w:val="000000"/>
                <w:sz w:val="18"/>
              </w:rPr>
              <w:t>Annual Report on Form 10-K for the year ended December 31, 2024 filed with the SEC on February 20, 2025</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IBS-C</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irritable bowel syndrome with constipation</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API</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active pharmaceutical ingredient</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Investigational New Drug</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AstraZeneca</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AstraZeneca AB</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IRA</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Inflation Reduction Act of 2022</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ASU</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Accounting Standards Update</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IRB</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institutional review board</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CCPA</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California Consumer Privacy Act, as amended by the California Privacy Rights Act</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Jefferies</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Jefferies, LLC</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cGMP</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Good Manufacturing Practice</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Kyowa Kirin</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Kyowa Kirin Co., Ltd.</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CKD</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chronic kidney disease</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Knight</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Knight Therapeutics, Inc.</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CME</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Chicago Mercantile Exchange</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MDRP</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Medicaid Drug Rebate Program</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CMO</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manufacturing organization</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METiS</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METiS Therapeutics, Inc.</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CMS</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Centers for Medicare &amp; Medicaid Services</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MHLW</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Ministry of Health, Labour and Welfare</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contract research organization</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MIPPA</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Medicare Improvements for Patients and</w:t>
              <w:br/>
              <w:t>Providers Act</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CODM</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Chief Operating Decision Maker</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OLC</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Oxylanthanum Carbonate</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Customers</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collectively, major wholesalers, specialty pharmacies and GPOs (IBSRELA) and specialty wholesaler (XPHOZAH)</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NCE</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chemical entity</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DPF</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EU-US Data Privacy Framework</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NDA</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Drug Application</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EEA</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European Economic Area</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NH3</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sodium hydrogen exchange 3</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ESPP</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Stock Purchase Plan</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NMPA</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National Medical Products Administration</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ESRD</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End-Stage Renal Disease</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NOL</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operating loss</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ESRD PPS</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End-Stage Renal Disease Prospective Payment System</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NMQF</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National Minority Quality Forum</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 Patent Package</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European Patent Package</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Non-FAMP</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Non-Federal Average Manufacturer Price</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Exchange Act</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Securities Exchange Act of 1934, as amended</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R&amp;D</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FASB</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Accounting Standards Board</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REMS</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 Evaluation and Mitigation Strategy</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FDA</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Drug Administration</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FFDCA</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Food, Drug, and Cosmetic Act</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SLR</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SLR Investment Corp.</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Fosun Pharma</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Shanghai Fosun Pharmaceutical Industrial Development Co. Ltd.</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and Exchange Commission</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FSS</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Supply Schedule</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SOFR</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Secured Overnight Financing Rate</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FTC</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Trade Commission</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TDAPA</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Transitional Drug Add-on Payment Adjustment</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GAAP</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generally accepted accounting principles</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UPC</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European Unified Patent Court</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GCP</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 Clinical Practice</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121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GDPR</w:t>
            </w:r>
          </w:p>
        </w:tc>
        <w:tc>
          <w:tcPr>
            <w:tcW w:w="3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European Union General Data Protection Regulation</w:t>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USPTO</w:t>
            </w:r>
          </w:p>
        </w:tc>
        <w:tc>
          <w:tcPr>
            <w:tcW w:w="389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Patent and Trademark Office</w:t>
            </w:r>
          </w:p>
        </w:tc>
      </w:tr>
      <w:tr>
        <w:trPr/>
        <w:tc>
          <w:tcPr>
            <w:tcW w:w="121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GLP</w:t>
            </w:r>
          </w:p>
        </w:tc>
        <w:tc>
          <w:tcPr>
            <w:tcW w:w="3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 Laboratory Practice</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w:t>
            </w:r>
          </w:p>
        </w:tc>
        <w:tc>
          <w:tcPr>
            <w:tcW w:w="389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Department of Veterans Affairs</w:t>
            </w:r>
          </w:p>
        </w:tc>
      </w:tr>
      <w:tr>
        <w:trPr/>
        <w:tc>
          <w:tcPr>
            <w:tcW w:w="1219" w:type="dxa"/>
            <w:gridSpan w:val="3"/>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GPO</w:t>
            </w:r>
          </w:p>
        </w:tc>
        <w:tc>
          <w:tcPr>
            <w:tcW w:w="398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group purchasing organization</w:t>
            </w:r>
          </w:p>
        </w:tc>
        <w:tc>
          <w:tcPr>
            <w:tcW w:w="110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3"/>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192" w:before="0" w:after="0"/>
        <w:jc w:val="righ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90" w:after="283"/>
        <w:jc w:val="left"/>
        <w:rPr/>
      </w:pPr>
      <w:r>
        <w:rPr/>
      </w:r>
    </w:p>
    <w:p>
      <w:pPr>
        <w:pStyle w:val="TextBody"/>
        <w:bidi w:val="0"/>
        <w:spacing w:lineRule="auto" w:line="288" w:before="1" w:after="283"/>
        <w:jc w:val="center"/>
        <w:rPr>
          <w:rFonts w:ascii="Times New Roman;serif" w:hAnsi="Times New Roman;serif"/>
          <w:b/>
          <w:color w:val="000000"/>
          <w:sz w:val="20"/>
          <w:u w:val="single"/>
        </w:rPr>
      </w:pPr>
      <w:r>
        <w:rPr>
          <w:rFonts w:ascii="Times New Roman;serif" w:hAnsi="Times New Roman;serif"/>
          <w:b/>
          <w:color w:val="000000"/>
          <w:sz w:val="20"/>
          <w:u w:val="single"/>
        </w:rPr>
        <w:t>TRANSITION AND SEPARATION AGREEMENT</w:t>
      </w:r>
    </w:p>
    <w:p>
      <w:pPr>
        <w:pStyle w:val="TextBody"/>
        <w:bidi w:val="0"/>
        <w:spacing w:before="10" w:after="283"/>
        <w:jc w:val="left"/>
        <w:rPr/>
      </w:pPr>
      <w:r>
        <w:rPr/>
      </w:r>
    </w:p>
    <w:p>
      <w:pPr>
        <w:pStyle w:val="TextBody"/>
        <w:bidi w:val="0"/>
        <w:spacing w:lineRule="auto" w:line="288" w:before="0" w:after="0"/>
        <w:ind w:left="0" w:right="0" w:firstLine="489"/>
        <w:jc w:val="left"/>
        <w:rPr/>
      </w:pPr>
      <w:r>
        <w:rPr>
          <w:rFonts w:ascii="Times New Roman;serif" w:hAnsi="Times New Roman;serif"/>
          <w:b w:val="false"/>
          <w:color w:val="000000"/>
          <w:sz w:val="20"/>
        </w:rPr>
        <w:t>This Transition and Separation Agreement (the “</w:t>
      </w:r>
      <w:r>
        <w:rPr>
          <w:rFonts w:ascii="Times New Roman;serif" w:hAnsi="Times New Roman;serif"/>
          <w:b w:val="false"/>
          <w:color w:val="000000"/>
          <w:sz w:val="20"/>
          <w:u w:val="single"/>
        </w:rPr>
        <w:t>Agreement</w:t>
      </w:r>
      <w:r>
        <w:rPr>
          <w:color w:val="000000"/>
        </w:rPr>
        <w:t>”</w:t>
      </w:r>
      <w:r>
        <w:rPr>
          <w:rFonts w:ascii="Times New Roman;serif" w:hAnsi="Times New Roman;serif"/>
          <w:b w:val="false"/>
          <w:color w:val="000000"/>
          <w:sz w:val="20"/>
        </w:rPr>
        <w:t>) by and between Justin Renz (“</w:t>
      </w:r>
      <w:r>
        <w:rPr>
          <w:rFonts w:ascii="Times New Roman;serif" w:hAnsi="Times New Roman;serif"/>
          <w:b w:val="false"/>
          <w:color w:val="000000"/>
          <w:sz w:val="20"/>
          <w:u w:val="single"/>
        </w:rPr>
        <w:t>Executive</w:t>
      </w:r>
      <w:r>
        <w:rPr>
          <w:color w:val="000000"/>
        </w:rPr>
        <w:t>”</w:t>
      </w:r>
      <w:r>
        <w:rPr>
          <w:rFonts w:ascii="Times New Roman;serif" w:hAnsi="Times New Roman;serif"/>
          <w:b w:val="false"/>
          <w:color w:val="000000"/>
          <w:sz w:val="20"/>
        </w:rPr>
        <w:t>) and Ardelyx, Inc.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is made effective as of the date Executive signs this Agreement (the “</w:t>
      </w:r>
      <w:r>
        <w:rPr>
          <w:rFonts w:ascii="Times New Roman;serif" w:hAnsi="Times New Roman;serif"/>
          <w:b w:val="false"/>
          <w:color w:val="000000"/>
          <w:sz w:val="20"/>
          <w:u w:val="single"/>
        </w:rPr>
        <w:t>Effective</w:t>
      </w:r>
      <w:r>
        <w:rPr>
          <w:color w:val="000000"/>
        </w:rPr>
        <w:t xml:space="preserve"> </w:t>
      </w:r>
      <w:r>
        <w:rPr>
          <w:rFonts w:ascii="Times New Roman;serif" w:hAnsi="Times New Roman;serif"/>
          <w:b w:val="false"/>
          <w:color w:val="000000"/>
          <w:sz w:val="20"/>
          <w:u w:val="single"/>
        </w:rPr>
        <w:t>Date</w:t>
      </w:r>
      <w:r>
        <w:rPr>
          <w:color w:val="000000"/>
        </w:rPr>
        <w:t>”</w:t>
      </w:r>
      <w:r>
        <w:rPr>
          <w:rFonts w:ascii="Times New Roman;serif" w:hAnsi="Times New Roman;serif"/>
          <w:b w:val="false"/>
          <w:color w:val="000000"/>
          <w:sz w:val="20"/>
        </w:rPr>
        <w:t>) with reference to the following facts:</w:t>
      </w:r>
    </w:p>
    <w:p>
      <w:pPr>
        <w:pStyle w:val="TextBody"/>
        <w:bidi w:val="0"/>
        <w:spacing w:before="9" w:after="283"/>
        <w:jc w:val="left"/>
        <w:rPr/>
      </w:pPr>
      <w:r>
        <w:rPr/>
      </w:r>
    </w:p>
    <w:p>
      <w:pPr>
        <w:pStyle w:val="TextBody"/>
        <w:bidi w:val="0"/>
        <w:spacing w:lineRule="auto" w:line="288" w:before="0" w:after="0"/>
        <w:ind w:left="0" w:right="0" w:hanging="243"/>
        <w:jc w:val="left"/>
        <w:rPr>
          <w:rFonts w:ascii="Times New Roman;serif" w:hAnsi="Times New Roman;serif"/>
          <w:b w:val="false"/>
          <w:color w:val="000000"/>
          <w:sz w:val="20"/>
        </w:rPr>
      </w:pPr>
      <w:r>
        <w:rPr>
          <w:rFonts w:ascii="Times New Roman;serif" w:hAnsi="Times New Roman;serif"/>
          <w:b w:val="false"/>
          <w:color w:val="000000"/>
          <w:sz w:val="20"/>
        </w:rPr>
        <w:t>A.    Executive currently serves as the Company’s Chief Financial and Operations Officer.</w:t>
      </w:r>
    </w:p>
    <w:p>
      <w:pPr>
        <w:pStyle w:val="TextBody"/>
        <w:bidi w:val="0"/>
        <w:spacing w:before="10" w:after="283"/>
        <w:jc w:val="left"/>
        <w:rPr/>
      </w:pPr>
      <w:r>
        <w:rPr/>
      </w:r>
    </w:p>
    <w:p>
      <w:pPr>
        <w:pStyle w:val="TextBody"/>
        <w:bidi w:val="0"/>
        <w:spacing w:lineRule="auto" w:line="288" w:before="0" w:after="0"/>
        <w:ind w:left="0" w:right="0" w:firstLine="979"/>
        <w:jc w:val="left"/>
        <w:rPr/>
      </w:pPr>
      <w:r>
        <w:rPr>
          <w:rFonts w:ascii="Times New Roman;serif" w:hAnsi="Times New Roman;serif"/>
          <w:b w:val="false"/>
          <w:color w:val="000000"/>
          <w:sz w:val="20"/>
        </w:rPr>
        <w:t>B.    Executive and the Company have entered into an Amended and Restated Change in Control Severance Agreement effective as of April 29, 2025 (the “</w:t>
      </w:r>
      <w:r>
        <w:rPr>
          <w:rFonts w:ascii="Times New Roman;serif" w:hAnsi="Times New Roman;serif"/>
          <w:b w:val="false"/>
          <w:color w:val="000000"/>
          <w:sz w:val="20"/>
          <w:u w:val="single"/>
        </w:rPr>
        <w:t>Severance Agreement</w:t>
      </w:r>
      <w:r>
        <w:rPr>
          <w:color w:val="000000"/>
        </w:rPr>
        <w:t>”</w:t>
      </w:r>
      <w:r>
        <w:rPr>
          <w:rFonts w:ascii="Times New Roman;serif" w:hAnsi="Times New Roman;serif"/>
          <w:b w:val="false"/>
          <w:color w:val="000000"/>
          <w:sz w:val="20"/>
        </w:rPr>
        <w:t>).</w:t>
      </w:r>
    </w:p>
    <w:p>
      <w:pPr>
        <w:pStyle w:val="TextBody"/>
        <w:bidi w:val="0"/>
        <w:spacing w:before="11" w:after="283"/>
        <w:jc w:val="left"/>
        <w:rPr/>
      </w:pPr>
      <w:r>
        <w:rPr/>
      </w:r>
    </w:p>
    <w:p>
      <w:pPr>
        <w:pStyle w:val="TextBody"/>
        <w:bidi w:val="0"/>
        <w:spacing w:lineRule="auto" w:line="288"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C.    Executive’s employment with the Company, and his status as an officer of the Company will end effective upon the Separation Date (as defined below).</w:t>
      </w:r>
    </w:p>
    <w:p>
      <w:pPr>
        <w:pStyle w:val="TextBody"/>
        <w:bidi w:val="0"/>
        <w:spacing w:before="9" w:after="283"/>
        <w:jc w:val="left"/>
        <w:rPr/>
      </w:pPr>
      <w:r>
        <w:rPr/>
      </w:r>
    </w:p>
    <w:p>
      <w:pPr>
        <w:pStyle w:val="TextBody"/>
        <w:bidi w:val="0"/>
        <w:spacing w:lineRule="auto" w:line="288" w:before="0" w:after="0"/>
        <w:ind w:left="0" w:right="0" w:firstLine="979"/>
        <w:jc w:val="left"/>
        <w:rPr>
          <w:rFonts w:ascii="Times New Roman;serif" w:hAnsi="Times New Roman;serif"/>
          <w:b w:val="false"/>
          <w:color w:val="000000"/>
          <w:sz w:val="20"/>
        </w:rPr>
      </w:pPr>
      <w:r>
        <w:rPr>
          <w:rFonts w:ascii="Times New Roman;serif" w:hAnsi="Times New Roman;serif"/>
          <w:b w:val="false"/>
          <w:color w:val="000000"/>
          <w:sz w:val="20"/>
        </w:rPr>
        <w:t>D.    Executive and the Company want to provide for a smooth transition and to establish the obligations of the parties including, without limitation, all amounts due and owing to Executive.</w:t>
      </w:r>
    </w:p>
    <w:p>
      <w:pPr>
        <w:pStyle w:val="TextBody"/>
        <w:bidi w:val="0"/>
        <w:spacing w:before="11" w:after="283"/>
        <w:jc w:val="left"/>
        <w:rPr/>
      </w:pPr>
      <w:r>
        <w:rPr/>
      </w:r>
    </w:p>
    <w:p>
      <w:pPr>
        <w:pStyle w:val="TextBody"/>
        <w:bidi w:val="0"/>
        <w:spacing w:lineRule="auto" w:line="288" w:before="0" w:after="0"/>
        <w:ind w:left="0" w:right="0" w:firstLine="489"/>
        <w:jc w:val="left"/>
        <w:rPr>
          <w:rFonts w:ascii="Times New Roman;serif" w:hAnsi="Times New Roman;serif"/>
          <w:b w:val="false"/>
          <w:color w:val="000000"/>
          <w:sz w:val="20"/>
        </w:rPr>
      </w:pPr>
      <w:r>
        <w:rPr>
          <w:rFonts w:ascii="Times New Roman;serif" w:hAnsi="Times New Roman;serif"/>
          <w:b w:val="false"/>
          <w:color w:val="000000"/>
          <w:sz w:val="20"/>
        </w:rPr>
        <w:t>NOW, THEREFORE, in consideration of the mutual covenants and agreements hereinafter set forth, the parties agree as follows:</w:t>
      </w:r>
    </w:p>
    <w:p>
      <w:pPr>
        <w:pStyle w:val="TextBody"/>
        <w:bidi w:val="0"/>
        <w:spacing w:lineRule="auto" w:line="288" w:before="229" w:after="283"/>
        <w:ind w:left="0" w:right="0" w:firstLine="489"/>
        <w:jc w:val="left"/>
        <w:rPr/>
      </w:pPr>
      <w:r>
        <w:rPr>
          <w:rFonts w:ascii="Times New Roman;serif" w:hAnsi="Times New Roman;serif"/>
          <w:b w:val="false"/>
          <w:color w:val="000000"/>
          <w:sz w:val="20"/>
        </w:rPr>
        <w:t>1.    </w:t>
      </w:r>
      <w:r>
        <w:rPr>
          <w:rFonts w:ascii="Times New Roman;serif" w:hAnsi="Times New Roman;serif"/>
          <w:b w:val="false"/>
          <w:color w:val="000000"/>
          <w:sz w:val="20"/>
          <w:u w:val="single"/>
        </w:rPr>
        <w:t>Separation Date</w:t>
      </w:r>
      <w:r>
        <w:rPr>
          <w:rFonts w:ascii="Times New Roman;serif" w:hAnsi="Times New Roman;serif"/>
          <w:b w:val="false"/>
          <w:color w:val="000000"/>
          <w:sz w:val="20"/>
        </w:rPr>
        <w:t>. Executive’s status as an employee of the Company will end as of the earliest of (a) the earlier of (i) December 31, 2025 or (ii) the date that is thirty (30) calendar days following the start date of the Company’s new Chief Financial Officer, (such earlier date, the “</w:t>
      </w:r>
      <w:r>
        <w:rPr>
          <w:rFonts w:ascii="Times New Roman;serif" w:hAnsi="Times New Roman;serif"/>
          <w:b w:val="false"/>
          <w:color w:val="000000"/>
          <w:sz w:val="20"/>
          <w:u w:val="single"/>
        </w:rPr>
        <w:t>Planned Separation Date</w:t>
      </w:r>
      <w:r>
        <w:rPr>
          <w:color w:val="000000"/>
        </w:rPr>
        <w:t>”</w:t>
      </w:r>
      <w:r>
        <w:rPr>
          <w:rFonts w:ascii="Times New Roman;serif" w:hAnsi="Times New Roman;serif"/>
          <w:b w:val="false"/>
          <w:color w:val="000000"/>
          <w:sz w:val="20"/>
        </w:rPr>
        <w:t>), (b) the date Executive takes any action that constitutes Cause (as defined in the Severance Agreement) and (c) the date Executive voluntarily resigns from the Company (such earliest date, the “</w:t>
      </w:r>
      <w:r>
        <w:rPr>
          <w:rFonts w:ascii="Times New Roman;serif" w:hAnsi="Times New Roman;serif"/>
          <w:b w:val="false"/>
          <w:color w:val="000000"/>
          <w:sz w:val="20"/>
          <w:u w:val="single"/>
        </w:rPr>
        <w:t>Separation Date</w:t>
      </w:r>
      <w:r>
        <w:rPr>
          <w:color w:val="000000"/>
        </w:rPr>
        <w:t>”</w:t>
      </w:r>
      <w:r>
        <w:rPr>
          <w:rFonts w:ascii="Times New Roman;serif" w:hAnsi="Times New Roman;serif"/>
          <w:b w:val="false"/>
          <w:color w:val="000000"/>
          <w:sz w:val="20"/>
        </w:rPr>
        <w:t xml:space="preserve">). Executive hereby agrees to execute such further document(s) as shall be determined by the Company as necessary or desirable to give effect to the termination of Executive’s status as an officer of the Company;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such documents shall not be inconsistent with any of the terms of this Agreement.</w:t>
      </w:r>
    </w:p>
    <w:p>
      <w:pPr>
        <w:pStyle w:val="TextBody"/>
        <w:bidi w:val="0"/>
        <w:spacing w:before="1" w:after="283"/>
        <w:jc w:val="left"/>
        <w:rPr/>
      </w:pPr>
      <w:r>
        <w:rPr/>
      </w:r>
    </w:p>
    <w:p>
      <w:pPr>
        <w:pStyle w:val="TextBody"/>
        <w:bidi w:val="0"/>
        <w:spacing w:lineRule="auto" w:line="288" w:before="1" w:after="283"/>
        <w:ind w:left="0" w:right="0" w:firstLine="489"/>
        <w:jc w:val="left"/>
        <w:rPr/>
      </w:pPr>
      <w:r>
        <w:rPr>
          <w:rFonts w:ascii="Times New Roman;serif" w:hAnsi="Times New Roman;serif"/>
          <w:b w:val="false"/>
          <w:color w:val="000000"/>
          <w:sz w:val="20"/>
        </w:rPr>
        <w:t>2.    </w:t>
      </w:r>
      <w:r>
        <w:rPr>
          <w:rFonts w:ascii="Times New Roman;serif" w:hAnsi="Times New Roman;serif"/>
          <w:b w:val="false"/>
          <w:color w:val="000000"/>
          <w:sz w:val="20"/>
          <w:u w:val="single"/>
        </w:rPr>
        <w:t>2025 Bonus</w:t>
      </w:r>
      <w:r>
        <w:rPr>
          <w:rFonts w:ascii="Times New Roman;serif" w:hAnsi="Times New Roman;serif"/>
          <w:b w:val="false"/>
          <w:color w:val="000000"/>
          <w:sz w:val="20"/>
        </w:rPr>
        <w:t>. Executive shall receive a corporate bonus for 2025 with the amount of such bonus determined in accordance with the Company’s standard bonus calculations for all members of the Executive Leadership Team, and with the individual performance component for such calculation set at one hundred percent (100%). Executive’s corporate bonus shall be paid at the time all corporate bonuses are paid to members of the Executive Leadership Team in 2026 and shall not be pro-rated.</w:t>
      </w:r>
    </w:p>
    <w:p>
      <w:pPr>
        <w:pStyle w:val="TextBody"/>
        <w:bidi w:val="0"/>
        <w:spacing w:before="0" w:after="0"/>
        <w:jc w:val="left"/>
        <w:rPr/>
      </w:pPr>
      <w:r>
        <w:rPr/>
      </w:r>
    </w:p>
    <w:p>
      <w:pPr>
        <w:pStyle w:val="TextBody"/>
        <w:bidi w:val="0"/>
        <w:spacing w:lineRule="auto" w:line="288" w:before="0" w:after="0"/>
        <w:ind w:left="0" w:right="0" w:firstLine="489"/>
        <w:jc w:val="left"/>
        <w:rPr/>
      </w:pPr>
      <w:r>
        <w:rPr>
          <w:rFonts w:ascii="Times New Roman;serif" w:hAnsi="Times New Roman;serif"/>
          <w:b w:val="false"/>
          <w:color w:val="000000"/>
          <w:sz w:val="20"/>
        </w:rPr>
        <w:t>3.    </w:t>
      </w:r>
      <w:r>
        <w:rPr>
          <w:rFonts w:ascii="Times New Roman;serif" w:hAnsi="Times New Roman;serif"/>
          <w:b w:val="false"/>
          <w:color w:val="000000"/>
          <w:sz w:val="20"/>
          <w:u w:val="single"/>
        </w:rPr>
        <w:t>Severance Payments and Benefits</w:t>
      </w:r>
      <w:r>
        <w:rPr>
          <w:rFonts w:ascii="Times New Roman;serif" w:hAnsi="Times New Roman;serif"/>
          <w:b w:val="false"/>
          <w:color w:val="000000"/>
          <w:sz w:val="20"/>
        </w:rPr>
        <w:t xml:space="preserve">. Following the Separation Date, Executive shall be entitled to receive the severance benefits described below, conditioned upon (i) Executive diligently and professionally executing his responsibilities under this Agreement, (ii) Executive delivering to the Company a General Release of Claims substantially in the form attached hereto as </w:t>
      </w:r>
      <w:r>
        <w:rPr>
          <w:rFonts w:ascii="Times New Roman;serif" w:hAnsi="Times New Roman;serif"/>
          <w:b w:val="false"/>
          <w:color w:val="000000"/>
          <w:sz w:val="20"/>
          <w:u w:val="single"/>
        </w:rPr>
        <w:t>Exhibit A</w:t>
      </w:r>
      <w:r>
        <w:rPr>
          <w:color w:val="000000"/>
        </w:rPr>
        <w:t xml:space="preserve"> </w:t>
      </w:r>
      <w:r>
        <w:rPr>
          <w:rFonts w:ascii="Times New Roman;serif" w:hAnsi="Times New Roman;serif"/>
          <w:b w:val="false"/>
          <w:color w:val="000000"/>
          <w:sz w:val="20"/>
        </w:rPr>
        <w:t>(the “</w:t>
      </w:r>
      <w:r>
        <w:rPr>
          <w:rFonts w:ascii="Times New Roman;serif" w:hAnsi="Times New Roman;serif"/>
          <w:b w:val="false"/>
          <w:color w:val="000000"/>
          <w:sz w:val="20"/>
          <w:u w:val="single"/>
        </w:rPr>
        <w:t>Release of Claims</w:t>
      </w:r>
      <w:r>
        <w:rPr>
          <w:color w:val="000000"/>
        </w:rPr>
        <w:t>”</w:t>
      </w:r>
      <w:r>
        <w:rPr>
          <w:rFonts w:ascii="Times New Roman;serif" w:hAnsi="Times New Roman;serif"/>
          <w:b w:val="false"/>
          <w:color w:val="000000"/>
          <w:sz w:val="20"/>
        </w:rPr>
        <w:t>) on or within twenty-one (21) days following the Separation Date that becomes effective and irrevocable at the end of the seven (7)-day period immediately following his execution of the Release of Claims (the “</w:t>
      </w:r>
      <w:r>
        <w:rPr>
          <w:rFonts w:ascii="Times New Roman;serif" w:hAnsi="Times New Roman;serif"/>
          <w:b w:val="false"/>
          <w:color w:val="000000"/>
          <w:sz w:val="20"/>
          <w:u w:val="single"/>
        </w:rPr>
        <w:t>Revocation Period</w:t>
      </w:r>
      <w:r>
        <w:rPr>
          <w:color w:val="000000"/>
        </w:rPr>
        <w:t>”</w:t>
      </w:r>
      <w:r>
        <w:rPr>
          <w:rFonts w:ascii="Times New Roman;serif" w:hAnsi="Times New Roman;serif"/>
          <w:b w:val="false"/>
          <w:color w:val="000000"/>
          <w:sz w:val="20"/>
        </w:rPr>
        <w:t>), and (iii) Executive’s performance of his continuing obligations under Section 8 below and otherwise pursuant to this Agreement and the Proprietary Information and Inventions Assignment Agreement entered into between Executive and the Company, as of April 23, 2020 (the “</w:t>
      </w:r>
      <w:r>
        <w:rPr>
          <w:rFonts w:ascii="Times New Roman;serif" w:hAnsi="Times New Roman;serif"/>
          <w:b w:val="false"/>
          <w:color w:val="000000"/>
          <w:sz w:val="20"/>
          <w:u w:val="single"/>
        </w:rPr>
        <w:t>Confidential Information Agreement</w:t>
      </w:r>
      <w:r>
        <w:rPr>
          <w:color w:val="000000"/>
        </w:rPr>
        <w:t>”</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489"/>
        <w:jc w:val="left"/>
        <w:rPr/>
      </w:pPr>
      <w:r>
        <w:rPr>
          <w:rFonts w:ascii="Times New Roman;serif" w:hAnsi="Times New Roman;serif"/>
          <w:b w:val="false"/>
          <w:color w:val="000000"/>
          <w:sz w:val="20"/>
        </w:rPr>
        <w:t>(a)    </w:t>
      </w:r>
      <w:r>
        <w:rPr>
          <w:rFonts w:ascii="Times New Roman;serif" w:hAnsi="Times New Roman;serif"/>
          <w:b w:val="false"/>
          <w:i/>
          <w:color w:val="000000"/>
          <w:sz w:val="20"/>
        </w:rPr>
        <w:t xml:space="preserve">Benefits Under Severance Agreement. </w:t>
      </w:r>
      <w:r>
        <w:rPr>
          <w:rFonts w:ascii="Times New Roman;serif" w:hAnsi="Times New Roman;serif"/>
          <w:b w:val="false"/>
          <w:color w:val="000000"/>
          <w:sz w:val="20"/>
        </w:rPr>
        <w:t>Executive shall be entitled to receive the severance benefits described in Section 3 of the Severance Agreement.</w:t>
      </w:r>
    </w:p>
    <w:p>
      <w:pPr>
        <w:pStyle w:val="TextBody"/>
        <w:bidi w:val="0"/>
        <w:spacing w:lineRule="auto" w:line="288" w:before="229" w:after="283"/>
        <w:ind w:left="0" w:right="0" w:firstLine="489"/>
        <w:jc w:val="left"/>
        <w:rPr/>
      </w:pPr>
      <w:r>
        <w:rPr>
          <w:rFonts w:ascii="Times New Roman;serif" w:hAnsi="Times New Roman;serif"/>
          <w:b w:val="false"/>
          <w:color w:val="000000"/>
          <w:sz w:val="20"/>
        </w:rPr>
        <w:t>(b)    </w:t>
      </w:r>
      <w:r>
        <w:rPr>
          <w:rFonts w:ascii="Times New Roman;serif" w:hAnsi="Times New Roman;serif"/>
          <w:b w:val="false"/>
          <w:i/>
          <w:color w:val="000000"/>
          <w:sz w:val="20"/>
        </w:rPr>
        <w:t>Additional Accelerated Vesting and Base Salary Payment</w:t>
      </w:r>
      <w:r>
        <w:rPr>
          <w:rFonts w:ascii="Times New Roman;serif" w:hAnsi="Times New Roman;serif"/>
          <w:b w:val="false"/>
          <w:color w:val="000000"/>
          <w:sz w:val="20"/>
        </w:rPr>
        <w:t>. In the event the Separation Date is the Planned Separation Date, and is prior to December 31, 2025, (i) in addition to the equity that will vest under the terms of Section 3(b) of the Severance Agreement, each outstanding time-based equity award, including, without limitation, each time-based stock option, restricted stock unit award and restricted stock award, held by Executive shall automatically become vested and, if applicable, exercisable and any forfeiture restrictions or rights of repurchase thereon shall immediately lapse, in each case, with respect to that number of shares that would have vested, and if applicable, become exercisable, had Executive’s employment continued through December 31, 2025, with the result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that Executive’s benefits under this Section 3(b) combined with the benefits under Section 3(b) of the Severance Agreement will result in the Executive receiving the acceleration of all vesting of his equity grants with respect to that number of shares that would have vested, and if applicable, become exercisable, had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Executive’s employment continued through December 31, 2026, and (ii) in addition to the salary continuation described in Section 3(a) of the Severance Agreement, Executive shall continue to receive his base salary through December 31, 2025, in substantially equal installments in accordance with the Company’s normal payroll policies, less applicable withholdings, with such installments to commence as soon as administratively practicable following the date the Release of Claims is not subject to revocation, and the benefits described in Section 3(a) of the Severance Agreement shall commence on January 1, 2026.</w:t>
      </w:r>
    </w:p>
    <w:p>
      <w:pPr>
        <w:pStyle w:val="TextBody"/>
        <w:bidi w:val="0"/>
        <w:spacing w:before="0" w:after="0"/>
        <w:jc w:val="left"/>
        <w:rPr/>
      </w:pPr>
      <w:r>
        <w:rPr/>
      </w:r>
    </w:p>
    <w:p>
      <w:pPr>
        <w:pStyle w:val="TextBody"/>
        <w:bidi w:val="0"/>
        <w:spacing w:lineRule="auto" w:line="288" w:before="0" w:after="0"/>
        <w:ind w:left="0" w:right="0" w:firstLine="489"/>
        <w:jc w:val="left"/>
        <w:rPr/>
      </w:pPr>
      <w:r>
        <w:rPr>
          <w:rFonts w:ascii="Times New Roman;serif" w:hAnsi="Times New Roman;serif"/>
          <w:b w:val="false"/>
          <w:color w:val="000000"/>
          <w:sz w:val="20"/>
        </w:rPr>
        <w:t>(c)    </w:t>
      </w:r>
      <w:r>
        <w:rPr>
          <w:rFonts w:ascii="Times New Roman;serif" w:hAnsi="Times New Roman;serif"/>
          <w:b w:val="false"/>
          <w:i/>
          <w:color w:val="000000"/>
          <w:sz w:val="20"/>
        </w:rPr>
        <w:t xml:space="preserve">Extension of Time to Exercise. </w:t>
      </w:r>
      <w:r>
        <w:rPr>
          <w:rFonts w:ascii="Times New Roman;serif" w:hAnsi="Times New Roman;serif"/>
          <w:b w:val="false"/>
          <w:color w:val="000000"/>
          <w:sz w:val="20"/>
        </w:rPr>
        <w:t>The vested portion of each outstanding stock option (after giving effect to the paragraph above, if applicable, and to Section 3(b) of the Severance Agreement) shall remain exercisable through the earliest of the twelve-month anniversary of the Separation Date, the date of a change in control of the Company or the original expiration date of the stock option. Each agreement evidencing an equity award held by Executive shall be deemed amended to the extent necessary to reflect the terms and conditions set forth in this Section 3, and each outstanding equity award shall otherwise remain subject to the terms of the agreement evidencing such equity award (as deemed amended by this Section 3).</w:t>
      </w:r>
    </w:p>
    <w:p>
      <w:pPr>
        <w:pStyle w:val="TextBody"/>
        <w:bidi w:val="0"/>
        <w:spacing w:lineRule="auto" w:line="288" w:before="121" w:after="283"/>
        <w:ind w:left="0" w:right="0" w:hanging="280"/>
        <w:jc w:val="left"/>
        <w:rPr/>
      </w:pPr>
      <w:r>
        <w:rPr>
          <w:rFonts w:ascii="Times New Roman;serif" w:hAnsi="Times New Roman;serif"/>
          <w:b w:val="false"/>
          <w:color w:val="000000"/>
          <w:sz w:val="20"/>
        </w:rPr>
        <w:t>4.    </w:t>
      </w:r>
      <w:r>
        <w:rPr>
          <w:rFonts w:ascii="Times New Roman;serif" w:hAnsi="Times New Roman;serif"/>
          <w:b w:val="false"/>
          <w:color w:val="000000"/>
          <w:sz w:val="20"/>
          <w:u w:val="single"/>
        </w:rPr>
        <w:t>Final Paycheck; Payment of Accrued Wages and Expenses</w:t>
      </w:r>
      <w:r>
        <w:rPr>
          <w:rFonts w:ascii="Times New Roman;serif" w:hAnsi="Times New Roman;serif"/>
          <w:b w:val="false"/>
          <w:color w:val="000000"/>
          <w:sz w:val="20"/>
        </w:rPr>
        <w:t>.</w:t>
      </w:r>
    </w:p>
    <w:p>
      <w:pPr>
        <w:pStyle w:val="TextBody"/>
        <w:bidi w:val="0"/>
        <w:spacing w:lineRule="auto" w:line="288" w:before="120" w:after="283"/>
        <w:ind w:left="0" w:right="0" w:firstLine="489"/>
        <w:jc w:val="left"/>
        <w:rPr/>
      </w:pPr>
      <w:r>
        <w:rPr>
          <w:rFonts w:ascii="Times New Roman;serif" w:hAnsi="Times New Roman;serif"/>
          <w:b w:val="false"/>
          <w:color w:val="000000"/>
          <w:sz w:val="20"/>
        </w:rPr>
        <w:t>(a)    </w:t>
      </w:r>
      <w:r>
        <w:rPr>
          <w:rFonts w:ascii="Times New Roman;serif" w:hAnsi="Times New Roman;serif"/>
          <w:b w:val="false"/>
          <w:i/>
          <w:color w:val="000000"/>
          <w:sz w:val="20"/>
        </w:rPr>
        <w:t>Final Paycheck</w:t>
      </w:r>
      <w:r>
        <w:rPr>
          <w:rFonts w:ascii="Times New Roman;serif" w:hAnsi="Times New Roman;serif"/>
          <w:b w:val="false"/>
          <w:color w:val="000000"/>
          <w:sz w:val="20"/>
        </w:rPr>
        <w:t>. On, or before the Separation Date, the Company will pay Executive all accrued but unpaid base salary through the Separation Date, subject to standard payroll deductions and withholding. Executive is entitled to these payments regardless of whether Executive executes this Agreement or a Release of Claims.</w:t>
      </w:r>
    </w:p>
    <w:p>
      <w:pPr>
        <w:pStyle w:val="TextBody"/>
        <w:bidi w:val="0"/>
        <w:spacing w:lineRule="auto" w:line="288" w:before="119" w:after="283"/>
        <w:ind w:left="0" w:right="0" w:firstLine="489"/>
        <w:jc w:val="left"/>
        <w:rPr/>
      </w:pPr>
      <w:r>
        <w:rPr>
          <w:rFonts w:ascii="Times New Roman;serif" w:hAnsi="Times New Roman;serif"/>
          <w:b w:val="false"/>
          <w:color w:val="000000"/>
          <w:sz w:val="20"/>
        </w:rPr>
        <w:t>(b)    </w:t>
      </w:r>
      <w:r>
        <w:rPr>
          <w:rFonts w:ascii="Times New Roman;serif" w:hAnsi="Times New Roman;serif"/>
          <w:b w:val="false"/>
          <w:i/>
          <w:color w:val="000000"/>
          <w:sz w:val="20"/>
        </w:rPr>
        <w:t>Business Expenses</w:t>
      </w:r>
      <w:r>
        <w:rPr>
          <w:rFonts w:ascii="Times New Roman;serif" w:hAnsi="Times New Roman;serif"/>
          <w:b w:val="false"/>
          <w:color w:val="000000"/>
          <w:sz w:val="20"/>
        </w:rPr>
        <w:t>. The Company shall reimburse Executive for all outstanding expenses incurred prior to the Separation Date which are consistent with the Company’s policies in effect from time to time with respect to travel and other business expenses, subject to the Company’s requirements with respect to reporting and documenting such expenses Executive is entitled to these payments regardless of whether Executive executes this Agreement or a Release of Claims.</w:t>
      </w:r>
    </w:p>
    <w:p>
      <w:pPr>
        <w:pStyle w:val="TextBody"/>
        <w:bidi w:val="0"/>
        <w:spacing w:lineRule="auto" w:line="288" w:before="120" w:after="283"/>
        <w:ind w:left="0" w:right="0" w:firstLine="489"/>
        <w:jc w:val="both"/>
        <w:rPr/>
      </w:pPr>
      <w:r>
        <w:rPr>
          <w:rFonts w:ascii="Times New Roman;serif" w:hAnsi="Times New Roman;serif"/>
          <w:b w:val="false"/>
          <w:color w:val="000000"/>
          <w:sz w:val="20"/>
        </w:rPr>
        <w:t>5.    </w:t>
      </w:r>
      <w:r>
        <w:rPr>
          <w:rFonts w:ascii="Times New Roman;serif" w:hAnsi="Times New Roman;serif"/>
          <w:b w:val="false"/>
          <w:color w:val="000000"/>
          <w:sz w:val="20"/>
          <w:u w:val="single"/>
        </w:rPr>
        <w:t>Full Payment</w:t>
      </w:r>
      <w:r>
        <w:rPr>
          <w:rFonts w:ascii="Times New Roman;serif" w:hAnsi="Times New Roman;serif"/>
          <w:b w:val="false"/>
          <w:color w:val="000000"/>
          <w:sz w:val="20"/>
        </w:rPr>
        <w:t>. Executive acknowledges that the payment and arrangements herein shall constitute full and complete satisfaction of any and all amounts properly due and owing to Executive as a result of his services to the Company and the termination thereof.</w:t>
      </w:r>
    </w:p>
    <w:p>
      <w:pPr>
        <w:pStyle w:val="TextBody"/>
        <w:bidi w:val="0"/>
        <w:spacing w:lineRule="auto" w:line="288" w:before="122" w:after="283"/>
        <w:ind w:left="0" w:right="0" w:firstLine="489"/>
        <w:jc w:val="left"/>
        <w:rPr/>
      </w:pPr>
      <w:r>
        <w:rPr>
          <w:rFonts w:ascii="Times New Roman;serif" w:hAnsi="Times New Roman;serif"/>
          <w:b w:val="false"/>
          <w:color w:val="000000"/>
          <w:sz w:val="20"/>
        </w:rPr>
        <w:t>6 .</w:t>
      </w:r>
      <w:r>
        <w:rPr>
          <w:rFonts w:ascii="Times New Roman;serif" w:hAnsi="Times New Roman;serif"/>
          <w:b w:val="false"/>
          <w:color w:val="000000"/>
          <w:sz w:val="20"/>
          <w:u w:val="single"/>
        </w:rPr>
        <w:t>Executive’s Release of the Company</w:t>
      </w:r>
      <w:r>
        <w:rPr>
          <w:rFonts w:ascii="Times New Roman;serif" w:hAnsi="Times New Roman;serif"/>
          <w:b w:val="false"/>
          <w:color w:val="000000"/>
          <w:sz w:val="20"/>
        </w:rPr>
        <w:t>. Executive agrees that the consideration set forth in this Agreement represents settlement in full of all outstanding obligations owed to Executive by the Company and its current and former officers, directors, employees, agents, investors, attorneys, affiliates, divisions, and subsidiaries, and predecessor and successor corporations and assigns (collectively, the “</w:t>
      </w:r>
      <w:r>
        <w:rPr>
          <w:rFonts w:ascii="Times New Roman;serif" w:hAnsi="Times New Roman;serif"/>
          <w:b w:val="false"/>
          <w:color w:val="000000"/>
          <w:sz w:val="20"/>
          <w:u w:val="single"/>
        </w:rPr>
        <w:t>Releasees</w:t>
      </w:r>
      <w:r>
        <w:rPr>
          <w:color w:val="000000"/>
        </w:rPr>
        <w:t>”</w:t>
      </w:r>
      <w:r>
        <w:rPr>
          <w:rFonts w:ascii="Times New Roman;serif" w:hAnsi="Times New Roman;serif"/>
          <w:b w:val="false"/>
          <w:color w:val="000000"/>
          <w:sz w:val="20"/>
        </w:rPr>
        <w:t>).</w:t>
      </w:r>
    </w:p>
    <w:p>
      <w:pPr>
        <w:pStyle w:val="TextBody"/>
        <w:bidi w:val="0"/>
        <w:spacing w:lineRule="auto" w:line="288" w:before="119" w:after="283"/>
        <w:ind w:left="0" w:right="0" w:firstLine="489"/>
        <w:jc w:val="left"/>
        <w:rPr/>
      </w:pPr>
      <w:r>
        <w:rPr>
          <w:rFonts w:ascii="Times New Roman;serif" w:hAnsi="Times New Roman;serif"/>
          <w:b w:val="false"/>
          <w:color w:val="000000"/>
          <w:sz w:val="20"/>
        </w:rPr>
        <w:t>(a)    Executive, on his own behalf and on behalf of his family members, heirs, executors, administrators, agents, and assigns, hereby and forever releases the Company and its current and former officers, directors, employees, agents, investors, attorneys, affiliates, divisions, and subsidiaries, and predecessor and successor corporations and assigns (the “</w:t>
      </w:r>
      <w:r>
        <w:rPr>
          <w:rFonts w:ascii="Times New Roman;serif" w:hAnsi="Times New Roman;serif"/>
          <w:b w:val="false"/>
          <w:color w:val="000000"/>
          <w:sz w:val="20"/>
          <w:u w:val="single"/>
        </w:rPr>
        <w:t>Releasees</w:t>
      </w:r>
      <w:r>
        <w:rPr>
          <w:color w:val="000000"/>
        </w:rPr>
        <w:t>”</w:t>
      </w:r>
      <w:r>
        <w:rPr>
          <w:rFonts w:ascii="Times New Roman;serif" w:hAnsi="Times New Roman;serif"/>
          <w:b w:val="false"/>
          <w:color w:val="000000"/>
          <w:sz w:val="20"/>
        </w:rPr>
        <w:t>)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date Executive signs this Release, including, without limitation:</w:t>
      </w:r>
    </w:p>
    <w:p>
      <w:pPr>
        <w:pStyle w:val="TextBody"/>
        <w:bidi w:val="0"/>
        <w:spacing w:lineRule="auto" w:line="288" w:before="121" w:after="283"/>
        <w:ind w:left="0" w:right="0" w:firstLine="719"/>
        <w:jc w:val="left"/>
        <w:rPr>
          <w:rFonts w:ascii="Times New Roman;serif" w:hAnsi="Times New Roman;serif"/>
          <w:b w:val="false"/>
          <w:color w:val="000000"/>
          <w:sz w:val="20"/>
        </w:rPr>
      </w:pPr>
      <w:r>
        <w:rPr>
          <w:rFonts w:ascii="Times New Roman;serif" w:hAnsi="Times New Roman;serif"/>
          <w:b w:val="false"/>
          <w:color w:val="000000"/>
          <w:sz w:val="20"/>
        </w:rPr>
        <w:t>(i)    any and all claims relating to or arising from Executive’s employment relationship with Company and the termination of that relationship;</w:t>
      </w:r>
    </w:p>
    <w:p>
      <w:pPr>
        <w:pStyle w:val="TextBody"/>
        <w:bidi w:val="0"/>
        <w:spacing w:lineRule="auto" w:line="288" w:before="119" w:after="283"/>
        <w:ind w:left="0" w:right="0" w:firstLine="719"/>
        <w:jc w:val="left"/>
        <w:rPr>
          <w:rFonts w:ascii="Times New Roman;serif" w:hAnsi="Times New Roman;serif"/>
          <w:b w:val="false"/>
          <w:color w:val="000000"/>
          <w:sz w:val="20"/>
        </w:rPr>
      </w:pPr>
      <w:r>
        <w:rPr>
          <w:rFonts w:ascii="Times New Roman;serif" w:hAnsi="Times New Roman;serif"/>
          <w:b w:val="false"/>
          <w:color w:val="000000"/>
          <w:sz w:val="20"/>
        </w:rPr>
        <w:t>(ii)    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pStyle w:val="TextBody"/>
        <w:bidi w:val="0"/>
        <w:spacing w:lineRule="auto" w:line="288" w:before="120" w:after="283"/>
        <w:ind w:left="0" w:right="0" w:firstLine="719"/>
        <w:jc w:val="left"/>
        <w:rPr>
          <w:rFonts w:ascii="Times New Roman;serif" w:hAnsi="Times New Roman;serif"/>
          <w:b w:val="false"/>
          <w:color w:val="000000"/>
          <w:sz w:val="20"/>
        </w:rPr>
      </w:pPr>
      <w:r>
        <w:rPr>
          <w:rFonts w:ascii="Times New Roman;serif" w:hAnsi="Times New Roman;serif"/>
          <w:b w:val="false"/>
          <w:color w:val="000000"/>
          <w:sz w:val="20"/>
        </w:rPr>
        <w:t>(iii)    any and all claims for violation of any federal, state, or municipal statute, including, but not limited to, Title VII of the Civil Rights Act of 1964; the Civil Rights Act of 1991; the Rehabilitation Act of 1973;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587375"/>
                <wp:effectExtent l="0" t="0" r="0" b="0"/>
                <wp:wrapNone/>
                <wp:docPr id="69" name="Frame68"/>
                <a:graphic xmlns:a="http://schemas.openxmlformats.org/drawingml/2006/main">
                  <a:graphicData uri="http://schemas.microsoft.com/office/word/2010/wordprocessingShape">
                    <wps:wsp>
                      <wps:cNvSpPr txBox="1"/>
                      <wps:spPr>
                        <a:xfrm>
                          <a:off x="0" y="0"/>
                          <a:ext cx="6480175" cy="58737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64"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64"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Americans with Disabilities Act of 1990; the Equal Pay Act; the Fair Labor Standards Act, except as prohibited by law; the Fair Credit Reporting Act; the Employee Retirement Income Security Act of 1974; the Worker Adjustment and Retraining Notification Act; the Family and Medical Leave Act, except as prohibited by law; the Sarbanes- Oxley Act of 2002, except as prohibited by law; the Uniformed Services Employment and Reemployment Rights Act; Massachusetts Fair Employment Practices Law, Mass. Gen. Laws ch. 151B, §1 et seq.; Massachusetts Sexual Harassment Law, Mass. Gen. Laws ch. 214, §1C; Massachusetts Equal Pay Law, Mass. Gen. Laws ch. 149, §105A- C; Massachusetts Family and Medical Leave Law, Mass. Gen. Laws ch. 149, §52D; and Massachusetts WARN Laws, Mass. Gen. Laws ch. 149, §182 and Mass. Gen. Laws ch. 151A, §71A-G;</w:t>
      </w:r>
    </w:p>
    <w:p>
      <w:pPr>
        <w:pStyle w:val="TextBody"/>
        <w:bidi w:val="0"/>
        <w:spacing w:lineRule="auto" w:line="288" w:before="119" w:after="283"/>
        <w:ind w:left="0" w:right="0" w:hanging="337"/>
        <w:jc w:val="left"/>
        <w:rPr>
          <w:rFonts w:ascii="Times New Roman;serif" w:hAnsi="Times New Roman;serif"/>
          <w:b w:val="false"/>
          <w:color w:val="000000"/>
          <w:sz w:val="20"/>
        </w:rPr>
      </w:pPr>
      <w:r>
        <w:rPr>
          <w:rFonts w:ascii="Times New Roman;serif" w:hAnsi="Times New Roman;serif"/>
          <w:b w:val="false"/>
          <w:color w:val="000000"/>
          <w:sz w:val="20"/>
        </w:rPr>
        <w:t>(iv)    any and all claims for violation of the federal or any state constitution;</w:t>
      </w:r>
    </w:p>
    <w:p>
      <w:pPr>
        <w:pStyle w:val="TextBody"/>
        <w:bidi w:val="0"/>
        <w:spacing w:before="1" w:after="283"/>
        <w:jc w:val="left"/>
        <w:rPr/>
      </w:pPr>
      <w:r>
        <w:rPr/>
      </w:r>
    </w:p>
    <w:p>
      <w:pPr>
        <w:pStyle w:val="TextBody"/>
        <w:bidi w:val="0"/>
        <w:spacing w:lineRule="auto" w:line="288" w:before="0" w:after="0"/>
        <w:ind w:left="0" w:right="0" w:firstLine="770"/>
        <w:jc w:val="left"/>
        <w:rPr>
          <w:rFonts w:ascii="Times New Roman;serif" w:hAnsi="Times New Roman;serif"/>
          <w:b w:val="false"/>
          <w:color w:val="000000"/>
          <w:sz w:val="20"/>
        </w:rPr>
      </w:pPr>
      <w:r>
        <w:rPr>
          <w:rFonts w:ascii="Times New Roman;serif" w:hAnsi="Times New Roman;serif"/>
          <w:b w:val="false"/>
          <w:color w:val="000000"/>
          <w:sz w:val="20"/>
        </w:rPr>
        <w:t>(v)    any and all claims arising out of any other laws and regulations relating to employment or employment discrimination;</w:t>
      </w:r>
    </w:p>
    <w:p>
      <w:pPr>
        <w:pStyle w:val="TextBody"/>
        <w:bidi w:val="0"/>
        <w:spacing w:lineRule="auto" w:line="288" w:before="121" w:after="283"/>
        <w:ind w:left="0" w:right="0" w:hanging="338"/>
        <w:jc w:val="left"/>
        <w:rPr>
          <w:rFonts w:ascii="Times New Roman;serif" w:hAnsi="Times New Roman;serif"/>
          <w:b w:val="false"/>
          <w:color w:val="000000"/>
          <w:sz w:val="20"/>
        </w:rPr>
      </w:pPr>
      <w:r>
        <w:rPr>
          <w:rFonts w:ascii="Times New Roman;serif" w:hAnsi="Times New Roman;serif"/>
          <w:b w:val="false"/>
          <w:color w:val="000000"/>
          <w:sz w:val="20"/>
        </w:rPr>
        <w:t>(vi)    any claim for breach of contract or breach of the implied covenant of good faith and fair dealing; and</w:t>
      </w:r>
    </w:p>
    <w:p>
      <w:pPr>
        <w:pStyle w:val="TextBody"/>
        <w:bidi w:val="0"/>
        <w:spacing w:lineRule="auto" w:line="288" w:before="121" w:after="283"/>
        <w:ind w:left="0" w:right="0" w:hanging="393"/>
        <w:jc w:val="left"/>
        <w:rPr>
          <w:rFonts w:ascii="Times New Roman;serif" w:hAnsi="Times New Roman;serif"/>
          <w:b w:val="false"/>
          <w:color w:val="000000"/>
          <w:sz w:val="20"/>
        </w:rPr>
      </w:pPr>
      <w:r>
        <w:rPr>
          <w:rFonts w:ascii="Times New Roman;serif" w:hAnsi="Times New Roman;serif"/>
          <w:b w:val="false"/>
          <w:color w:val="000000"/>
          <w:sz w:val="20"/>
        </w:rPr>
        <w:t>(vii)    any and all claims for attorneys’ fees and costs.</w:t>
      </w:r>
    </w:p>
    <w:p>
      <w:pPr>
        <w:pStyle w:val="TextBody"/>
        <w:bidi w:val="0"/>
        <w:spacing w:lineRule="auto" w:line="288" w:before="119" w:after="283"/>
        <w:ind w:left="0" w:right="0" w:firstLine="489"/>
        <w:jc w:val="left"/>
        <w:rPr>
          <w:rFonts w:ascii="Times New Roman;serif" w:hAnsi="Times New Roman;serif"/>
          <w:b w:val="false"/>
          <w:color w:val="000000"/>
          <w:sz w:val="20"/>
        </w:rPr>
      </w:pPr>
      <w:r>
        <w:rPr>
          <w:rFonts w:ascii="Times New Roman;serif" w:hAnsi="Times New Roman;serif"/>
          <w:b w:val="false"/>
          <w:color w:val="000000"/>
          <w:sz w:val="20"/>
        </w:rPr>
        <w:t>(b)    Executive agrees that the release set forth in this Section shall be and remain in effect in all respects as a complete general release as to the matters released. This release does not extend to any obligations incurred under this Agreement or the Option Agreements. This release does not release claims or rights that cannot be released as a matter of law, and Executive’s right to bring to the attention of the Equal Employment Opportunity Commission or California Department of Fair Employment and Housing claims of discrimination, harassment or retaliation; provided, however, that Executive does release his right to obtain damages for any such claims. This release does not release claims or rights that Executive may have as a shareholder of the Company or for vested benefits under any benefit plan or to continued participation in any such plan pursuant to the terms thereof or applicable law.</w:t>
      </w:r>
    </w:p>
    <w:p>
      <w:pPr>
        <w:pStyle w:val="TextBody"/>
        <w:bidi w:val="0"/>
        <w:spacing w:before="121" w:after="283"/>
        <w:jc w:val="left"/>
        <w:rPr/>
      </w:pPr>
      <w:r>
        <w:rPr/>
      </w:r>
    </w:p>
    <w:p>
      <w:pPr>
        <w:pStyle w:val="TextBody"/>
        <w:bidi w:val="0"/>
        <w:spacing w:lineRule="auto" w:line="288" w:before="0" w:after="0"/>
        <w:ind w:left="0" w:right="0" w:hanging="229"/>
        <w:jc w:val="left"/>
        <w:rPr/>
      </w:pPr>
      <w:r>
        <w:rPr>
          <w:rFonts w:ascii="Times New Roman;serif" w:hAnsi="Times New Roman;serif"/>
          <w:b w:val="false"/>
          <w:color w:val="000000"/>
          <w:sz w:val="20"/>
        </w:rPr>
        <w:t>7.    </w:t>
      </w:r>
      <w:r>
        <w:rPr>
          <w:rFonts w:ascii="Times New Roman;serif" w:hAnsi="Times New Roman;serif"/>
          <w:b w:val="false"/>
          <w:color w:val="000000"/>
          <w:sz w:val="20"/>
          <w:u w:val="single"/>
        </w:rPr>
        <w:t>Non-Disparagement; Transfer of Company Property</w:t>
      </w:r>
      <w:r>
        <w:rPr>
          <w:rFonts w:ascii="Times New Roman;serif" w:hAnsi="Times New Roman;serif"/>
          <w:b w:val="false"/>
          <w:color w:val="000000"/>
          <w:sz w:val="20"/>
        </w:rPr>
        <w:t>.</w:t>
      </w:r>
    </w:p>
    <w:p>
      <w:pPr>
        <w:pStyle w:val="TextBody"/>
        <w:bidi w:val="0"/>
        <w:spacing w:lineRule="auto" w:line="288" w:before="121" w:after="283"/>
        <w:ind w:left="0" w:right="0" w:firstLine="489"/>
        <w:jc w:val="left"/>
        <w:rPr/>
      </w:pPr>
      <w:r>
        <w:rPr>
          <w:rFonts w:ascii="Times New Roman;serif" w:hAnsi="Times New Roman;serif"/>
          <w:b w:val="false"/>
          <w:color w:val="000000"/>
          <w:sz w:val="20"/>
        </w:rPr>
        <w:t>(a)    </w:t>
      </w:r>
      <w:r>
        <w:rPr>
          <w:rFonts w:ascii="Times New Roman;serif" w:hAnsi="Times New Roman;serif"/>
          <w:b w:val="false"/>
          <w:i/>
          <w:color w:val="000000"/>
          <w:sz w:val="20"/>
        </w:rPr>
        <w:t>Non-Disparagement</w:t>
      </w:r>
      <w:r>
        <w:rPr>
          <w:rFonts w:ascii="Times New Roman;serif" w:hAnsi="Times New Roman;serif"/>
          <w:b w:val="false"/>
          <w:color w:val="000000"/>
          <w:sz w:val="20"/>
        </w:rPr>
        <w:t>. Executive agrees that he shall not disparage, criticize or defame the Company, its affiliates and their respective affiliates, directors, officers, agents, partners, stockholders, employees, products, services, technology or business, either publicly or privately. The Company agrees that it shall instruct its officers and directors to not disparage, criticize or defame Executive, either publicly or privately. Nothing in this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7(a) shall have application to any evidence or testimony required by any court, arbitrator or government agency.</w:t>
      </w:r>
    </w:p>
    <w:p>
      <w:pPr>
        <w:pStyle w:val="TextBody"/>
        <w:bidi w:val="0"/>
        <w:spacing w:lineRule="auto" w:line="288" w:before="120" w:after="283"/>
        <w:ind w:left="0" w:right="0" w:firstLine="489"/>
        <w:jc w:val="left"/>
        <w:rPr/>
      </w:pPr>
      <w:r>
        <w:rPr>
          <w:rFonts w:ascii="Times New Roman;serif" w:hAnsi="Times New Roman;serif"/>
          <w:b w:val="false"/>
          <w:color w:val="000000"/>
          <w:sz w:val="20"/>
        </w:rPr>
        <w:t>(b)    </w:t>
      </w:r>
      <w:r>
        <w:rPr>
          <w:rFonts w:ascii="Times New Roman;serif" w:hAnsi="Times New Roman;serif"/>
          <w:b w:val="false"/>
          <w:i/>
          <w:color w:val="000000"/>
          <w:sz w:val="20"/>
        </w:rPr>
        <w:t>Transfer of Company Property</w:t>
      </w:r>
      <w:r>
        <w:rPr>
          <w:rFonts w:ascii="Times New Roman;serif" w:hAnsi="Times New Roman;serif"/>
          <w:b w:val="false"/>
          <w:color w:val="000000"/>
          <w:sz w:val="20"/>
        </w:rPr>
        <w:t>. Within ten (10) business days of the Separation Date, Executive shall turn over to the Company all files, memoranda, records, and other documents, and any other physical or personal property which are the property of the Company and which he has in his possession, custody or control at such date, including without limitation, his Company issued laptop computer.</w:t>
      </w:r>
    </w:p>
    <w:p>
      <w:pPr>
        <w:pStyle w:val="TextBody"/>
        <w:bidi w:val="0"/>
        <w:spacing w:lineRule="auto" w:line="288" w:before="119" w:after="283"/>
        <w:ind w:left="0" w:right="0" w:hanging="201"/>
        <w:jc w:val="left"/>
        <w:rPr/>
      </w:pPr>
      <w:r>
        <w:rPr>
          <w:rFonts w:ascii="Times New Roman;serif" w:hAnsi="Times New Roman;serif"/>
          <w:b w:val="false"/>
          <w:color w:val="000000"/>
          <w:sz w:val="20"/>
        </w:rPr>
        <w:t>8.    </w:t>
      </w:r>
      <w:r>
        <w:rPr>
          <w:rFonts w:ascii="Times New Roman;serif" w:hAnsi="Times New Roman;serif"/>
          <w:b w:val="false"/>
          <w:color w:val="000000"/>
          <w:sz w:val="20"/>
          <w:u w:val="single"/>
        </w:rPr>
        <w:t>Confidentiality; Non-Solicitation</w:t>
      </w:r>
      <w:r>
        <w:rPr>
          <w:rFonts w:ascii="Times New Roman;serif" w:hAnsi="Times New Roman;serif"/>
          <w:b w:val="false"/>
          <w:color w:val="000000"/>
          <w:sz w:val="20"/>
        </w:rPr>
        <w:t>.</w:t>
      </w:r>
    </w:p>
    <w:p>
      <w:pPr>
        <w:pStyle w:val="TextBody"/>
        <w:bidi w:val="0"/>
        <w:spacing w:lineRule="auto" w:line="288" w:before="121" w:after="283"/>
        <w:ind w:left="0" w:right="0" w:hanging="272"/>
        <w:jc w:val="left"/>
        <w:rPr/>
      </w:pPr>
      <w:r>
        <w:rPr>
          <w:rFonts w:ascii="Times New Roman;serif" w:hAnsi="Times New Roman;serif"/>
          <w:b w:val="false"/>
          <w:color w:val="000000"/>
          <w:sz w:val="20"/>
        </w:rPr>
        <w:t>(a)    </w:t>
      </w:r>
      <w:r>
        <w:rPr>
          <w:rFonts w:ascii="Times New Roman;serif" w:hAnsi="Times New Roman;serif"/>
          <w:b w:val="false"/>
          <w:i/>
          <w:color w:val="000000"/>
          <w:sz w:val="20"/>
        </w:rPr>
        <w:t>Confidentiality</w:t>
      </w:r>
      <w:r>
        <w:rPr>
          <w:rFonts w:ascii="Times New Roman;serif" w:hAnsi="Times New Roman;serif"/>
          <w:b w:val="false"/>
          <w:color w:val="000000"/>
          <w:sz w:val="20"/>
        </w:rPr>
        <w:t>.</w:t>
      </w:r>
    </w:p>
    <w:p>
      <w:pPr>
        <w:pStyle w:val="TextBody"/>
        <w:bidi w:val="0"/>
        <w:spacing w:lineRule="auto" w:line="288" w:before="120" w:after="283"/>
        <w:ind w:left="0" w:right="0" w:firstLine="719"/>
        <w:jc w:val="left"/>
        <w:rPr/>
      </w:pPr>
      <w:r>
        <w:rPr>
          <w:rFonts w:ascii="Times New Roman;serif" w:hAnsi="Times New Roman;serif"/>
          <w:b w:val="false"/>
          <w:color w:val="000000"/>
          <w:sz w:val="20"/>
        </w:rPr>
        <w:t xml:space="preserve">(i) Executive shall not directly or indirectly disclose or make available to any person, firm, corporation, association or other entity for any reason or purpose whatsoever, any Confidential Information (as defined below). Within ten (10) business days of the Separation Date all Confidential Information in Executive’s possession that is in written or other tangible form (together with all copies or duplicates thereof, including computer files) shall be returned to the Company and shall not be retained by Executive or furnished to any third party, in any form except as provided herein; </w:t>
      </w:r>
      <w:r>
        <w:rPr>
          <w:rFonts w:ascii="Times New Roman;serif" w:hAnsi="Times New Roman;serif"/>
          <w:b w:val="false"/>
          <w:i/>
          <w:color w:val="000000"/>
          <w:sz w:val="20"/>
        </w:rPr>
        <w:t xml:space="preserve">provided, however, </w:t>
      </w:r>
      <w:r>
        <w:rPr>
          <w:rFonts w:ascii="Times New Roman;serif" w:hAnsi="Times New Roman;serif"/>
          <w:b w:val="false"/>
          <w:color w:val="000000"/>
          <w:sz w:val="20"/>
        </w:rPr>
        <w:t>that Executive shall not be obligated to treat as confidential, or return to the Company copies of any Confidential Information that (A) was publicly known at the time of disclosure to Executive, or (B) becomes publicly known or available thereafter other than by any means in violation of this Agreement, the Confidential Information Agreement or any other duty owed to the Company by any person or entity. For purposes of this Agreement, the term “Confidential Information” shall mean information, business, financial, commercial, technical data, know-how or trade secrets disclosed to Executive or known by Executive as a consequence of or through his relationship with the Company, relating to products, developments, inventions, processes, techniques, chemical structures, finances, business plans or regulatory strategies of the Company and its affiliates. In addition, for the avoidance of doubt, Executive shall continue to be subject to the Confidential Information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587375"/>
                <wp:effectExtent l="0" t="0" r="0" b="0"/>
                <wp:wrapNone/>
                <wp:docPr id="70" name="Frame69"/>
                <a:graphic xmlns:a="http://schemas.openxmlformats.org/drawingml/2006/main">
                  <a:graphicData uri="http://schemas.microsoft.com/office/word/2010/wordprocessingShape">
                    <wps:wsp>
                      <wps:cNvSpPr txBox="1"/>
                      <wps:spPr>
                        <a:xfrm>
                          <a:off x="0" y="0"/>
                          <a:ext cx="6480175" cy="58737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64"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64"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80" w:after="283"/>
        <w:ind w:left="0" w:right="0" w:firstLine="719"/>
        <w:jc w:val="left"/>
        <w:rPr/>
      </w:pPr>
      <w:r>
        <w:rPr>
          <w:rFonts w:ascii="Times New Roman;serif" w:hAnsi="Times New Roman;serif"/>
          <w:b w:val="false"/>
          <w:color w:val="000000"/>
          <w:sz w:val="20"/>
        </w:rPr>
        <w:t>(ii) Notwithstanding anything in this Agreement or the Confidential Information Agreement to the contrary, nothing contained in this Agreement or the Confidential Information Agreement shall prohibit Executive from (i) filing a charge with, reporting possible violations of federal law or regulation to, participating in any investigation by, or cooperating with the Equal Employment Opportunity Commission, the Securities and Exchange Commission, the Financial Industry Regulatory Authority, the Equal Employment Opportunity Commission, the National Labor Relations Board, the Occupational Safety and Health Administration, the U.S. Commodity Futures Trading Commission, the U.S. Department of Justice or any other securities regulatory agency, self-regulatory authority or federal, state or local regulatory authority (collectively, “</w:t>
      </w:r>
      <w:r>
        <w:rPr>
          <w:rFonts w:ascii="Times New Roman;serif" w:hAnsi="Times New Roman;serif"/>
          <w:b w:val="false"/>
          <w:color w:val="000000"/>
          <w:sz w:val="20"/>
          <w:u w:val="single"/>
        </w:rPr>
        <w:t>Government Agencies</w:t>
      </w:r>
      <w:r>
        <w:rPr>
          <w:color w:val="000000"/>
        </w:rPr>
        <w:t>”</w:t>
      </w:r>
      <w:r>
        <w:rPr>
          <w:rFonts w:ascii="Times New Roman;serif" w:hAnsi="Times New Roman;serif"/>
          <w:b w:val="false"/>
          <w:color w:val="000000"/>
          <w:sz w:val="20"/>
        </w:rPr>
        <w:t>), or making other disclosures that are protected under the whistleblower provisions of applicable law or regulation, (ii) communicating directly with, cooperating with, or providing information (including trade secrets) in confidence to any Government Agencies for the purpose of reporting or investigating a suspected violation of law, or from providing such information to such party’s attorney(s) or in a sealed complaint or other document filed in a lawsuit or other governmental proceeding, (iii) receiving an award for information provided to any Government Agency, and/or (iv) exercising any rights Executive may have under Section 7 of the U.S. National Labor Relations Act. Pursuant to 18 USC Section 1833(b), Executive acknowledges that (1) Executive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and (2) if Executive files a lawsuit for retaliation by the Company or its affiliates for reporting a suspected violation of law, Executive may disclose the trade secret 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Executive’s attorney and use the trade secret information in the court proceeding, if Executive files any document containing the trade secret under seal and does not disclose the trade secret, except pursuant to court order. Further, nothing in this Agreement is intended to or shall preclude either party from providing truthful testimony in response to a valid subpoena, court order, regulatory request or other judicial, administrative or legal process or otherwise as required by law. If Executive is required to provide testimony or produce documents, then unless otherwise directed or requested by a Governmental Agency or law enforcement, Executive shall notify the Company in writing as promptly as practicable after receiving any such request of the anticipated testimony and at least ten days prior to providing such testimony (or, if such notice is not possible under the circumstances, with as much prior notice as is possible) to afford the Company a reasonable opportunity to challenge the subpoena, court order or similar legal process.</w:t>
      </w:r>
    </w:p>
    <w:p>
      <w:pPr>
        <w:pStyle w:val="TextBody"/>
        <w:bidi w:val="0"/>
        <w:spacing w:lineRule="auto" w:line="288" w:before="122" w:after="283"/>
        <w:ind w:left="0" w:right="0" w:firstLine="489"/>
        <w:jc w:val="left"/>
        <w:rPr/>
      </w:pPr>
      <w:r>
        <w:rPr>
          <w:rFonts w:ascii="Times New Roman;serif" w:hAnsi="Times New Roman;serif"/>
          <w:b w:val="false"/>
          <w:color w:val="000000"/>
          <w:sz w:val="20"/>
        </w:rPr>
        <w:t>(b)    </w:t>
      </w:r>
      <w:r>
        <w:rPr>
          <w:rFonts w:ascii="Times New Roman;serif" w:hAnsi="Times New Roman;serif"/>
          <w:b w:val="false"/>
          <w:i/>
          <w:color w:val="000000"/>
          <w:sz w:val="20"/>
        </w:rPr>
        <w:t>Non-Solicitation</w:t>
      </w:r>
      <w:r>
        <w:rPr>
          <w:rFonts w:ascii="Times New Roman;serif" w:hAnsi="Times New Roman;serif"/>
          <w:b w:val="false"/>
          <w:color w:val="000000"/>
          <w:sz w:val="20"/>
        </w:rPr>
        <w:t xml:space="preserve">. In addition to Executive’s obligations under the Confidential Information Agreement, Executive shall not for a period of one (1) year following Executive’s termination of employment for any reason, either on Executive’s own account or jointly with or as a manager, agent, officer, employee, consultant, partner, joint venturer, owner or stockholder or otherwise on behalf of any other person, firm or corporation, directly or indirectly solicit or attempt to solicit away from the Company any of its officers or employees or offer employment to any person who is an officer or employee of the Company; </w:t>
      </w:r>
      <w:r>
        <w:rPr>
          <w:rFonts w:ascii="Times New Roman;serif" w:hAnsi="Times New Roman;serif"/>
          <w:b w:val="false"/>
          <w:i/>
          <w:color w:val="000000"/>
          <w:sz w:val="20"/>
        </w:rPr>
        <w:t xml:space="preserve">provided, however, </w:t>
      </w:r>
      <w:r>
        <w:rPr>
          <w:rFonts w:ascii="Times New Roman;serif" w:hAnsi="Times New Roman;serif"/>
          <w:b w:val="false"/>
          <w:color w:val="000000"/>
          <w:sz w:val="20"/>
        </w:rPr>
        <w:t>that a general advertisement to which an employee of the Company responds shall in no event be deemed to result in a breach of this Section 8(b). Executive also agrees not to harass or disparage the Company or its employees, clients, directors or agents. If it is determined by a court of competent jurisdiction in any state that any restriction in this Section 8(b)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pStyle w:val="TextBody"/>
        <w:bidi w:val="0"/>
        <w:spacing w:lineRule="auto" w:line="288" w:before="118" w:after="283"/>
        <w:ind w:left="0" w:right="0" w:firstLine="489"/>
        <w:jc w:val="left"/>
        <w:rPr/>
      </w:pPr>
      <w:r>
        <w:rPr>
          <w:rFonts w:ascii="Times New Roman;serif" w:hAnsi="Times New Roman;serif"/>
          <w:b w:val="false"/>
          <w:color w:val="000000"/>
          <w:sz w:val="20"/>
        </w:rPr>
        <w:t>9.    </w:t>
      </w:r>
      <w:r>
        <w:rPr>
          <w:rFonts w:ascii="Times New Roman;serif" w:hAnsi="Times New Roman;serif"/>
          <w:b w:val="false"/>
          <w:color w:val="000000"/>
          <w:sz w:val="20"/>
          <w:u w:val="single"/>
        </w:rPr>
        <w:t>Executive Representations</w:t>
      </w:r>
      <w:r>
        <w:rPr>
          <w:rFonts w:ascii="Times New Roman;serif" w:hAnsi="Times New Roman;serif"/>
          <w:b w:val="false"/>
          <w:color w:val="000000"/>
          <w:sz w:val="20"/>
        </w:rPr>
        <w:t>. Executive warrants and represents that (a) he has not filed or authorized the filing of any complaints, charges or lawsuits against the Company or any affiliate of the Company with any governmental agency or court, and that if, unbeknownst to Executive, such a complaint, charge or lawsuit has been filed on his behalf, he will use reasonable best efforts to immediately cause it to be withdrawn and dismissed, and</w:t>
      </w:r>
    </w:p>
    <w:p>
      <w:pPr>
        <w:pStyle w:val="TextBody"/>
        <w:bidi w:val="0"/>
        <w:spacing w:lineRule="auto" w:line="288" w:before="2" w:after="283"/>
        <w:jc w:val="left"/>
        <w:rPr>
          <w:rFonts w:ascii="Times New Roman;serif" w:hAnsi="Times New Roman;serif"/>
          <w:b w:val="false"/>
          <w:color w:val="000000"/>
          <w:sz w:val="20"/>
        </w:rPr>
      </w:pPr>
      <w:r>
        <w:rPr>
          <w:rFonts w:ascii="Times New Roman;serif" w:hAnsi="Times New Roman;serif"/>
          <w:b w:val="false"/>
          <w:color w:val="000000"/>
          <w:sz w:val="20"/>
        </w:rPr>
        <w:t>(b) he has no known workplace injuries or occupational diseases and has been provided and/or has not been denied any leave requested under the Family and Medical Leave Act or any similar state law, and (c) he has received the Company’s Insider Trading Compliance Policy and agrees to continue to abide by all applicable terms therein, including specifically, Section VIII (A) which states, “If an individual is in the possession of material non-public information when his or her service terminates, that individual may not trade in the Company’s securities until that information has become public or is no longer material.”</w:t>
      </w:r>
    </w:p>
    <w:p>
      <w:pPr>
        <w:pStyle w:val="TextBody"/>
        <w:bidi w:val="0"/>
        <w:spacing w:lineRule="auto" w:line="288" w:before="120" w:after="283"/>
        <w:ind w:left="0" w:right="0" w:firstLine="489"/>
        <w:jc w:val="left"/>
        <w:rPr/>
      </w:pPr>
      <w:r>
        <w:rPr>
          <w:rFonts w:ascii="Times New Roman;serif" w:hAnsi="Times New Roman;serif"/>
          <w:b w:val="false"/>
          <w:color w:val="000000"/>
          <w:sz w:val="20"/>
        </w:rPr>
        <w:t>10.    </w:t>
      </w:r>
      <w:r>
        <w:rPr>
          <w:rFonts w:ascii="Times New Roman;serif" w:hAnsi="Times New Roman;serif"/>
          <w:b w:val="false"/>
          <w:color w:val="000000"/>
          <w:sz w:val="20"/>
          <w:u w:val="single"/>
        </w:rPr>
        <w:t>No Assignment by Executive</w:t>
      </w:r>
      <w:r>
        <w:rPr>
          <w:rFonts w:ascii="Times New Roman;serif" w:hAnsi="Times New Roman;serif"/>
          <w:b w:val="false"/>
          <w:color w:val="000000"/>
          <w:sz w:val="20"/>
        </w:rPr>
        <w:t>. Executive warrants and represents that no portion of any of the matters released herein, and no portion of any recovery or settlement to which Executive might be entitled, has been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587375"/>
                <wp:effectExtent l="0" t="0" r="0" b="0"/>
                <wp:wrapNone/>
                <wp:docPr id="71" name="Frame70"/>
                <a:graphic xmlns:a="http://schemas.openxmlformats.org/drawingml/2006/main">
                  <a:graphicData uri="http://schemas.microsoft.com/office/word/2010/wordprocessingShape">
                    <wps:wsp>
                      <wps:cNvSpPr txBox="1"/>
                      <wps:spPr>
                        <a:xfrm>
                          <a:off x="0" y="0"/>
                          <a:ext cx="6480175" cy="58737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64"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64"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assigned or transferred to any other person, firm or corporation not a party to this Agreement, in any manner, including by way of subrogation or operation of law or otherwise. If any claim, action, demand or suit should be made or instituted against the Company or any other Releasee because of any actual assignment, subrogation or transfer by Executive, Executive agrees to indemnify and hold harmless the Company and all other Releasees against such claim, action, suit or demand, including necessary expenses of investigation, attorneys’ fees and costs. In the event of Executive’s death, this Agreement shall inure to the benefit of Executive and Executive’s executors, administrators, heirs, distributees, devisees, and legatees. None of Executive’s rights or obligations may be assigned or transferred by Executive, other than Executive’s rights to payments hereunder, which may be transferred only upon Executive’s death by will or operation of law.</w:t>
      </w:r>
    </w:p>
    <w:p>
      <w:pPr>
        <w:pStyle w:val="TextBody"/>
        <w:bidi w:val="0"/>
        <w:spacing w:lineRule="auto" w:line="288" w:before="119" w:after="283"/>
        <w:ind w:left="0" w:right="0" w:firstLine="489"/>
        <w:jc w:val="left"/>
        <w:rPr/>
      </w:pPr>
      <w:r>
        <w:rPr>
          <w:rFonts w:ascii="Times New Roman;serif" w:hAnsi="Times New Roman;serif"/>
          <w:b w:val="false"/>
          <w:color w:val="000000"/>
          <w:sz w:val="20"/>
        </w:rPr>
        <w:t>11.    </w:t>
      </w:r>
      <w:r>
        <w:rPr>
          <w:rFonts w:ascii="Times New Roman;serif" w:hAnsi="Times New Roman;serif"/>
          <w:b w:val="false"/>
          <w:color w:val="000000"/>
          <w:sz w:val="20"/>
          <w:u w:val="single"/>
        </w:rPr>
        <w:t>Governing Law</w:t>
      </w:r>
      <w:r>
        <w:rPr>
          <w:rFonts w:ascii="Times New Roman;serif" w:hAnsi="Times New Roman;serif"/>
          <w:b w:val="false"/>
          <w:color w:val="000000"/>
          <w:sz w:val="20"/>
        </w:rPr>
        <w:t>. This Agreement shall be construed and enforced in accordance with, and the rights of the parties shall be governed by, the laws of the Commonwealth of Massachusetts or, where applicable, United States federal law, in each case, without regard to any conflicts of laws provisions or those of any state other than Massachusetts.</w:t>
      </w:r>
    </w:p>
    <w:p>
      <w:pPr>
        <w:pStyle w:val="TextBody"/>
        <w:bidi w:val="0"/>
        <w:spacing w:lineRule="auto" w:line="288" w:before="122" w:after="283"/>
        <w:ind w:left="0" w:right="0" w:firstLine="489"/>
        <w:jc w:val="left"/>
        <w:rPr/>
      </w:pPr>
      <w:r>
        <w:rPr>
          <w:rFonts w:ascii="Times New Roman;serif" w:hAnsi="Times New Roman;serif"/>
          <w:b w:val="false"/>
          <w:color w:val="000000"/>
          <w:sz w:val="20"/>
        </w:rPr>
        <w:t>12.    </w:t>
      </w:r>
      <w:r>
        <w:rPr>
          <w:rFonts w:ascii="Times New Roman;serif" w:hAnsi="Times New Roman;serif"/>
          <w:b w:val="false"/>
          <w:color w:val="000000"/>
          <w:sz w:val="20"/>
          <w:u w:val="single"/>
        </w:rPr>
        <w:t>Miscellaneous</w:t>
      </w:r>
      <w:r>
        <w:rPr>
          <w:rFonts w:ascii="Times New Roman;serif" w:hAnsi="Times New Roman;serif"/>
          <w:b w:val="false"/>
          <w:color w:val="000000"/>
          <w:sz w:val="20"/>
        </w:rPr>
        <w:t>. This Agreement may be modified only in writing, and such writing must be signed by both parties and recited that it is intended to modify this Agreement. This Agreement may be executed in separate counterparts, each of which is deemed to be an original and all of which taken together constitute one and the same agreement.</w:t>
      </w:r>
    </w:p>
    <w:p>
      <w:pPr>
        <w:pStyle w:val="TextBody"/>
        <w:bidi w:val="0"/>
        <w:spacing w:before="0" w:after="0"/>
        <w:jc w:val="left"/>
        <w:rPr/>
      </w:pPr>
      <w:r>
        <w:rPr/>
      </w:r>
    </w:p>
    <w:p>
      <w:pPr>
        <w:pStyle w:val="TextBody"/>
        <w:bidi w:val="0"/>
        <w:spacing w:lineRule="auto" w:line="288" w:before="0" w:after="0"/>
        <w:ind w:left="0" w:right="0" w:firstLine="489"/>
        <w:jc w:val="left"/>
        <w:rPr/>
      </w:pPr>
      <w:r>
        <w:rPr>
          <w:rFonts w:ascii="Times New Roman;serif" w:hAnsi="Times New Roman;serif"/>
          <w:b w:val="false"/>
          <w:color w:val="000000"/>
          <w:sz w:val="20"/>
        </w:rPr>
        <w:t>13.    </w:t>
      </w:r>
      <w:r>
        <w:rPr>
          <w:rFonts w:ascii="Times New Roman;serif" w:hAnsi="Times New Roman;serif"/>
          <w:b w:val="false"/>
          <w:color w:val="000000"/>
          <w:sz w:val="20"/>
          <w:u w:val="single"/>
        </w:rPr>
        <w:t>Company Assignment and Successors</w:t>
      </w:r>
      <w:r>
        <w:rPr>
          <w:rFonts w:ascii="Times New Roman;serif" w:hAnsi="Times New Roman;serif"/>
          <w:b w:val="false"/>
          <w:color w:val="000000"/>
          <w:sz w:val="20"/>
        </w:rPr>
        <w:t>. The Company shall assign its rights and obligations under this Agreement to any successor to all or substantially all of the business or the assets of the Company (by merger or otherwise). This Agreement shall be binding upon and inure to the benefit of the Company and its successors, assigns, personnel and legal representatives.</w:t>
      </w:r>
    </w:p>
    <w:p>
      <w:pPr>
        <w:pStyle w:val="TextBody"/>
        <w:bidi w:val="0"/>
        <w:spacing w:lineRule="auto" w:line="288" w:before="120" w:after="283"/>
        <w:ind w:left="0" w:right="0" w:firstLine="489"/>
        <w:jc w:val="left"/>
        <w:rPr/>
      </w:pPr>
      <w:r>
        <w:rPr>
          <w:rFonts w:ascii="Times New Roman;serif" w:hAnsi="Times New Roman;serif"/>
          <w:b w:val="false"/>
          <w:color w:val="000000"/>
          <w:sz w:val="20"/>
        </w:rPr>
        <w:t>14.    </w:t>
      </w:r>
      <w:r>
        <w:rPr>
          <w:rFonts w:ascii="Times New Roman;serif" w:hAnsi="Times New Roman;serif"/>
          <w:b w:val="false"/>
          <w:color w:val="000000"/>
          <w:sz w:val="20"/>
          <w:u w:val="single"/>
        </w:rPr>
        <w:t>Maintaining Confidential Information</w:t>
      </w:r>
      <w:r>
        <w:rPr>
          <w:rFonts w:ascii="Times New Roman;serif" w:hAnsi="Times New Roman;serif"/>
          <w:b w:val="false"/>
          <w:color w:val="000000"/>
          <w:sz w:val="20"/>
        </w:rPr>
        <w:t>. Executive reaffirms his obligations under the Confidential Information Agreement, which shall be in addition to, and not in lieu of, Executive’s obligations under Section 8 hereof. Executive acknowledges and agrees that the payments and benefits provided in Section 3 above shall be subject to Executive’s continued compliance with Executive’s obligations under the Confidential Information Agreement.</w:t>
      </w:r>
    </w:p>
    <w:p>
      <w:pPr>
        <w:pStyle w:val="TextBody"/>
        <w:bidi w:val="0"/>
        <w:spacing w:lineRule="auto" w:line="288" w:before="120" w:after="283"/>
        <w:ind w:left="0" w:right="0" w:firstLine="489"/>
        <w:jc w:val="left"/>
        <w:rPr/>
      </w:pPr>
      <w:r>
        <w:rPr>
          <w:rFonts w:ascii="Times New Roman;serif" w:hAnsi="Times New Roman;serif"/>
          <w:b w:val="false"/>
          <w:color w:val="000000"/>
          <w:sz w:val="20"/>
        </w:rPr>
        <w:t>15.    </w:t>
      </w:r>
      <w:r>
        <w:rPr>
          <w:rFonts w:ascii="Times New Roman;serif" w:hAnsi="Times New Roman;serif"/>
          <w:b w:val="false"/>
          <w:color w:val="000000"/>
          <w:sz w:val="20"/>
          <w:u w:val="single"/>
        </w:rPr>
        <w:t>Executive’s Cooperation</w:t>
      </w:r>
      <w:r>
        <w:rPr>
          <w:rFonts w:ascii="Times New Roman;serif" w:hAnsi="Times New Roman;serif"/>
          <w:b w:val="false"/>
          <w:color w:val="000000"/>
          <w:sz w:val="20"/>
        </w:rPr>
        <w:t xml:space="preserve">. Executive shall use reasonable efforts to cooperate with the Company and its affiliates, upon the Company’s reasonable request, with respect to any internal investigation or administrative, regulatory or judicial proceeding involving matters within the scope of Executive’s duties and responsibilities to the Company or its affiliates during his employment with the Company (including, without limitation, Executive being available to the Company upon reasonable notice for interviews and factual investigations, appearing at the Company’s reasonable request to give testimony without requiring service of a subpoena or other legal process, and turning over to the Company all relevant Company documents which are or may have come into Executive’s possession during his employment);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any such request by the Company shall not be unduly burdensome or interfere with Executive’s personal schedule or ability to engage in gainful employment, consulting or other work, and the Company shall pay, upon invoicing by Executive, all reasonably incurred fees for his time in so cooperating (which shall not exceed one thousand dollars ($1,000) per eight hour day), and reimburse Executive for his actual, reasonable, out-of-pocket expenses (including without limitation, any and all reasonable attorney’s fees and costs) incurred in connection with providing any such cooperation.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587375"/>
                <wp:effectExtent l="0" t="0" r="0" b="0"/>
                <wp:wrapNone/>
                <wp:docPr id="72" name="Frame71"/>
                <a:graphic xmlns:a="http://schemas.openxmlformats.org/drawingml/2006/main">
                  <a:graphicData uri="http://schemas.microsoft.com/office/word/2010/wordprocessingShape">
                    <wps:wsp>
                      <wps:cNvSpPr txBox="1"/>
                      <wps:spPr>
                        <a:xfrm>
                          <a:off x="0" y="0"/>
                          <a:ext cx="6480175" cy="58737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64"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64"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80" w:after="283"/>
        <w:ind w:left="0" w:right="0" w:firstLine="489"/>
        <w:jc w:val="left"/>
        <w:rPr>
          <w:rFonts w:ascii="Times New Roman;serif" w:hAnsi="Times New Roman;serif"/>
          <w:b w:val="false"/>
          <w:color w:val="000000"/>
          <w:sz w:val="20"/>
        </w:rPr>
      </w:pPr>
      <w:r>
        <w:rPr>
          <w:rFonts w:ascii="Times New Roman;serif" w:hAnsi="Times New Roman;serif"/>
          <w:b w:val="false"/>
          <w:color w:val="000000"/>
          <w:sz w:val="20"/>
        </w:rPr>
        <w:t>IN WITNESS WHEREOF, the undersigned have caused this Transition and Separation Agreement to be duly executed and delivered as of the date indicated next to their respective signatures below.</w:t>
      </w:r>
    </w:p>
    <w:tbl>
      <w:tblPr>
        <w:tblW w:w="4603" w:type="dxa"/>
        <w:jc w:val="center"/>
        <w:tblInd w:w="0" w:type="dxa"/>
        <w:tblLayout w:type="fixed"/>
        <w:tblCellMar>
          <w:top w:w="28" w:type="dxa"/>
          <w:left w:w="28" w:type="dxa"/>
          <w:bottom w:w="28" w:type="dxa"/>
          <w:right w:w="28" w:type="dxa"/>
        </w:tblCellMar>
      </w:tblPr>
      <w:tblGrid>
        <w:gridCol w:w="298"/>
        <w:gridCol w:w="263"/>
        <w:gridCol w:w="264"/>
        <w:gridCol w:w="284"/>
        <w:gridCol w:w="284"/>
        <w:gridCol w:w="286"/>
        <w:gridCol w:w="134"/>
        <w:gridCol w:w="134"/>
        <w:gridCol w:w="136"/>
        <w:gridCol w:w="737"/>
        <w:gridCol w:w="737"/>
        <w:gridCol w:w="1046"/>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8/1/2025</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Justin Renz</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Justin Renz</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ARDELYX, INC.</w:t>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8/1/2025</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Mike Raab</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Mike Raab, President &amp; CEO</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587375"/>
                <wp:effectExtent l="0" t="0" r="0" b="0"/>
                <wp:wrapNone/>
                <wp:docPr id="73" name="Frame72"/>
                <a:graphic xmlns:a="http://schemas.openxmlformats.org/drawingml/2006/main">
                  <a:graphicData uri="http://schemas.microsoft.com/office/word/2010/wordprocessingShape">
                    <wps:wsp>
                      <wps:cNvSpPr txBox="1"/>
                      <wps:spPr>
                        <a:xfrm>
                          <a:off x="0" y="0"/>
                          <a:ext cx="6480175" cy="58737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64" w:before="0" w:after="0"/>
                                    <w:jc w:val="left"/>
                                    <w:rPr>
                                      <w:rFonts w:ascii="Times New Roman;serif" w:hAnsi="Times New Roman;serif"/>
                                      <w:b w:val="false"/>
                                      <w:color w:val="000000"/>
                                      <w:sz w:val="20"/>
                                    </w:rPr>
                                  </w:pPr>
                                  <w:r>
                                    <w:rPr>
                                      <w:rFonts w:ascii="Times New Roman;serif" w:hAnsi="Times New Roman;serif"/>
                                      <w:b w:val="false"/>
                                      <w:color w:val="000000"/>
                                      <w:sz w:val="20"/>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64" w:before="0" w:after="0"/>
                              <w:jc w:val="left"/>
                              <w:rPr>
                                <w:rFonts w:ascii="Times New Roman;serif" w:hAnsi="Times New Roman;serif"/>
                                <w:b w:val="false"/>
                                <w:color w:val="000000"/>
                                <w:sz w:val="20"/>
                              </w:rPr>
                            </w:pPr>
                            <w:r>
                              <w:rPr>
                                <w:rFonts w:ascii="Times New Roman;serif" w:hAnsi="Times New Roman;serif"/>
                                <w:b w:val="false"/>
                                <w:color w:val="000000"/>
                                <w:sz w:val="20"/>
                              </w:rPr>
                              <w:t>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80" w:after="283"/>
        <w:jc w:val="center"/>
        <w:rPr>
          <w:rFonts w:ascii="Times New Roman;serif" w:hAnsi="Times New Roman;serif"/>
          <w:b/>
          <w:color w:val="000000"/>
          <w:sz w:val="20"/>
          <w:u w:val="single"/>
        </w:rPr>
      </w:pPr>
      <w:r>
        <w:rPr>
          <w:rFonts w:ascii="Times New Roman;serif" w:hAnsi="Times New Roman;serif"/>
          <w:b/>
          <w:color w:val="000000"/>
          <w:sz w:val="20"/>
          <w:u w:val="single"/>
        </w:rPr>
        <w:t>EXHIBIT A</w:t>
      </w:r>
    </w:p>
    <w:p>
      <w:pPr>
        <w:pStyle w:val="TextBody"/>
        <w:bidi w:val="0"/>
        <w:spacing w:lineRule="auto" w:line="288" w:before="229" w:after="283"/>
        <w:jc w:val="center"/>
        <w:rPr>
          <w:rFonts w:ascii="Times New Roman;serif" w:hAnsi="Times New Roman;serif"/>
          <w:b/>
          <w:color w:val="000000"/>
          <w:sz w:val="20"/>
          <w:u w:val="single"/>
        </w:rPr>
      </w:pPr>
      <w:r>
        <w:rPr>
          <w:rFonts w:ascii="Times New Roman;serif" w:hAnsi="Times New Roman;serif"/>
          <w:b/>
          <w:color w:val="000000"/>
          <w:sz w:val="20"/>
          <w:u w:val="single"/>
        </w:rPr>
        <w:t>GENERAL RELEASE OF CLAIMS</w:t>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88" w:before="0" w:after="0"/>
        <w:jc w:val="left"/>
        <w:rPr/>
      </w:pPr>
      <w:r>
        <w:rPr>
          <w:rFonts w:ascii="Times New Roman;serif" w:hAnsi="Times New Roman;serif"/>
          <w:b w:val="false"/>
          <w:color w:val="000000"/>
          <w:sz w:val="20"/>
        </w:rPr>
        <w:t>This General Release of Claims (“</w:t>
      </w:r>
      <w:r>
        <w:rPr>
          <w:rFonts w:ascii="Times New Roman;serif" w:hAnsi="Times New Roman;serif"/>
          <w:b w:val="false"/>
          <w:color w:val="000000"/>
          <w:sz w:val="20"/>
          <w:u w:val="single"/>
        </w:rPr>
        <w:t>Release</w:t>
      </w:r>
      <w:r>
        <w:rPr>
          <w:color w:val="000000"/>
        </w:rPr>
        <w:t>”</w:t>
      </w:r>
      <w:r>
        <w:rPr>
          <w:rFonts w:ascii="Times New Roman;serif" w:hAnsi="Times New Roman;serif"/>
          <w:b w:val="false"/>
          <w:color w:val="000000"/>
          <w:sz w:val="20"/>
        </w:rPr>
        <w:t>) is entered into as of    , between Justin Renz</w:t>
      </w:r>
    </w:p>
    <w:p>
      <w:pPr>
        <w:pStyle w:val="TextBody"/>
        <w:bidi w:val="0"/>
        <w:spacing w:lineRule="auto" w:line="288" w:before="1" w:after="283"/>
        <w:jc w:val="left"/>
        <w:rPr/>
      </w:pPr>
      <w:r>
        <w:rPr>
          <w:rFonts w:ascii="Times New Roman;serif" w:hAnsi="Times New Roman;serif"/>
          <w:b w:val="false"/>
          <w:color w:val="000000"/>
          <w:sz w:val="20"/>
        </w:rPr>
        <w:t>(“</w:t>
      </w:r>
      <w:r>
        <w:rPr>
          <w:rFonts w:ascii="Times New Roman;serif" w:hAnsi="Times New Roman;serif"/>
          <w:b w:val="false"/>
          <w:color w:val="000000"/>
          <w:sz w:val="20"/>
          <w:u w:val="single"/>
        </w:rPr>
        <w:t>Executive</w:t>
      </w:r>
      <w:r>
        <w:rPr>
          <w:color w:val="000000"/>
        </w:rPr>
        <w:t>”</w:t>
      </w:r>
      <w:r>
        <w:rPr>
          <w:rFonts w:ascii="Times New Roman;serif" w:hAnsi="Times New Roman;serif"/>
          <w:b w:val="false"/>
          <w:color w:val="000000"/>
          <w:sz w:val="20"/>
        </w:rPr>
        <w:t>) and Ardelyx, Inc.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(collectively referred to herein as the “</w:t>
      </w:r>
      <w:r>
        <w:rPr>
          <w:rFonts w:ascii="Times New Roman;serif" w:hAnsi="Times New Roman;serif"/>
          <w:b w:val="false"/>
          <w:color w:val="000000"/>
          <w:sz w:val="20"/>
          <w:u w:val="single"/>
        </w:rPr>
        <w:t>Parties</w:t>
      </w:r>
      <w:r>
        <w:rPr>
          <w:color w:val="000000"/>
        </w:rPr>
        <w:t>”</w:t>
      </w:r>
      <w:r>
        <w:rPr>
          <w:rFonts w:ascii="Times New Roman;serif" w:hAnsi="Times New Roman;serif"/>
          <w:b w:val="false"/>
          <w:color w:val="000000"/>
          <w:sz w:val="20"/>
        </w:rPr>
        <w:t>), effective the eighth (8</w:t>
      </w:r>
      <w:r>
        <w:rPr>
          <w:rFonts w:ascii="Times New Roman;serif" w:hAnsi="Times New Roman;serif"/>
          <w:b w:val="false"/>
          <w:color w:val="000000"/>
          <w:sz w:val="13"/>
        </w:rPr>
        <w:t>th</w:t>
      </w:r>
      <w:r>
        <w:rPr>
          <w:rFonts w:ascii="Times New Roman;serif" w:hAnsi="Times New Roman;serif"/>
          <w:b w:val="false"/>
          <w:color w:val="000000"/>
          <w:sz w:val="20"/>
        </w:rPr>
        <w:t>) day after Executive’s signature hereto (the “</w:t>
      </w:r>
      <w:r>
        <w:rPr>
          <w:rFonts w:ascii="Times New Roman;serif" w:hAnsi="Times New Roman;serif"/>
          <w:b w:val="false"/>
          <w:color w:val="000000"/>
          <w:sz w:val="20"/>
          <w:u w:val="single"/>
        </w:rPr>
        <w:t>Effective Date</w:t>
      </w:r>
      <w:r>
        <w:rPr>
          <w:color w:val="000000"/>
        </w:rPr>
        <w:t>”</w:t>
      </w:r>
      <w:r>
        <w:rPr>
          <w:rFonts w:ascii="Times New Roman;serif" w:hAnsi="Times New Roman;serif"/>
          <w:b w:val="false"/>
          <w:color w:val="000000"/>
          <w:sz w:val="20"/>
        </w:rPr>
        <w:t>), unless Executive revokes his acceptance of this Release as provided in Paragraph 1(c) below.</w:t>
      </w:r>
    </w:p>
    <w:p>
      <w:pPr>
        <w:pStyle w:val="TextBody"/>
        <w:bidi w:val="0"/>
        <w:spacing w:before="119" w:after="283"/>
        <w:jc w:val="left"/>
        <w:rPr/>
      </w:pPr>
      <w:r>
        <w:rPr/>
      </w:r>
    </w:p>
    <w:p>
      <w:pPr>
        <w:pStyle w:val="TextBody"/>
        <w:bidi w:val="0"/>
        <w:spacing w:lineRule="auto" w:line="288" w:before="0" w:after="0"/>
        <w:ind w:left="0" w:right="0" w:hanging="251"/>
        <w:jc w:val="left"/>
        <w:rPr/>
      </w:pPr>
      <w:r>
        <w:rPr>
          <w:rFonts w:ascii="Times New Roman;serif" w:hAnsi="Times New Roman;serif"/>
          <w:b w:val="false"/>
          <w:color w:val="000000"/>
          <w:sz w:val="20"/>
        </w:rPr>
        <w:t>1.    </w:t>
      </w:r>
      <w:r>
        <w:rPr>
          <w:rFonts w:ascii="Times New Roman;serif" w:hAnsi="Times New Roman;serif"/>
          <w:b w:val="false"/>
          <w:color w:val="000000"/>
          <w:sz w:val="20"/>
          <w:u w:val="single"/>
        </w:rPr>
        <w:t>Executive’s Release of the Company</w:t>
      </w:r>
      <w:r>
        <w:rPr>
          <w:rFonts w:ascii="Times New Roman;serif" w:hAnsi="Times New Roman;serif"/>
          <w:b w:val="false"/>
          <w:color w:val="000000"/>
          <w:sz w:val="20"/>
        </w:rPr>
        <w:t>.</w:t>
      </w:r>
    </w:p>
    <w:p>
      <w:pPr>
        <w:pStyle w:val="TextBody"/>
        <w:bidi w:val="0"/>
        <w:spacing w:lineRule="auto" w:line="288" w:before="120" w:after="283"/>
        <w:ind w:left="0" w:right="0" w:firstLine="489"/>
        <w:jc w:val="left"/>
        <w:rPr/>
      </w:pPr>
      <w:r>
        <w:rPr>
          <w:rFonts w:ascii="Times New Roman;serif" w:hAnsi="Times New Roman;serif"/>
          <w:b w:val="false"/>
          <w:color w:val="000000"/>
          <w:sz w:val="20"/>
        </w:rPr>
        <w:t>(a)    Executive, on his own behalf and on behalf of his family members, heirs, executors, administrators, agents, and assigns, hereby and forever releases the Company and its current and former officers, directors, employees, agents, investors, attorneys, affiliates, divisions, and subsidiaries, and predecessor and successor corporations and assigns (the “</w:t>
      </w:r>
      <w:r>
        <w:rPr>
          <w:rFonts w:ascii="Times New Roman;serif" w:hAnsi="Times New Roman;serif"/>
          <w:b w:val="false"/>
          <w:color w:val="000000"/>
          <w:sz w:val="20"/>
          <w:u w:val="single"/>
        </w:rPr>
        <w:t>Releasees</w:t>
      </w:r>
      <w:r>
        <w:rPr>
          <w:color w:val="000000"/>
        </w:rPr>
        <w:t>”</w:t>
      </w:r>
      <w:r>
        <w:rPr>
          <w:rFonts w:ascii="Times New Roman;serif" w:hAnsi="Times New Roman;serif"/>
          <w:b w:val="false"/>
          <w:color w:val="000000"/>
          <w:sz w:val="20"/>
        </w:rPr>
        <w:t>) from, and agrees not to sue concerning, or in any manner to institute, prosecute, or pursue, any claim, complaint, charge, duty, obligation, or cause of action relating to any matters of any kind, whether presently known or unknown, suspected or unsuspected, that Executive may possess against any of the Releasees arising from any omissions, acts, facts, or damages that have occurred up until and including the date Executive signs this Release, including, without limitation:</w:t>
      </w:r>
    </w:p>
    <w:p>
      <w:pPr>
        <w:pStyle w:val="TextBody"/>
        <w:bidi w:val="0"/>
        <w:spacing w:lineRule="auto" w:line="288" w:before="122" w:after="283"/>
        <w:ind w:left="0" w:right="0" w:firstLine="719"/>
        <w:jc w:val="left"/>
        <w:rPr>
          <w:rFonts w:ascii="Times New Roman;serif" w:hAnsi="Times New Roman;serif"/>
          <w:b w:val="false"/>
          <w:color w:val="000000"/>
          <w:sz w:val="20"/>
        </w:rPr>
      </w:pPr>
      <w:r>
        <w:rPr>
          <w:rFonts w:ascii="Times New Roman;serif" w:hAnsi="Times New Roman;serif"/>
          <w:b w:val="false"/>
          <w:color w:val="000000"/>
          <w:sz w:val="20"/>
        </w:rPr>
        <w:t>(i)    any and all claims relating to or arising from Executive’s employment relationship with Company and the termination of that relationship;</w:t>
      </w:r>
    </w:p>
    <w:p>
      <w:pPr>
        <w:pStyle w:val="TextBody"/>
        <w:bidi w:val="0"/>
        <w:spacing w:lineRule="auto" w:line="288" w:before="118" w:after="283"/>
        <w:ind w:left="0" w:right="0" w:firstLine="719"/>
        <w:jc w:val="left"/>
        <w:rPr>
          <w:rFonts w:ascii="Times New Roman;serif" w:hAnsi="Times New Roman;serif"/>
          <w:b w:val="false"/>
          <w:color w:val="000000"/>
          <w:sz w:val="20"/>
        </w:rPr>
      </w:pPr>
      <w:r>
        <w:rPr>
          <w:rFonts w:ascii="Times New Roman;serif" w:hAnsi="Times New Roman;serif"/>
          <w:b w:val="false"/>
          <w:color w:val="000000"/>
          <w:sz w:val="20"/>
        </w:rPr>
        <w:t>(ii)    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pStyle w:val="TextBody"/>
        <w:bidi w:val="0"/>
        <w:spacing w:lineRule="auto" w:line="288" w:before="121" w:after="283"/>
        <w:ind w:left="0" w:right="0" w:firstLine="719"/>
        <w:jc w:val="left"/>
        <w:rPr/>
      </w:pPr>
      <w:r>
        <w:rPr>
          <w:rFonts w:ascii="Times New Roman;serif" w:hAnsi="Times New Roman;serif"/>
          <w:b w:val="false"/>
          <w:color w:val="000000"/>
          <w:sz w:val="20"/>
        </w:rPr>
        <w:t>(iii)    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except as prohibited by law; the Fair Credit Reporting Act; the Age Discrimination in Employment Act of 1967 (the “</w:t>
      </w:r>
      <w:r>
        <w:rPr>
          <w:rFonts w:ascii="Times New Roman;serif" w:hAnsi="Times New Roman;serif"/>
          <w:b w:val="false"/>
          <w:color w:val="000000"/>
          <w:sz w:val="20"/>
          <w:u w:val="single"/>
        </w:rPr>
        <w:t>ADEA</w:t>
      </w:r>
      <w:r>
        <w:rPr>
          <w:color w:val="000000"/>
        </w:rPr>
        <w:t>”</w:t>
      </w:r>
      <w:r>
        <w:rPr>
          <w:rFonts w:ascii="Times New Roman;serif" w:hAnsi="Times New Roman;serif"/>
          <w:b w:val="false"/>
          <w:color w:val="000000"/>
          <w:sz w:val="20"/>
        </w:rPr>
        <w:t>); the Older Workers Benefit Protection Act; the Employee Retirement Income Security Act of 1974; the Worker Adjustment and Retraining Notification Act; the Family and Medical Leave Act, except as prohibited by law; the Sarbanes- Oxley Act of 2002, except as prohibited by law; the Uniformed Services Employment and Reemployment Rights Act; Massachusetts Fair Employment Practices Law, Mass. Gen. Laws ch. 151B, §1 et seq.; Massachusetts Sexual Harassment Law, Mass. Gen. Laws ch. 214, §1C; Massachusetts Equal Pay Law, Mass. Gen. Laws ch. 149, §105A- C; Massachusetts Family and Medical Leave Law, Mass. Gen. Laws ch. 149, §52D; and Massachusetts WARN Laws, Mass. Gen. Laws ch. 149, §182 and Mass. Gen. Laws ch. 151A, §71A-G;</w:t>
      </w:r>
    </w:p>
    <w:p>
      <w:pPr>
        <w:pStyle w:val="TextBody"/>
        <w:bidi w:val="0"/>
        <w:spacing w:lineRule="auto" w:line="288" w:before="120" w:after="283"/>
        <w:ind w:left="0" w:right="0" w:hanging="337"/>
        <w:jc w:val="left"/>
        <w:rPr>
          <w:rFonts w:ascii="Times New Roman;serif" w:hAnsi="Times New Roman;serif"/>
          <w:b w:val="false"/>
          <w:color w:val="000000"/>
          <w:sz w:val="20"/>
        </w:rPr>
      </w:pPr>
      <w:r>
        <w:rPr>
          <w:rFonts w:ascii="Times New Roman;serif" w:hAnsi="Times New Roman;serif"/>
          <w:b w:val="false"/>
          <w:color w:val="000000"/>
          <w:sz w:val="20"/>
        </w:rPr>
        <w:t>(iv)    any and all claims for violation of the federal or any state constitution;</w:t>
      </w:r>
    </w:p>
    <w:p>
      <w:pPr>
        <w:pStyle w:val="TextBody"/>
        <w:bidi w:val="0"/>
        <w:spacing w:before="0" w:after="0"/>
        <w:jc w:val="left"/>
        <w:rPr/>
      </w:pPr>
      <w:r>
        <w:rPr/>
      </w:r>
    </w:p>
    <w:p>
      <w:pPr>
        <w:pStyle w:val="TextBody"/>
        <w:bidi w:val="0"/>
        <w:spacing w:lineRule="auto" w:line="288" w:before="0" w:after="0"/>
        <w:ind w:left="0" w:right="0" w:firstLine="770"/>
        <w:jc w:val="left"/>
        <w:rPr>
          <w:rFonts w:ascii="Times New Roman;serif" w:hAnsi="Times New Roman;serif"/>
          <w:b w:val="false"/>
          <w:color w:val="000000"/>
          <w:sz w:val="20"/>
        </w:rPr>
      </w:pPr>
      <w:r>
        <w:rPr>
          <w:rFonts w:ascii="Times New Roman;serif" w:hAnsi="Times New Roman;serif"/>
          <w:b w:val="false"/>
          <w:color w:val="000000"/>
          <w:sz w:val="20"/>
        </w:rPr>
        <w:t>(v)    any and all claims arising out of any other laws and regulations relating to employment or employment discrimination;</w:t>
      </w:r>
    </w:p>
    <w:p>
      <w:pPr>
        <w:pStyle w:val="TextBody"/>
        <w:bidi w:val="0"/>
        <w:spacing w:before="0" w:after="0"/>
        <w:jc w:val="left"/>
        <w:rPr/>
      </w:pPr>
      <w:r>
        <w:rPr/>
      </w:r>
    </w:p>
    <w:p>
      <w:pPr>
        <w:pStyle w:val="TextBody"/>
        <w:bidi w:val="0"/>
        <w:spacing w:lineRule="auto" w:line="288" w:before="0" w:after="0"/>
        <w:ind w:left="0" w:right="0" w:firstLine="719"/>
        <w:jc w:val="left"/>
        <w:rPr/>
      </w:pPr>
      <w:r>
        <w:rPr>
          <w:rFonts w:ascii="Times New Roman;serif" w:hAnsi="Times New Roman;serif"/>
          <w:b w:val="false"/>
          <w:color w:val="000000"/>
          <w:sz w:val="20"/>
        </w:rPr>
        <w:t>(vi)    any claim for any loss, cost, damage or expense arising out of any dispute over the non-withholding or other tax treatment of any of the proceeds received by Executive as a result of the Transition and Separation Agreement entered into between the Parties as of [</w:t>
      </w:r>
      <w:r>
        <w:rPr>
          <w:color w:val="000000"/>
          <w:u w:val="single"/>
        </w:rPr>
        <w:t>    </w:t>
      </w:r>
      <w:r>
        <w:rPr>
          <w:rFonts w:ascii="Times New Roman;serif" w:hAnsi="Times New Roman;serif"/>
          <w:b w:val="false"/>
          <w:color w:val="000000"/>
          <w:sz w:val="20"/>
        </w:rPr>
        <w:t>], 2025 (the “</w:t>
      </w:r>
      <w:r>
        <w:rPr>
          <w:rFonts w:ascii="Times New Roman;serif" w:hAnsi="Times New Roman;serif"/>
          <w:b w:val="false"/>
          <w:color w:val="000000"/>
          <w:sz w:val="20"/>
          <w:u w:val="single"/>
        </w:rPr>
        <w:t>Transition and Separation Agreement</w:t>
      </w:r>
      <w:r>
        <w:rPr>
          <w:color w:val="000000"/>
        </w:rPr>
        <w:t>”</w:t>
      </w:r>
      <w:r>
        <w:rPr>
          <w:rFonts w:ascii="Times New Roman;serif" w:hAnsi="Times New Roman;serif"/>
          <w:b w:val="false"/>
          <w:color w:val="000000"/>
          <w:sz w:val="20"/>
        </w:rPr>
        <w:t>).</w:t>
      </w:r>
    </w:p>
    <w:p>
      <w:pPr>
        <w:pStyle w:val="TextBody"/>
        <w:bidi w:val="0"/>
        <w:spacing w:lineRule="auto" w:line="288" w:before="121" w:after="283"/>
        <w:ind w:left="0" w:right="0" w:hanging="392"/>
        <w:jc w:val="left"/>
        <w:rPr>
          <w:rFonts w:ascii="Times New Roman;serif" w:hAnsi="Times New Roman;serif"/>
          <w:b w:val="false"/>
          <w:color w:val="000000"/>
          <w:sz w:val="20"/>
        </w:rPr>
      </w:pPr>
      <w:r>
        <w:rPr>
          <w:rFonts w:ascii="Times New Roman;serif" w:hAnsi="Times New Roman;serif"/>
          <w:b w:val="false"/>
          <w:color w:val="000000"/>
          <w:sz w:val="20"/>
        </w:rPr>
        <w:t>(vii)    any claim for breach of contract or breach of the implied covenant of good faith and fair dealing; and</w:t>
      </w:r>
    </w:p>
    <w:p>
      <w:pPr>
        <w:pStyle w:val="TextBody"/>
        <w:bidi w:val="0"/>
        <w:spacing w:lineRule="auto" w:line="288" w:before="121" w:after="283"/>
        <w:ind w:left="0" w:right="0" w:hanging="448"/>
        <w:jc w:val="left"/>
        <w:rPr>
          <w:rFonts w:ascii="Times New Roman;serif" w:hAnsi="Times New Roman;serif"/>
          <w:b w:val="false"/>
          <w:color w:val="000000"/>
          <w:sz w:val="20"/>
        </w:rPr>
      </w:pPr>
      <w:r>
        <w:rPr>
          <w:rFonts w:ascii="Times New Roman;serif" w:hAnsi="Times New Roman;serif"/>
          <w:b w:val="false"/>
          <w:color w:val="000000"/>
          <w:sz w:val="20"/>
        </w:rPr>
        <w:t>(viii)    any and all claims for attorneys’ fees and costs.</w:t>
      </w:r>
    </w:p>
    <w:p>
      <w:pPr>
        <w:pStyle w:val="TextBody"/>
        <w:bidi w:val="0"/>
        <w:spacing w:lineRule="auto" w:line="288" w:before="120" w:after="283"/>
        <w:ind w:left="0" w:right="0" w:firstLine="489"/>
        <w:jc w:val="left"/>
        <w:rPr>
          <w:rFonts w:ascii="Times New Roman;serif" w:hAnsi="Times New Roman;serif"/>
          <w:b w:val="false"/>
          <w:color w:val="000000"/>
          <w:sz w:val="20"/>
        </w:rPr>
      </w:pPr>
      <w:r>
        <w:rPr>
          <w:rFonts w:ascii="Times New Roman;serif" w:hAnsi="Times New Roman;serif"/>
          <w:b w:val="false"/>
          <w:color w:val="000000"/>
          <w:sz w:val="20"/>
        </w:rPr>
        <w:t>(b)    Executive agrees that the release set forth in this Section shall be and remain in effect in all respects as a complete general release as to the matters released. This release does not extend to any obligations incurred under the Transition and Separation Agreement and the agreements evidencing Executive’s equity awards (as deemed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587375"/>
                <wp:effectExtent l="0" t="0" r="0" b="0"/>
                <wp:wrapNone/>
                <wp:docPr id="74" name="Frame73"/>
                <a:graphic xmlns:a="http://schemas.openxmlformats.org/drawingml/2006/main">
                  <a:graphicData uri="http://schemas.microsoft.com/office/word/2010/wordprocessingShape">
                    <wps:wsp>
                      <wps:cNvSpPr txBox="1"/>
                      <wps:spPr>
                        <a:xfrm>
                          <a:off x="0" y="0"/>
                          <a:ext cx="6480175" cy="58737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64" w:before="0" w:after="0"/>
                                    <w:jc w:val="left"/>
                                    <w:rPr>
                                      <w:rFonts w:ascii="Times New Roman;serif" w:hAnsi="Times New Roman;serif"/>
                                      <w:b w:val="false"/>
                                      <w:color w:val="000000"/>
                                      <w:sz w:val="20"/>
                                    </w:rPr>
                                  </w:pPr>
                                  <w:r>
                                    <w:rPr>
                                      <w:rFonts w:ascii="Times New Roman;serif" w:hAnsi="Times New Roman;serif"/>
                                      <w:b w:val="false"/>
                                      <w:color w:val="000000"/>
                                      <w:sz w:val="20"/>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64" w:before="0" w:after="0"/>
                              <w:jc w:val="left"/>
                              <w:rPr>
                                <w:rFonts w:ascii="Times New Roman;serif" w:hAnsi="Times New Roman;serif"/>
                                <w:b w:val="false"/>
                                <w:color w:val="000000"/>
                                <w:sz w:val="20"/>
                              </w:rPr>
                            </w:pPr>
                            <w:r>
                              <w:rPr>
                                <w:rFonts w:ascii="Times New Roman;serif" w:hAnsi="Times New Roman;serif"/>
                                <w:b w:val="false"/>
                                <w:color w:val="000000"/>
                                <w:sz w:val="20"/>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amended by the Transition and Separation Agreement). This release does not release claims or rights that cannot be released as a matter of law, including, but not limited to, Executive’s right to bring to the attention of the Equal Employment Opportunity Commission or California Department of Fair Employment and Housing claims of discrimination, harassment or retaliation; provided, however, that Executive does release his right to obtain damages for any such claims. This release does not release claims or rights that Executive may have as a shareholder of the Company or for vested benefits under any benefit plan or to continued participation in any such plan pursuant to the terms thereof or applicable law.</w:t>
      </w:r>
    </w:p>
    <w:p>
      <w:pPr>
        <w:pStyle w:val="TextBody"/>
        <w:bidi w:val="0"/>
        <w:spacing w:lineRule="auto" w:line="288" w:before="121" w:after="283"/>
        <w:ind w:left="0" w:right="0" w:firstLine="719"/>
        <w:jc w:val="left"/>
        <w:rPr/>
      </w:pPr>
      <w:r>
        <w:rPr>
          <w:rFonts w:ascii="Times New Roman;serif" w:hAnsi="Times New Roman;serif"/>
          <w:b w:val="false"/>
          <w:color w:val="000000"/>
          <w:sz w:val="20"/>
        </w:rPr>
        <w:t>(c)    </w:t>
      </w:r>
      <w:r>
        <w:rPr>
          <w:rFonts w:ascii="Times New Roman;serif" w:hAnsi="Times New Roman;serif"/>
          <w:b w:val="false"/>
          <w:color w:val="000000"/>
          <w:sz w:val="20"/>
          <w:u w:val="single"/>
        </w:rPr>
        <w:t>Acknowledgment of Waiver of Claims under ADEA</w:t>
      </w:r>
      <w:r>
        <w:rPr>
          <w:rFonts w:ascii="Times New Roman;serif" w:hAnsi="Times New Roman;serif"/>
          <w:b w:val="false"/>
          <w:color w:val="000000"/>
          <w:sz w:val="20"/>
        </w:rPr>
        <w:t>. Executive acknowledges that he is waiving and releasing any rights he may have under the ADEA, and that the waiver and release set forth in this Release is knowing and voluntary. Executive acknowledges that the waiver and release set forth in this Release does not apply to any rights or claims that may arise under the ADEA after the Effective Date of this Release. Executive acknowledges that the consideration given for this waiver and release is in addition to anything of value to which Executive was already entitled. Executive further acknowledges that he has been advised by this writing that: (i) he should consult with an attorney prior to executing this Release; (ii) he has twenty-one (21) days within which to consider this Release; (iii) he has seven (7) days following his execution of this Release to revoke this Release;</w:t>
      </w:r>
    </w:p>
    <w:p>
      <w:pPr>
        <w:pStyle w:val="TextBody"/>
        <w:bidi w:val="0"/>
        <w:spacing w:lineRule="auto" w:line="288" w:before="0" w:after="0"/>
        <w:jc w:val="left"/>
        <w:rPr/>
      </w:pPr>
      <w:r>
        <w:rPr>
          <w:rFonts w:ascii="Times New Roman;serif" w:hAnsi="Times New Roman;serif"/>
          <w:b w:val="false"/>
          <w:color w:val="000000"/>
          <w:sz w:val="20"/>
        </w:rPr>
        <w:t>(iv) this Release shall not be effective until after the revocation period has expired and Executive will not receive the severance and other benefits provided by Section 3 of the Transition and Separation Agreement unless and until the revocation period has expired; and (v) nothing in this Release prevents or precludes Executive from challenging or seeking a determination in good faith of the validity of the waiver and release set forth in this Release under the ADEA, nor does it impose any condition precedent, penalties, or costs for doing so, unless specifically authorized by federal law. In the event Executive signs this Release and returns it to the Company’s General Counsel in less than the 21-day period identified above, Executive hereby acknowledges that he has freely and voluntarily chosen to waive the time period allotted for considering this Release. To revoke his acceptance of this Release, Executive must contact the Company’s General Counsel by email at egrammer@ardelyx.com no later than 5 p.m. ET on the 7</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day following Executive’s signature of this Release.</w:t>
      </w:r>
    </w:p>
    <w:p>
      <w:pPr>
        <w:pStyle w:val="TextBody"/>
        <w:bidi w:val="0"/>
        <w:spacing w:before="119" w:after="283"/>
        <w:jc w:val="left"/>
        <w:rPr/>
      </w:pPr>
      <w:r>
        <w:rPr/>
      </w:r>
    </w:p>
    <w:p>
      <w:pPr>
        <w:pStyle w:val="TextBody"/>
        <w:bidi w:val="0"/>
        <w:spacing w:lineRule="auto" w:line="288" w:before="0" w:after="0"/>
        <w:ind w:left="0" w:right="0" w:hanging="201"/>
        <w:jc w:val="left"/>
        <w:rPr/>
      </w:pPr>
      <w:r>
        <w:rPr>
          <w:rFonts w:ascii="Times New Roman;serif" w:hAnsi="Times New Roman;serif"/>
          <w:b w:val="false"/>
          <w:color w:val="000000"/>
          <w:sz w:val="20"/>
        </w:rPr>
        <w:t>2.    </w:t>
      </w:r>
      <w:r>
        <w:rPr>
          <w:rFonts w:ascii="Times New Roman;serif" w:hAnsi="Times New Roman;serif"/>
          <w:b w:val="false"/>
          <w:color w:val="000000"/>
          <w:sz w:val="20"/>
          <w:u w:val="single"/>
        </w:rPr>
        <w:t>Executive Representations</w:t>
      </w:r>
      <w:r>
        <w:rPr>
          <w:rFonts w:ascii="Times New Roman;serif" w:hAnsi="Times New Roman;serif"/>
          <w:b w:val="false"/>
          <w:color w:val="000000"/>
          <w:sz w:val="20"/>
        </w:rPr>
        <w:t>. Executive represents and warrants that:</w:t>
      </w:r>
    </w:p>
    <w:p>
      <w:pPr>
        <w:pStyle w:val="TextBody"/>
        <w:bidi w:val="0"/>
        <w:spacing w:lineRule="auto" w:line="288" w:before="120" w:after="283"/>
        <w:ind w:left="0" w:right="0" w:hanging="272"/>
        <w:jc w:val="left"/>
        <w:rPr>
          <w:rFonts w:ascii="Times New Roman;serif" w:hAnsi="Times New Roman;serif"/>
          <w:b w:val="false"/>
          <w:color w:val="000000"/>
          <w:sz w:val="20"/>
        </w:rPr>
      </w:pPr>
      <w:r>
        <w:rPr>
          <w:rFonts w:ascii="Times New Roman;serif" w:hAnsi="Times New Roman;serif"/>
          <w:b w:val="false"/>
          <w:color w:val="000000"/>
          <w:sz w:val="20"/>
        </w:rPr>
        <w:t>(a)    To Executive’s knowledge, Executive has returned to the Company all Company property in</w:t>
      </w:r>
    </w:p>
    <w:p>
      <w:pPr>
        <w:pStyle w:val="TextBody"/>
        <w:bidi w:val="0"/>
        <w:spacing w:lineRule="auto" w:line="288" w:before="1" w:after="283"/>
        <w:jc w:val="left"/>
        <w:rPr>
          <w:rFonts w:ascii="Times New Roman;serif" w:hAnsi="Times New Roman;serif"/>
          <w:b w:val="false"/>
          <w:color w:val="000000"/>
          <w:sz w:val="20"/>
        </w:rPr>
      </w:pPr>
      <w:r>
        <w:rPr>
          <w:rFonts w:ascii="Times New Roman;serif" w:hAnsi="Times New Roman;serif"/>
          <w:b w:val="false"/>
          <w:color w:val="000000"/>
          <w:sz w:val="20"/>
        </w:rPr>
        <w:t>Executive’s possession and if he discovers additional Company property in his possession he will promptly return it to the Company;</w:t>
      </w:r>
    </w:p>
    <w:p>
      <w:pPr>
        <w:pStyle w:val="TextBody"/>
        <w:bidi w:val="0"/>
        <w:spacing w:lineRule="auto" w:line="288" w:before="121" w:after="283"/>
        <w:ind w:left="0" w:right="0" w:firstLine="719"/>
        <w:jc w:val="left"/>
        <w:rPr>
          <w:rFonts w:ascii="Times New Roman;serif" w:hAnsi="Times New Roman;serif"/>
          <w:b w:val="false"/>
          <w:color w:val="000000"/>
          <w:sz w:val="20"/>
        </w:rPr>
      </w:pPr>
      <w:r>
        <w:rPr>
          <w:rFonts w:ascii="Times New Roman;serif" w:hAnsi="Times New Roman;serif"/>
          <w:b w:val="false"/>
          <w:color w:val="000000"/>
          <w:sz w:val="20"/>
        </w:rPr>
        <w:t>(b)    Except as Executive has informed the Company in writing, Executive is not owed wages, commissions, bonuses or other compensation, other than any payments and benefits that become due under Section 3 of the Transition and Separation Agreement;</w:t>
      </w:r>
    </w:p>
    <w:p>
      <w:pPr>
        <w:pStyle w:val="TextBody"/>
        <w:bidi w:val="0"/>
        <w:spacing w:lineRule="auto" w:line="288" w:before="119" w:after="283"/>
        <w:ind w:left="0" w:right="0" w:hanging="272"/>
        <w:jc w:val="left"/>
        <w:rPr>
          <w:rFonts w:ascii="Times New Roman;serif" w:hAnsi="Times New Roman;serif"/>
          <w:b w:val="false"/>
          <w:color w:val="000000"/>
          <w:sz w:val="20"/>
        </w:rPr>
      </w:pPr>
      <w:r>
        <w:rPr>
          <w:rFonts w:ascii="Times New Roman;serif" w:hAnsi="Times New Roman;serif"/>
          <w:b w:val="false"/>
          <w:color w:val="000000"/>
          <w:sz w:val="20"/>
        </w:rPr>
        <w:t>(c)    During the course of Executive’s employment Executive did not sustain any injuries for which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Executive might be entitled to compensation pursuant to worker’s compensation law or Executive has disclosed any injuries of which he is currently, reasonably aware for which he might be entitled to compensation pursuant to worker’s compensation law;</w:t>
      </w:r>
    </w:p>
    <w:p>
      <w:pPr>
        <w:pStyle w:val="TextBody"/>
        <w:bidi w:val="0"/>
        <w:spacing w:lineRule="auto" w:line="288" w:before="119" w:after="283"/>
        <w:ind w:left="0" w:right="0" w:firstLine="719"/>
        <w:jc w:val="left"/>
        <w:rPr>
          <w:rFonts w:ascii="Times New Roman;serif" w:hAnsi="Times New Roman;serif"/>
          <w:b w:val="false"/>
          <w:color w:val="000000"/>
          <w:sz w:val="20"/>
        </w:rPr>
      </w:pPr>
      <w:r>
        <w:rPr>
          <w:rFonts w:ascii="Times New Roman;serif" w:hAnsi="Times New Roman;serif"/>
          <w:b w:val="false"/>
          <w:color w:val="000000"/>
          <w:sz w:val="20"/>
        </w:rPr>
        <w:t>(d)    From the date Executive executed the Transition and Separation Agreement through the date Executive executes this Release, Executive has not made any disparaging comments about the Company, nor will Executive do so in the future;</w:t>
      </w:r>
    </w:p>
    <w:p>
      <w:pPr>
        <w:pStyle w:val="TextBody"/>
        <w:bidi w:val="0"/>
        <w:spacing w:lineRule="auto" w:line="288" w:before="122" w:after="283"/>
        <w:ind w:left="0" w:right="0" w:firstLine="719"/>
        <w:jc w:val="left"/>
        <w:rPr>
          <w:rFonts w:ascii="Times New Roman;serif" w:hAnsi="Times New Roman;serif"/>
          <w:b w:val="false"/>
          <w:color w:val="000000"/>
          <w:sz w:val="20"/>
        </w:rPr>
      </w:pPr>
      <w:r>
        <w:rPr>
          <w:rFonts w:ascii="Times New Roman;serif" w:hAnsi="Times New Roman;serif"/>
          <w:b w:val="false"/>
          <w:color w:val="000000"/>
          <w:sz w:val="20"/>
        </w:rPr>
        <w:t>(e)    Executive has not initiated any adversarial proceedings of any kind against the Company or against any other person or entity released herein, nor will Executive do so in the future with respect to any claims released hereby, except as specifically allowed by this Release; and</w:t>
      </w:r>
    </w:p>
    <w:p>
      <w:pPr>
        <w:pStyle w:val="TextBody"/>
        <w:bidi w:val="0"/>
        <w:spacing w:lineRule="auto" w:line="288" w:before="119" w:after="283"/>
        <w:ind w:left="0" w:right="0" w:firstLine="719"/>
        <w:jc w:val="left"/>
        <w:rPr>
          <w:rFonts w:ascii="Times New Roman;serif" w:hAnsi="Times New Roman;serif"/>
          <w:b w:val="false"/>
          <w:color w:val="000000"/>
          <w:sz w:val="20"/>
        </w:rPr>
      </w:pPr>
      <w:r>
        <w:rPr>
          <w:rFonts w:ascii="Times New Roman;serif" w:hAnsi="Times New Roman;serif"/>
          <w:b w:val="false"/>
          <w:color w:val="000000"/>
          <w:sz w:val="20"/>
        </w:rPr>
        <w:t>(f)    Executive has brought to the attention of the Chief Compliance Officer all matters of which he gained personal knowledge in the course of his employment by the Company and that he would have reasonable grounds to believe are a violation of the Company’s compliance policies.</w:t>
      </w:r>
    </w:p>
    <w:p>
      <w:pPr>
        <w:pStyle w:val="TextBody"/>
        <w:bidi w:val="0"/>
        <w:spacing w:lineRule="auto" w:line="288" w:before="121" w:after="283"/>
        <w:ind w:left="0" w:right="0" w:firstLine="719"/>
        <w:jc w:val="both"/>
        <w:rPr/>
      </w:pPr>
      <w:r>
        <w:rPr>
          <w:rFonts w:ascii="Times New Roman;serif" w:hAnsi="Times New Roman;serif"/>
          <w:b w:val="false"/>
          <w:color w:val="000000"/>
          <w:sz w:val="20"/>
        </w:rPr>
        <w:t>3.    </w:t>
      </w:r>
      <w:r>
        <w:rPr>
          <w:rFonts w:ascii="Times New Roman;serif" w:hAnsi="Times New Roman;serif"/>
          <w:b w:val="false"/>
          <w:color w:val="000000"/>
          <w:sz w:val="20"/>
          <w:u w:val="single"/>
        </w:rPr>
        <w:t>Continuing Obligations</w:t>
      </w:r>
      <w:r>
        <w:rPr>
          <w:rFonts w:ascii="Times New Roman;serif" w:hAnsi="Times New Roman;serif"/>
          <w:b w:val="false"/>
          <w:color w:val="000000"/>
          <w:sz w:val="20"/>
        </w:rPr>
        <w:t>. Executive reaffirms his obligations under the Transition and Separation Agreement and under the Confidential Information Agreement (as defined in the Transition and Separation Agreement).</w:t>
      </w:r>
    </w:p>
    <w:p>
      <w:pPr>
        <w:pStyle w:val="TextBody"/>
        <w:bidi w:val="0"/>
        <w:spacing w:lineRule="auto" w:line="288" w:before="119" w:after="283"/>
        <w:ind w:left="0" w:right="0" w:firstLine="719"/>
        <w:jc w:val="left"/>
        <w:rPr/>
      </w:pPr>
      <w:r>
        <w:rPr>
          <w:rFonts w:ascii="Times New Roman;serif" w:hAnsi="Times New Roman;serif"/>
          <w:b w:val="false"/>
          <w:color w:val="000000"/>
          <w:sz w:val="20"/>
        </w:rPr>
        <w:t>4.    </w:t>
      </w:r>
      <w:r>
        <w:rPr>
          <w:rFonts w:ascii="Times New Roman;serif" w:hAnsi="Times New Roman;serif"/>
          <w:b w:val="false"/>
          <w:color w:val="000000"/>
          <w:sz w:val="20"/>
          <w:u w:val="single"/>
        </w:rPr>
        <w:t>Cooperation with the Company</w:t>
      </w:r>
      <w:r>
        <w:rPr>
          <w:rFonts w:ascii="Times New Roman;serif" w:hAnsi="Times New Roman;serif"/>
          <w:b w:val="false"/>
          <w:color w:val="000000"/>
          <w:sz w:val="20"/>
        </w:rPr>
        <w:t>. Executive reaffirms his obligations to cooperate with the Company pursuant to Section 15 of the Transition and Separation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587375"/>
                <wp:effectExtent l="0" t="0" r="0" b="0"/>
                <wp:wrapNone/>
                <wp:docPr id="75" name="Frame74"/>
                <a:graphic xmlns:a="http://schemas.openxmlformats.org/drawingml/2006/main">
                  <a:graphicData uri="http://schemas.microsoft.com/office/word/2010/wordprocessingShape">
                    <wps:wsp>
                      <wps:cNvSpPr txBox="1"/>
                      <wps:spPr>
                        <a:xfrm>
                          <a:off x="0" y="0"/>
                          <a:ext cx="6480175" cy="58737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64" w:before="0" w:after="0"/>
                                    <w:jc w:val="left"/>
                                    <w:rPr>
                                      <w:rFonts w:ascii="Times New Roman;serif" w:hAnsi="Times New Roman;serif"/>
                                      <w:b w:val="false"/>
                                      <w:color w:val="000000"/>
                                      <w:sz w:val="20"/>
                                    </w:rPr>
                                  </w:pPr>
                                  <w:r>
                                    <w:rPr>
                                      <w:rFonts w:ascii="Times New Roman;serif" w:hAnsi="Times New Roman;serif"/>
                                      <w:b w:val="false"/>
                                      <w:color w:val="000000"/>
                                      <w:sz w:val="20"/>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64" w:before="0" w:after="0"/>
                              <w:jc w:val="left"/>
                              <w:rPr>
                                <w:rFonts w:ascii="Times New Roman;serif" w:hAnsi="Times New Roman;serif"/>
                                <w:b w:val="false"/>
                                <w:color w:val="000000"/>
                                <w:sz w:val="20"/>
                              </w:rPr>
                            </w:pPr>
                            <w:r>
                              <w:rPr>
                                <w:rFonts w:ascii="Times New Roman;serif" w:hAnsi="Times New Roman;serif"/>
                                <w:b w:val="false"/>
                                <w:color w:val="000000"/>
                                <w:sz w:val="20"/>
                              </w:rPr>
                              <w:t>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80" w:after="283"/>
        <w:ind w:left="0" w:right="0" w:firstLine="719"/>
        <w:jc w:val="left"/>
        <w:rPr/>
      </w:pPr>
      <w:r>
        <w:rPr>
          <w:rFonts w:ascii="Times New Roman;serif" w:hAnsi="Times New Roman;serif"/>
          <w:b w:val="false"/>
          <w:color w:val="000000"/>
          <w:sz w:val="20"/>
        </w:rPr>
        <w:t>5.    </w:t>
      </w:r>
      <w:r>
        <w:rPr>
          <w:rFonts w:ascii="Times New Roman;serif" w:hAnsi="Times New Roman;serif"/>
          <w:b w:val="false"/>
          <w:color w:val="000000"/>
          <w:sz w:val="20"/>
          <w:u w:val="single"/>
        </w:rPr>
        <w:t>Severability</w:t>
      </w:r>
      <w:r>
        <w:rPr>
          <w:rFonts w:ascii="Times New Roman;serif" w:hAnsi="Times New Roman;serif"/>
          <w:b w:val="false"/>
          <w:color w:val="000000"/>
          <w:sz w:val="20"/>
        </w:rPr>
        <w:t>. The provisions of this Release are severable. If any provision is held to be invalid or unenforceable, it shall not affect the validity or enforceability of any other provision.</w:t>
      </w:r>
    </w:p>
    <w:p>
      <w:pPr>
        <w:pStyle w:val="TextBody"/>
        <w:bidi w:val="0"/>
        <w:spacing w:lineRule="auto" w:line="288" w:before="229" w:after="283"/>
        <w:ind w:left="0" w:right="0" w:firstLine="719"/>
        <w:jc w:val="left"/>
        <w:rPr/>
      </w:pPr>
      <w:r>
        <w:rPr>
          <w:rFonts w:ascii="Times New Roman;serif" w:hAnsi="Times New Roman;serif"/>
          <w:b w:val="false"/>
          <w:color w:val="000000"/>
          <w:sz w:val="20"/>
        </w:rPr>
        <w:t>6.    </w:t>
      </w:r>
      <w:r>
        <w:rPr>
          <w:rFonts w:ascii="Times New Roman;serif" w:hAnsi="Times New Roman;serif"/>
          <w:b w:val="false"/>
          <w:color w:val="000000"/>
          <w:sz w:val="20"/>
          <w:u w:val="single"/>
        </w:rPr>
        <w:t>Choice of Law</w:t>
      </w:r>
      <w:r>
        <w:rPr>
          <w:rFonts w:ascii="Times New Roman;serif" w:hAnsi="Times New Roman;serif"/>
          <w:b w:val="false"/>
          <w:color w:val="000000"/>
          <w:sz w:val="20"/>
        </w:rPr>
        <w:t>. This Release shall in all respects be governed and construed in accordance with the laws of the Commonwealth of Massachusetts, including all matters of construction, validity and performance, without regard to conflicts of law principles.</w:t>
      </w:r>
    </w:p>
    <w:p>
      <w:pPr>
        <w:pStyle w:val="TextBody"/>
        <w:bidi w:val="0"/>
        <w:spacing w:lineRule="auto" w:line="288" w:before="122" w:after="283"/>
        <w:ind w:left="0" w:right="0" w:firstLine="719"/>
        <w:jc w:val="left"/>
        <w:rPr/>
      </w:pPr>
      <w:r>
        <w:rPr>
          <w:rFonts w:ascii="Times New Roman;serif" w:hAnsi="Times New Roman;serif"/>
          <w:b w:val="false"/>
          <w:color w:val="000000"/>
          <w:sz w:val="20"/>
        </w:rPr>
        <w:t>7.    </w:t>
      </w:r>
      <w:r>
        <w:rPr>
          <w:rFonts w:ascii="Times New Roman;serif" w:hAnsi="Times New Roman;serif"/>
          <w:b w:val="false"/>
          <w:color w:val="000000"/>
          <w:sz w:val="20"/>
          <w:u w:val="single"/>
        </w:rPr>
        <w:t>Integration Clause</w:t>
      </w:r>
      <w:r>
        <w:rPr>
          <w:rFonts w:ascii="Times New Roman;serif" w:hAnsi="Times New Roman;serif"/>
          <w:b w:val="false"/>
          <w:color w:val="000000"/>
          <w:sz w:val="20"/>
        </w:rPr>
        <w:t>. This Release and the Transition and Separation Agreement, the Confidential Information Agreement, the agreements evidencing Executive’s equity awards (as deemed amended by the Transition and Separation Agreement) contain the Parties’ entire agreement with regard to the transition and separation of Executive’s employment, and supersede and replace any prior agreements as to those matters, whether oral or written, including without limitation, the Severance Agreement (as defined in the Transition and Separation Agreement). This Release may not be changed or modified, in whole or in part, except by an instrument in writing signed by Executive and the President &amp; Chief Executive Officer of the Company.</w:t>
      </w:r>
    </w:p>
    <w:p>
      <w:pPr>
        <w:pStyle w:val="TextBody"/>
        <w:bidi w:val="0"/>
        <w:spacing w:lineRule="auto" w:line="288" w:before="120" w:after="283"/>
        <w:ind w:left="0" w:right="0" w:firstLine="719"/>
        <w:jc w:val="left"/>
        <w:rPr/>
      </w:pPr>
      <w:r>
        <w:rPr>
          <w:rFonts w:ascii="Times New Roman;serif" w:hAnsi="Times New Roman;serif"/>
          <w:b w:val="false"/>
          <w:color w:val="000000"/>
          <w:sz w:val="20"/>
        </w:rPr>
        <w:t>8.    </w:t>
      </w:r>
      <w:r>
        <w:rPr>
          <w:rFonts w:ascii="Times New Roman;serif" w:hAnsi="Times New Roman;serif"/>
          <w:b w:val="false"/>
          <w:color w:val="000000"/>
          <w:sz w:val="20"/>
          <w:u w:val="single"/>
        </w:rPr>
        <w:t>Execution in Counterparts</w:t>
      </w:r>
      <w:r>
        <w:rPr>
          <w:rFonts w:ascii="Times New Roman;serif" w:hAnsi="Times New Roman;serif"/>
          <w:b w:val="false"/>
          <w:color w:val="000000"/>
          <w:sz w:val="20"/>
        </w:rPr>
        <w:t>. This Release may be executed in counterparts with the same force and effectiveness as though executed in a single document. Facsimile signatures shall have the same force and effectiveness as original signatures.</w:t>
      </w:r>
    </w:p>
    <w:p>
      <w:pPr>
        <w:pStyle w:val="TextBody"/>
        <w:bidi w:val="0"/>
        <w:spacing w:lineRule="auto" w:line="288" w:before="120" w:after="283"/>
        <w:ind w:left="0" w:right="0" w:firstLine="719"/>
        <w:jc w:val="left"/>
        <w:rPr/>
      </w:pPr>
      <w:r>
        <w:rPr>
          <w:rFonts w:ascii="Times New Roman;serif" w:hAnsi="Times New Roman;serif"/>
          <w:b w:val="false"/>
          <w:color w:val="000000"/>
          <w:sz w:val="20"/>
        </w:rPr>
        <w:t>9.    </w:t>
      </w:r>
      <w:r>
        <w:rPr>
          <w:rFonts w:ascii="Times New Roman;serif" w:hAnsi="Times New Roman;serif"/>
          <w:b w:val="false"/>
          <w:color w:val="000000"/>
          <w:sz w:val="20"/>
          <w:u w:val="single"/>
        </w:rPr>
        <w:t>Intent to be Bound</w:t>
      </w:r>
      <w:r>
        <w:rPr>
          <w:rFonts w:ascii="Times New Roman;serif" w:hAnsi="Times New Roman;serif"/>
          <w:b w:val="false"/>
          <w:color w:val="000000"/>
          <w:sz w:val="20"/>
        </w:rPr>
        <w:t>. The Parties have carefully read this Release in its entirety; fully understand and agree to its terms and provisions; and intend and agree that it is final and binding on all Parties.</w:t>
      </w:r>
    </w:p>
    <w:p>
      <w:pPr>
        <w:pStyle w:val="TextBody"/>
        <w:bidi w:val="0"/>
        <w:spacing w:before="1" w:after="283"/>
        <w:jc w:val="left"/>
        <w:rPr/>
      </w:pPr>
      <w:r>
        <w:rPr/>
      </w:r>
    </w:p>
    <w:p>
      <w:pPr>
        <w:pStyle w:val="TextBody"/>
        <w:bidi w:val="0"/>
        <w:spacing w:lineRule="auto" w:line="288" w:before="0" w:after="0"/>
        <w:ind w:left="0" w:right="0" w:firstLine="489"/>
        <w:jc w:val="left"/>
        <w:rPr>
          <w:rFonts w:ascii="Times New Roman;serif" w:hAnsi="Times New Roman;serif"/>
          <w:b w:val="false"/>
          <w:color w:val="000000"/>
          <w:sz w:val="20"/>
        </w:rPr>
      </w:pPr>
      <w:r>
        <w:rPr>
          <w:rFonts w:ascii="Times New Roman;serif" w:hAnsi="Times New Roman;serif"/>
          <w:b w:val="false"/>
          <w:color w:val="000000"/>
          <w:sz w:val="20"/>
        </w:rPr>
        <w:t>IN WITNESS WHEREOF, and intending to be legally bound, the Parties have executed the foregoing on the dates shown below.</w:t>
      </w:r>
    </w:p>
    <w:p>
      <w:pPr>
        <w:pStyle w:val="TextBody"/>
        <w:bidi w:val="0"/>
        <w:spacing w:before="0" w:after="0"/>
        <w:jc w:val="left"/>
        <w:rPr/>
      </w:pPr>
      <w:r>
        <w:rPr/>
      </w:r>
    </w:p>
    <w:p>
      <w:pPr>
        <w:pStyle w:val="TextBody"/>
        <w:bidi w:val="0"/>
        <w:spacing w:before="0" w:after="0"/>
        <w:jc w:val="left"/>
        <w:rPr/>
      </w:pPr>
      <w:r>
        <w:rPr/>
      </w:r>
    </w:p>
    <w:tbl>
      <w:tblPr>
        <w:tblW w:w="3880" w:type="dxa"/>
        <w:jc w:val="center"/>
        <w:tblInd w:w="0" w:type="dxa"/>
        <w:tblLayout w:type="fixed"/>
        <w:tblCellMar>
          <w:top w:w="28" w:type="dxa"/>
          <w:left w:w="28" w:type="dxa"/>
          <w:bottom w:w="28" w:type="dxa"/>
          <w:right w:w="28" w:type="dxa"/>
        </w:tblCellMar>
      </w:tblPr>
      <w:tblGrid>
        <w:gridCol w:w="435"/>
        <w:gridCol w:w="382"/>
        <w:gridCol w:w="384"/>
        <w:gridCol w:w="109"/>
        <w:gridCol w:w="109"/>
        <w:gridCol w:w="109"/>
        <w:gridCol w:w="109"/>
        <w:gridCol w:w="109"/>
        <w:gridCol w:w="109"/>
        <w:gridCol w:w="592"/>
        <w:gridCol w:w="592"/>
        <w:gridCol w:w="841"/>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ARDELYX, INC.</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Justin Renz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Mike Raab</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President &amp; CEO</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92" w:before="0" w:after="13"/>
        <w:ind w:left="0" w:right="0" w:hanging="10"/>
        <w:jc w:val="right"/>
        <w:rPr>
          <w:rFonts w:ascii="Times New Roman;serif" w:hAnsi="Times New Roman;serif"/>
          <w:b/>
          <w:color w:val="000000"/>
          <w:sz w:val="22"/>
        </w:rPr>
      </w:pPr>
      <w:r>
        <w:rPr>
          <w:rFonts w:ascii="Times New Roman;serif" w:hAnsi="Times New Roman;serif"/>
          <w:b/>
          <w:color w:val="000000"/>
          <w:sz w:val="22"/>
        </w:rPr>
        <w:t>Exhibit 10.2</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587375"/>
                <wp:effectExtent l="0" t="0" r="0" b="0"/>
                <wp:wrapNone/>
                <wp:docPr id="76" name="Frame75"/>
                <a:graphic xmlns:a="http://schemas.openxmlformats.org/drawingml/2006/main">
                  <a:graphicData uri="http://schemas.microsoft.com/office/word/2010/wordprocessingShape">
                    <wps:wsp>
                      <wps:cNvSpPr txBox="1"/>
                      <wps:spPr>
                        <a:xfrm>
                          <a:off x="0" y="0"/>
                          <a:ext cx="6480175" cy="58737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64" w:before="0" w:after="0"/>
                                    <w:jc w:val="left"/>
                                    <w:rPr>
                                      <w:rFonts w:ascii="Times New Roman;serif" w:hAnsi="Times New Roman;serif"/>
                                      <w:b w:val="false"/>
                                      <w:color w:val="000000"/>
                                      <w:sz w:val="20"/>
                                    </w:rPr>
                                  </w:pPr>
                                  <w:r>
                                    <w:rPr>
                                      <w:rFonts w:ascii="Times New Roman;serif" w:hAnsi="Times New Roman;serif"/>
                                      <w:b w:val="false"/>
                                      <w:color w:val="000000"/>
                                      <w:sz w:val="20"/>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25pt;mso-wrap-distance-left:0pt;mso-wrap-distance-right:0pt;mso-wrap-distance-top:0pt;mso-wrap-distance-bottom:0pt;margin-top:0pt;mso-position-vertical:top;mso-position-vertical-relative:text;margin-left:-425.1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tLeast" w:line="264" w:before="0" w:after="0"/>
                              <w:jc w:val="left"/>
                              <w:rPr>
                                <w:rFonts w:ascii="Times New Roman;serif" w:hAnsi="Times New Roman;serif"/>
                                <w:b w:val="false"/>
                                <w:color w:val="000000"/>
                                <w:sz w:val="20"/>
                              </w:rPr>
                            </w:pPr>
                            <w:r>
                              <w:rPr>
                                <w:rFonts w:ascii="Times New Roman;serif" w:hAnsi="Times New Roman;serif"/>
                                <w:b w:val="false"/>
                                <w:color w:val="000000"/>
                                <w:sz w:val="20"/>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pPr>
      <w:r>
        <w:rPr/>
        <w:drawing>
          <wp:inline distT="0" distB="0" distL="0" distR="0">
            <wp:extent cx="2190750" cy="495300"/>
            <wp:effectExtent l="0" t="0" r="0" b="0"/>
            <wp:docPr id="7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 descr=""/>
                    <pic:cNvPicPr>
                      <a:picLocks noChangeAspect="1" noChangeArrowheads="1"/>
                    </pic:cNvPicPr>
                  </pic:nvPicPr>
                  <pic:blipFill>
                    <a:blip r:embed="rId6"/>
                    <a:stretch>
                      <a:fillRect/>
                    </a:stretch>
                  </pic:blipFill>
                  <pic:spPr bwMode="auto">
                    <a:xfrm>
                      <a:off x="0" y="0"/>
                      <a:ext cx="2190750" cy="495300"/>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[Revised September 24, 2025]</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September 23,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Sue Hohenleitner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510 E. Evergreen Avenue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Wyndmoor, PA 19038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Dear Sue,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behalf of Ardelyx (the “Company”), I am pleased to offer you employment in the exempt position of Chief Financial Officer, reporting to Mike Raab, President and Chief Executive Officer. In this role, you will be a member of the Executive Leadership Team. Please note that this employment offer is contingent upon the successful completion of a background check paid for by the Company. Negative information may result in the rescission of this offer. If you accept this offer, following successful completion of a background check and after your first full day of employment, you and the Company will enter into a Change in Control Severance Agreement that will further define some of the provisions set forth in this offer letter (the “Severance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Your first day of full-time employment with Ardelyx is currently scheduled for October 13, 2025, which may be changed based upon the agreement between you and the Company. Your salary for this position will be $550,000 on an annualized basis, less applicable tax and other withholdings in accordance with the Company’s normal payroll procedure. You will be eligible for a base salary increase in the Company’s next merit increase cycle, subject to the discretion of the Board of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You will be eligible to participate in various Company equity and benefit plans, including group health insurance, 401(k), the Employee Stock Purchase Plan and Flexible Time Off (FTO). In addition to your initial equity grants described below, you will be eligible to receive annual equity grants at the discretion of the Board of Directors, based on both individual and Company performance and the status of the Company’s equity plans from which employee equity may be granted.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addition, you will be eligible to participate in our annual bonus plan. This bonus will be awarded at the discretion of the Board of Directors and based on both individual and Company performance. The target bonus for this position is 45% of base salary. This bonus is discretionary, and the business and individual objectives are set by you and your manager. Consistent with Company policy, your bonus for 2025 will be pro-rated for the time you are employed by the Company during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sign-on bonus of $180,000, less all required withholding and deductions, will be delivered to you within 30 days of your start date. An additional housing consideration of $150,000, less all required withholding and deductions, will also be delivered to you within 30 days of your start date with the mutual understanding that you will be present in our Company offices on a routine basis not less than two weeks per month, subject to other business-related travel, FTO and unforeseen personal circumstances that may arise from time-to-time.</w:t>
      </w:r>
    </w:p>
    <w:p>
      <w:pPr>
        <w:pStyle w:val="TextBody"/>
        <w:bidi w:val="0"/>
        <w:jc w:val="both"/>
        <w:rPr/>
      </w:pPr>
      <w:r>
        <w:rPr/>
      </w:r>
    </w:p>
    <w:p>
      <w:pPr>
        <w:pStyle w:val="TextBody"/>
        <w:bidi w:val="0"/>
        <w:spacing w:before="0" w:after="13"/>
        <w:ind w:left="0" w:right="0" w:hanging="10"/>
        <w:jc w:val="both"/>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51155"/>
                <wp:effectExtent l="0" t="0" r="0" b="0"/>
                <wp:wrapNone/>
                <wp:docPr id="78" name="Frame7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hanging="10"/>
                              <w:jc w:val="center"/>
                              <w:rPr>
                                <w:rFonts w:ascii="Times New Roman;serif" w:hAnsi="Times New Roman;serif"/>
                                <w:b w:val="false"/>
                                <w:color w:val="BFBFBF"/>
                                <w:sz w:val="20"/>
                              </w:rPr>
                            </w:pPr>
                            <w:r>
                              <w:rPr>
                                <w:rFonts w:ascii="Times New Roman;serif" w:hAnsi="Times New Roman;serif"/>
                                <w:b w:val="false"/>
                                <w:color w:val="BFBFBF"/>
                                <w:sz w:val="20"/>
                              </w:rPr>
                              <w:t>400 Fifth Avenue, Suite 210 | Waltham, MA 02451| 510.745.1700 |ardelyx.com</w:t>
                            </w:r>
                            <w:r>
                              <w:br w:type="page"/>
                            </w:r>
                          </w:p>
                          <w:p>
                            <w:pPr>
                              <w:pStyle w:val="TextBody"/>
                              <w:bidi w:val="0"/>
                              <w:spacing w:before="0" w:after="0"/>
                              <w:ind w:left="0" w:right="0" w:hanging="1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10"/>
                        <w:jc w:val="center"/>
                        <w:rPr>
                          <w:rFonts w:ascii="Times New Roman;serif" w:hAnsi="Times New Roman;serif"/>
                          <w:b w:val="false"/>
                          <w:color w:val="BFBFBF"/>
                          <w:sz w:val="20"/>
                        </w:rPr>
                      </w:pPr>
                      <w:r>
                        <w:rPr>
                          <w:rFonts w:ascii="Times New Roman;serif" w:hAnsi="Times New Roman;serif"/>
                          <w:b w:val="false"/>
                          <w:color w:val="BFBFBF"/>
                          <w:sz w:val="20"/>
                        </w:rPr>
                        <w:t>400 Fifth Avenue, Suite 210 | Waltham, MA 02451| 510.745.1700 |ardelyx.com</w:t>
                      </w:r>
                    </w:p>
                    <w:p>
                      <w:pPr>
                        <w:pStyle w:val="TextBody"/>
                        <w:bidi w:val="0"/>
                        <w:spacing w:before="0" w:after="0"/>
                        <w:ind w:left="0" w:right="0" w:hanging="10"/>
                        <w:jc w:val="both"/>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the event you voluntarily terminate your employment with the Company or your employment is terminated by the Company for Cause (as defined in the Severance Agreement) (i) within one year of your start date, you agree to repay the Company the total amount of the sign-on bonus and housing consideration within 30 days of your termination date, or (ii) after one year, but less than two years of your start date, you agree to repay the Company fifty percent (50%) of the amount of the sign-on bonus and housing consideration within 30 days of your termination date, and in either case, to the maximum extent permitted by applicable law, you hereby authorize the Company to deduct as a valid set-off of wages, any sign-on bonus owed to the Company from your final wages, any performance bonus/incentive compensation, outstanding expense report, and/or any other payments or compensation otherwise owed to you by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Subject to the approval of the Company’s Compensation Committee of the Board of Directors, or its designee, on or after your first day of employment, you will be granted an option to purchase shares of the Company common stock (the “Stock Option”) and restricted stock units (“RSUs”) with a combined grant date fair value of $3,640,000 (the “Grant Date Fair Value”) and with seventy-five percent (75%) of the Grant Date Fair Value contributed by the Option Award and twenty-five percent (25%) of the Grant Date Fair Value contributed by the RSUs; provided however that the total number of shares utilized for the Stock Option and RSUs shall not exceed 725,000. The exercise price for the Stock Option will be equal to the fair market value of Ardelyx stock on your option grant date. Your Stock Option will vest over a period of 4 years, with 25% of the shares vesting at the end of your first year of employment, and the remainder vesting monthly over the following three years. Your RSUs will vest as follows: 25% of the shares vesting on the first Company designated RSU vest date following the first anniversary of your commencement of employment and the remainder vesting quarterly over the next three years on the Company’s quarterly designated RSU vest dates. Equity compensation will be subject to the terms and conditions of the Company’s equity incentive plan and standard forms of stock option and RSU agreements, which you will be required to accept as a condition of receiving the option and RSU. You will be eligible to receive annual equity grants going forward consistent with Company practice, and your equity grant for 2026 will be pro- rated to deliver 50% of the annual long term incentive value determined by the Compensation Committee of the Board of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Your employment with the Company is “at will.” This means it is for no specified term and may be terminated by you or the Company at any time, with or without cause or notice. In addition, subject to the terms of the Severance Agreement, the Company reserves the right to modify your compensation, position, duties or reporting relationship to meet business needs and to decide on appropriate discipline.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 a condition of your employment, you will be required to sign the Company’s standard form of employee nondisclosure and assignment agreement, and to provide the Company with documents establishing your identity and right to work in the United States. Those documents must be provided to the Company within three business days of your employment start date.</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In the event of any dispute or claim relating to or arising out of your employment relationship with the Company, this agreement, or the termination of your employment with the Company for any reason (including, but not limited to, any claims of breach of contract, defamation, wrongful termination or age, sex, sexual orientation, race, color, national origin, ancestry, marital status, religious creed, physical or mental disability or medical condition or other discrimination, retaliation or harassment), you and the Company agree that all such disputes shall be fully resolved by confidential, binding arbitration conducted by a single arbitrator through the American Arbitration Association (“AAA”) under the AAA’s National Rules for the Resolution of Employment Disputes then in effect, which are available online at the AAA’s website at www.adr.org. You and the Company hereby waive your respective rights to have any such disputes or claims tried before a judge or jury.</w:t>
      </w:r>
    </w:p>
    <w:p>
      <w:pPr>
        <w:pStyle w:val="TextBody"/>
        <w:bidi w:val="0"/>
        <w:spacing w:before="0" w:after="13"/>
        <w:ind w:left="0" w:right="0" w:hanging="10"/>
        <w:jc w:val="both"/>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79"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3"/>
                              <w:ind w:left="0" w:right="0" w:hanging="1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3"/>
                        <w:ind w:left="0" w:right="0" w:hanging="1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agreement, the Severance Agreement and the non-disclosure, stock option and RSU agreements referred to above constitute the entire agreement between you and the Company regarding the terms and conditions of your employment, and they supersede all prior or contemporaneous negotiations, representations or agreements between you and the Company. The provisions of this agreement regarding “at will” employment and arbitration may only be modified by a document signed by you and an authorized representative of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Please sign and date this letter on the spaces provided below to acknowledge your acceptance of the terms of this agreement on or before September 25,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Sue, we look forward to having you join the Ardelyx team.</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Sincerely,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Ardelyx, Inc.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Mike Raab                    </w:t>
      </w:r>
      <w:r>
        <w:rPr>
          <w:color w:val="000000"/>
        </w:rPr>
        <w:t xml:space="preserve">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Mike Raab, President and Chief Executive Officer</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 agree to and accept employment with Ardelyx on the terms and conditions set forth in this agreement. I understand and agree that my employment with the Company is at-will.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color w:val="000000"/>
        </w:rPr>
      </w:pPr>
      <w:r>
        <w:rPr>
          <w:color w:val="000000"/>
        </w:rPr>
        <w:t>            </w:t>
      </w:r>
    </w:p>
    <w:tbl>
      <w:tblPr>
        <w:tblW w:w="4120" w:type="dxa"/>
        <w:jc w:val="right"/>
        <w:tblInd w:w="0" w:type="dxa"/>
        <w:tblLayout w:type="fixed"/>
        <w:tblCellMar>
          <w:top w:w="28" w:type="dxa"/>
          <w:left w:w="28" w:type="dxa"/>
          <w:bottom w:w="28" w:type="dxa"/>
          <w:right w:w="28" w:type="dxa"/>
        </w:tblCellMar>
      </w:tblPr>
      <w:tblGrid>
        <w:gridCol w:w="635"/>
        <w:gridCol w:w="558"/>
        <w:gridCol w:w="561"/>
        <w:gridCol w:w="109"/>
        <w:gridCol w:w="109"/>
        <w:gridCol w:w="109"/>
        <w:gridCol w:w="597"/>
        <w:gridCol w:w="597"/>
        <w:gridCol w:w="845"/>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2"/>
              </w:rPr>
            </w:pPr>
            <w:r>
              <w:rPr>
                <w:rFonts w:ascii="Times New Roman;serif" w:hAnsi="Times New Roman;serif"/>
                <w:b w:val="false"/>
                <w:color w:val="000000"/>
                <w:sz w:val="22"/>
              </w:rPr>
              <w:t>Date: 09/24/2025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2"/>
              </w:rPr>
            </w:pPr>
            <w:r>
              <w:rPr>
                <w:rFonts w:ascii="Times New Roman;serif" w:hAnsi="Times New Roman;serif"/>
                <w:b w:val="false"/>
                <w:color w:val="000000"/>
                <w:sz w:val="22"/>
              </w:rPr>
              <w:t>/s/ Sue Hohenleitner</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2"/>
              </w:rPr>
            </w:pPr>
            <w:r>
              <w:rPr>
                <w:rFonts w:ascii="Times New Roman;serif" w:hAnsi="Times New Roman;serif"/>
                <w:b w:val="false"/>
                <w:color w:val="000000"/>
                <w:sz w:val="22"/>
              </w:rPr>
              <w:t>Sue Hohenleitner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92" w:before="0" w:after="13"/>
        <w:ind w:left="0" w:right="0" w:hanging="10"/>
        <w:jc w:val="right"/>
        <w:rPr>
          <w:rFonts w:ascii="Times New Roman;serif" w:hAnsi="Times New Roman;serif"/>
          <w:b/>
          <w:color w:val="000000"/>
          <w:sz w:val="22"/>
        </w:rPr>
      </w:pPr>
      <w:r>
        <w:rPr>
          <w:rFonts w:ascii="Times New Roman;serif" w:hAnsi="Times New Roman;serif"/>
          <w:b/>
          <w:color w:val="000000"/>
          <w:sz w:val="22"/>
        </w:rPr>
        <w:t>Exhibit 10.3</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0"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3"/>
                              <w:ind w:left="0" w:right="0" w:hanging="1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13"/>
                        <w:ind w:left="0" w:right="0" w:hanging="10"/>
                        <w:jc w:val="both"/>
                        <w:rPr/>
                      </w:pPr>
                      <w:r>
                        <w:rPr/>
                      </w:r>
                    </w:p>
                  </w:txbxContent>
                </v:textbox>
                <w10:wrap type="none"/>
              </v:rect>
            </w:pict>
          </mc:Fallback>
        </mc:AlternateContent>
      </w:r>
    </w:p>
    <w:p>
      <w:pPr>
        <w:pStyle w:val="TextBody"/>
        <w:bidi w:val="0"/>
        <w:spacing w:lineRule="auto" w:line="288" w:before="0" w:after="0"/>
        <w:jc w:val="center"/>
        <w:rPr/>
      </w:pPr>
      <w:r>
        <w:rPr/>
        <w:drawing>
          <wp:inline distT="0" distB="0" distL="0" distR="0">
            <wp:extent cx="2190750" cy="495300"/>
            <wp:effectExtent l="0" t="0" r="0" b="0"/>
            <wp:docPr id="8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 descr=""/>
                    <pic:cNvPicPr>
                      <a:picLocks noChangeAspect="1" noChangeArrowheads="1"/>
                    </pic:cNvPicPr>
                  </pic:nvPicPr>
                  <pic:blipFill>
                    <a:blip r:embed="rId7"/>
                    <a:stretch>
                      <a:fillRect/>
                    </a:stretch>
                  </pic:blipFill>
                  <pic:spPr bwMode="auto">
                    <a:xfrm>
                      <a:off x="0" y="0"/>
                      <a:ext cx="2190750" cy="495300"/>
                    </a:xfrm>
                    <a:prstGeom prst="rect">
                      <a:avLst/>
                    </a:prstGeom>
                  </pic:spPr>
                </pic:pic>
              </a:graphicData>
            </a:graphic>
          </wp:inline>
        </w:drawing>
      </w:r>
      <w:r>
        <w:rPr>
          <w:color w:val="000000"/>
        </w:rPr>
        <w:t xml:space="preserv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June 29,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John E. Bishop, Ph.D., MBA</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96 Great Brook Path</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Carlisle, MA 01741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Dear John,</w:t>
      </w:r>
    </w:p>
    <w:p>
      <w:pPr>
        <w:pStyle w:val="TextBody"/>
        <w:bidi w:val="0"/>
        <w:spacing w:before="0" w:after="0"/>
        <w:jc w:val="left"/>
        <w:rPr/>
      </w:pPr>
      <w:r>
        <w:rPr/>
      </w:r>
    </w:p>
    <w:p>
      <w:pPr>
        <w:pStyle w:val="TextBody"/>
        <w:bidi w:val="0"/>
        <w:spacing w:lineRule="auto" w:line="292" w:before="0" w:after="13"/>
        <w:jc w:val="left"/>
        <w:rPr>
          <w:rFonts w:ascii="Times New Roman;serif" w:hAnsi="Times New Roman;serif"/>
          <w:b w:val="false"/>
          <w:color w:val="000000"/>
          <w:sz w:val="22"/>
        </w:rPr>
      </w:pPr>
      <w:r>
        <w:rPr>
          <w:rFonts w:ascii="Times New Roman;serif" w:hAnsi="Times New Roman;serif"/>
          <w:b w:val="false"/>
          <w:color w:val="000000"/>
          <w:sz w:val="22"/>
        </w:rPr>
        <w:t xml:space="preserve">On behalf of Ardelyx (the “Company”), I am pleased to offer you employment in the exempt position of Chief Technical Operations Officer, reporting to Mike Raab, President and Chief Executive Officer. In this role, you will be a member of the Executive Leadership Team. Please note that this employment offer is contingent upon the successful completion of a background check paid for by the Company. Negative information may result in the rescission of this offer. If you accept this offer, following successful completion of a background check, you and the Company will enter into a Change in Control Severance Agreement that will further define some of the provisions set forth in this offer letter (the “Severance Agreement”). </w:t>
      </w:r>
    </w:p>
    <w:p>
      <w:pPr>
        <w:pStyle w:val="TextBody"/>
        <w:bidi w:val="0"/>
        <w:spacing w:before="0" w:after="0"/>
        <w:ind w:left="0" w:right="0" w:hanging="1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Your first day of full-time employment with Ardelyx is currently scheduled for Tuesday, July 1, 2025, which may be changed based upon the agreement between you and the Company. Your salary for this position will be $480,000 on an annualized basis, less applicable tax and other withholdings in accordance with the Company’s normal payroll procedure. On the first day of employment with the Company, the Consulting and Independent Contractor Agreement between you and the Company dated as of March 6, 2025, as amended, shall be terminated, with any fees and expenses which you are due under such agreement to be paid in full within thirty (30) days following your submission of your final invoice and expense report.</w:t>
      </w:r>
    </w:p>
    <w:p>
      <w:pPr>
        <w:pStyle w:val="TextBody"/>
        <w:bidi w:val="0"/>
        <w:spacing w:before="0" w:after="0"/>
        <w:ind w:left="0" w:right="0" w:hanging="1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You will be eligible to participate in various Company equity and benefit plans, including group health insurance, 401(k), the Employee Stock Purchase Plan and Flexible Time Off (FTO). In addition to your initial equity grants described below, you will be eligible to receive annual equity grants at the discretion of the Board of Directors, based on both individual and Company performance and the status of the Company’s equity plans from which employee equity may be granted. </w:t>
      </w:r>
    </w:p>
    <w:p>
      <w:pPr>
        <w:pStyle w:val="TextBody"/>
        <w:bidi w:val="0"/>
        <w:spacing w:before="0" w:after="0"/>
        <w:ind w:left="0" w:right="0" w:hanging="10"/>
        <w:jc w:val="both"/>
        <w:rPr/>
      </w:pPr>
      <w:r>
        <w:rPr/>
      </w:r>
    </w:p>
    <w:p>
      <w:pPr>
        <w:pStyle w:val="TextBody"/>
        <w:bidi w:val="0"/>
        <w:spacing w:lineRule="auto" w:line="288" w:before="0" w:after="0"/>
        <w:ind w:left="0" w:right="0" w:hanging="10"/>
        <w:jc w:val="both"/>
        <w:rPr>
          <w:rFonts w:ascii="Times New Roman;serif" w:hAnsi="Times New Roman;serif"/>
          <w:b w:val="false"/>
          <w:color w:val="000000"/>
          <w:sz w:val="22"/>
        </w:rPr>
      </w:pPr>
      <w:r>
        <w:rPr>
          <w:rFonts w:ascii="Times New Roman;serif" w:hAnsi="Times New Roman;serif"/>
          <w:b w:val="false"/>
          <w:color w:val="000000"/>
          <w:sz w:val="22"/>
        </w:rPr>
        <w:t>In addition, you will be eligible to participate in our annual bonus plan. This bonus will be awarded at the discretion of the Board of Directors and based on both individual and Company performance. The target bonus for this position is 45% of base salary. This bonus is discretionary, and the business and individual objectives are set by you and your manager. Consistent with Company policy, your bonus for 2025 will be pro-rated for the time you are employed by the Company during 2025.</w:t>
      </w:r>
    </w:p>
    <w:p>
      <w:pPr>
        <w:pStyle w:val="TextBody"/>
        <w:bidi w:val="0"/>
        <w:spacing w:before="0" w:after="0"/>
        <w:ind w:left="0" w:right="0" w:hanging="10"/>
        <w:jc w:val="both"/>
        <w:rPr/>
      </w:pPr>
      <w:r>
        <w:rPr/>
      </w:r>
    </w:p>
    <w:p>
      <w:pPr>
        <w:pStyle w:val="TextBody"/>
        <w:bidi w:val="0"/>
        <w:spacing w:lineRule="auto" w:line="288"/>
        <w:ind w:left="0" w:right="0" w:hanging="10"/>
        <w:jc w:val="both"/>
        <w:rPr>
          <w:rFonts w:ascii="Times New Roman;serif" w:hAnsi="Times New Roman;serif"/>
          <w:b w:val="false"/>
          <w:color w:val="000000"/>
          <w:sz w:val="22"/>
        </w:rPr>
      </w:pPr>
      <w:r>
        <w:rPr>
          <w:rFonts w:ascii="Times New Roman;serif" w:hAnsi="Times New Roman;serif"/>
          <w:b w:val="false"/>
          <w:color w:val="000000"/>
          <w:sz w:val="22"/>
        </w:rPr>
        <w:t xml:space="preserve">Subject to the approval of the Company’s Compensation Committee of the Board of Directors, or its designee, on or after your first day of employment, you will be granted an option to purchase 327,000 shares of Company common stock (the “Stock Option”) and restricted stock units covering 218,000 shares of common stock (“RSUs”). The exercise price for the Stock Option will be equal to the fair market value of Ardelyx stock on your option grant date. Your Stock Option will vest over a period of 4 years, with 25% of the shares vesting at the end of your first year of employment, and the remainder vesting monthly over the following three years. Your RSUs will vest as follows: 25% of the shares vesting on the first Company designated RSU vest date following the first anniversary of your commencement of employment and the </w:t>
      </w:r>
    </w:p>
    <w:p>
      <w:pPr>
        <w:pStyle w:val="TextBody"/>
        <w:bidi w:val="0"/>
        <w:spacing w:before="0" w:after="13"/>
        <w:ind w:left="0" w:right="0" w:hanging="10"/>
        <w:jc w:val="both"/>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51155"/>
                <wp:effectExtent l="0" t="0" r="0" b="0"/>
                <wp:wrapNone/>
                <wp:docPr id="82" name="Frame7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hanging="10"/>
                              <w:jc w:val="center"/>
                              <w:rPr>
                                <w:rFonts w:ascii="Times New Roman;serif" w:hAnsi="Times New Roman;serif"/>
                                <w:b w:val="false"/>
                                <w:color w:val="BFBFBF"/>
                                <w:sz w:val="20"/>
                              </w:rPr>
                            </w:pPr>
                            <w:r>
                              <w:rPr>
                                <w:rFonts w:ascii="Times New Roman;serif" w:hAnsi="Times New Roman;serif"/>
                                <w:b w:val="false"/>
                                <w:color w:val="BFBFBF"/>
                                <w:sz w:val="20"/>
                              </w:rPr>
                              <w:t>400 Fifth Avenue, Suite 210 | Waltham, MA 02451| 510.745.1700 |ardelyx.com</w:t>
                            </w:r>
                            <w:r>
                              <w:br w:type="page"/>
                            </w:r>
                          </w:p>
                          <w:p>
                            <w:pPr>
                              <w:pStyle w:val="TextBody"/>
                              <w:bidi w:val="0"/>
                              <w:spacing w:before="0" w:after="0"/>
                              <w:ind w:left="0" w:right="0" w:hanging="1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10"/>
                        <w:jc w:val="center"/>
                        <w:rPr>
                          <w:rFonts w:ascii="Times New Roman;serif" w:hAnsi="Times New Roman;serif"/>
                          <w:b w:val="false"/>
                          <w:color w:val="BFBFBF"/>
                          <w:sz w:val="20"/>
                        </w:rPr>
                      </w:pPr>
                      <w:r>
                        <w:rPr>
                          <w:rFonts w:ascii="Times New Roman;serif" w:hAnsi="Times New Roman;serif"/>
                          <w:b w:val="false"/>
                          <w:color w:val="BFBFBF"/>
                          <w:sz w:val="20"/>
                        </w:rPr>
                        <w:t>400 Fifth Avenue, Suite 210 | Waltham, MA 02451| 510.745.1700 |ardelyx.com</w:t>
                      </w:r>
                    </w:p>
                    <w:p>
                      <w:pPr>
                        <w:pStyle w:val="TextBody"/>
                        <w:bidi w:val="0"/>
                        <w:spacing w:before="0" w:after="0"/>
                        <w:ind w:left="0" w:right="0" w:hanging="10"/>
                        <w:jc w:val="both"/>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remainder vesting quarterly over the next three years on the Company’s quarterly designated RSU vest dates. Equity compensation will be subject to the terms and conditions of the Company’s equity incentive plan and standard forms of stock option and RSU agreements, which you will be required to accept as a condition of receiving the option and RSU.</w:t>
      </w:r>
    </w:p>
    <w:p>
      <w:pPr>
        <w:pStyle w:val="TextBody"/>
        <w:bidi w:val="0"/>
        <w:spacing w:before="0" w:after="0"/>
        <w:ind w:left="0" w:right="0" w:hanging="10"/>
        <w:jc w:val="both"/>
        <w:rPr/>
      </w:pPr>
      <w:r>
        <w:rPr/>
      </w:r>
    </w:p>
    <w:p>
      <w:pPr>
        <w:pStyle w:val="TextBody"/>
        <w:bidi w:val="0"/>
        <w:spacing w:lineRule="auto" w:line="288" w:before="0" w:after="0"/>
        <w:ind w:left="0" w:right="0" w:hanging="10"/>
        <w:jc w:val="both"/>
        <w:rPr>
          <w:rFonts w:ascii="Times New Roman;serif" w:hAnsi="Times New Roman;serif"/>
          <w:b w:val="false"/>
          <w:color w:val="000000"/>
          <w:sz w:val="22"/>
        </w:rPr>
      </w:pPr>
      <w:r>
        <w:rPr>
          <w:rFonts w:ascii="Times New Roman;serif" w:hAnsi="Times New Roman;serif"/>
          <w:b w:val="false"/>
          <w:color w:val="000000"/>
          <w:sz w:val="22"/>
        </w:rPr>
        <w:t xml:space="preserve">Your employment with the Company is “at will.” This means it is for no specified term and may be terminated by you or the Company at any time, with or without cause or notice. In addition, subject to the terms of the Severance Agreement, the Company reserves the right to modify your compensation, position, duties or reporting relationship to meet business needs and to decide on appropriate discipline. </w:t>
      </w:r>
    </w:p>
    <w:p>
      <w:pPr>
        <w:pStyle w:val="TextBody"/>
        <w:bidi w:val="0"/>
        <w:spacing w:before="0" w:after="0"/>
        <w:ind w:left="0" w:right="0" w:hanging="10"/>
        <w:jc w:val="both"/>
        <w:rPr/>
      </w:pPr>
      <w:r>
        <w:rPr/>
      </w:r>
    </w:p>
    <w:p>
      <w:pPr>
        <w:pStyle w:val="TextBody"/>
        <w:bidi w:val="0"/>
        <w:spacing w:lineRule="auto" w:line="288" w:before="0" w:after="0"/>
        <w:ind w:left="0" w:right="0" w:hanging="10"/>
        <w:jc w:val="both"/>
        <w:rPr>
          <w:rFonts w:ascii="Times New Roman;serif" w:hAnsi="Times New Roman;serif"/>
          <w:b w:val="false"/>
          <w:color w:val="000000"/>
          <w:sz w:val="22"/>
        </w:rPr>
      </w:pPr>
      <w:r>
        <w:rPr>
          <w:rFonts w:ascii="Times New Roman;serif" w:hAnsi="Times New Roman;serif"/>
          <w:b w:val="false"/>
          <w:color w:val="000000"/>
          <w:sz w:val="22"/>
        </w:rPr>
        <w:t xml:space="preserve">As a condition of your employment, you will be required to sign the Company’s standard form of employee nondisclosure and assignment agreement, and to provide the Company with documents establishing your identity and right to work in the United States. Those documents must be provided to the Company within three business days of your employment start date. </w:t>
      </w:r>
    </w:p>
    <w:p>
      <w:pPr>
        <w:pStyle w:val="TextBody"/>
        <w:bidi w:val="0"/>
        <w:spacing w:before="0" w:after="0"/>
        <w:ind w:left="0" w:right="0" w:hanging="10"/>
        <w:jc w:val="both"/>
        <w:rPr/>
      </w:pPr>
      <w:r>
        <w:rPr/>
      </w:r>
    </w:p>
    <w:p>
      <w:pPr>
        <w:pStyle w:val="TextBody"/>
        <w:bidi w:val="0"/>
        <w:spacing w:lineRule="auto" w:line="288" w:before="0" w:after="0"/>
        <w:ind w:left="0" w:right="0" w:hanging="10"/>
        <w:jc w:val="both"/>
        <w:rPr>
          <w:rFonts w:ascii="Times New Roman;serif" w:hAnsi="Times New Roman;serif"/>
          <w:b w:val="false"/>
          <w:color w:val="000000"/>
          <w:sz w:val="22"/>
        </w:rPr>
      </w:pPr>
      <w:r>
        <w:rPr>
          <w:rFonts w:ascii="Times New Roman;serif" w:hAnsi="Times New Roman;serif"/>
          <w:b w:val="false"/>
          <w:color w:val="000000"/>
          <w:sz w:val="22"/>
        </w:rPr>
        <w:t xml:space="preserve">In the event of any dispute or claim relating to or arising out of your employment relationship with the Company, this agreement, or the termination of your employment with the Company for any reason (including, but not limited to, any claims of breach of contract, defamation, wrongful termination or age, sex, sexual orientation, race, color, national origin, ancestry, marital status, religious creed, physical or mental disability or medical condition or other discrimination, retaliation or harassment), you and the Company agree that all such disputes shall be fully resolved by confidential, binding arbitration conducted by a single arbitrator through the American Arbitration Association (“AAA”) under the AAA’s National Rules for the Resolution of Employment Disputes then in effect, which are available online at the AAA’s website at www.adr.org. You and the Company hereby waive your respective rights to have any such disputes or claims tried before a judge or jury. </w:t>
      </w:r>
    </w:p>
    <w:p>
      <w:pPr>
        <w:pStyle w:val="TextBody"/>
        <w:bidi w:val="0"/>
        <w:spacing w:before="0" w:after="0"/>
        <w:ind w:left="0" w:right="0" w:hanging="10"/>
        <w:jc w:val="both"/>
        <w:rPr/>
      </w:pPr>
      <w:r>
        <w:rPr/>
      </w:r>
    </w:p>
    <w:p>
      <w:pPr>
        <w:pStyle w:val="TextBody"/>
        <w:bidi w:val="0"/>
        <w:spacing w:lineRule="auto" w:line="288" w:before="0" w:after="0"/>
        <w:ind w:left="0" w:right="0" w:hanging="10"/>
        <w:jc w:val="both"/>
        <w:rPr>
          <w:rFonts w:ascii="Times New Roman;serif" w:hAnsi="Times New Roman;serif"/>
          <w:b w:val="false"/>
          <w:color w:val="000000"/>
          <w:sz w:val="22"/>
        </w:rPr>
      </w:pPr>
      <w:r>
        <w:rPr>
          <w:rFonts w:ascii="Times New Roman;serif" w:hAnsi="Times New Roman;serif"/>
          <w:b w:val="false"/>
          <w:color w:val="000000"/>
          <w:sz w:val="22"/>
        </w:rPr>
        <w:t xml:space="preserve">This agreement, the Severance Agreement and the non-disclosure, stock option and RSU agreements referred to above constitute the entire agreement between you and the Company regarding the terms and conditions of your employment, and they supersede all prior or contemporaneous negotiations, representations or agreements between you and the Company. The provisions of this agreement regarding “at will” employment and arbitration may only be modified by a document signed by you and an authorized representative of the Company.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Please sign and date this letter on the spaces provided below to acknowledge your acceptance of the terms of this agreement on or before Tuesday, July 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John, we look forward to having you join the Ardelyx team.</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Sincerely,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Ardelyx, Inc.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Mike Raab                    </w:t>
      </w:r>
      <w:r>
        <w:rPr>
          <w:color w:val="000000"/>
        </w:rPr>
        <w:t xml:space="preserve">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Mike Raab, President and Chief Executive Officer</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 agree to and accept employment with Ardelyx on the terms and conditions set forth in this agreement. I understand and agree that my employment with the Company is at-will.</w:t>
      </w:r>
    </w:p>
    <w:p>
      <w:pPr>
        <w:pStyle w:val="TextBody"/>
        <w:bidi w:val="0"/>
        <w:spacing w:lineRule="auto" w:line="292" w:before="0" w:after="13"/>
        <w:ind w:left="0" w:right="0" w:hanging="10"/>
        <w:jc w:val="right"/>
        <w:rPr>
          <w:color w:val="000000"/>
        </w:rPr>
      </w:pPr>
      <w:r>
        <w:rPr>
          <w:color w:val="000000"/>
        </w:rPr>
        <w:t>            </w:t>
      </w:r>
    </w:p>
    <w:tbl>
      <w:tblPr>
        <w:tblW w:w="4930" w:type="dxa"/>
        <w:jc w:val="right"/>
        <w:tblInd w:w="0" w:type="dxa"/>
        <w:tblLayout w:type="fixed"/>
        <w:tblCellMar>
          <w:top w:w="28" w:type="dxa"/>
          <w:left w:w="28" w:type="dxa"/>
          <w:bottom w:w="28" w:type="dxa"/>
          <w:right w:w="28" w:type="dxa"/>
        </w:tblCellMar>
      </w:tblPr>
      <w:tblGrid>
        <w:gridCol w:w="635"/>
        <w:gridCol w:w="558"/>
        <w:gridCol w:w="561"/>
        <w:gridCol w:w="109"/>
        <w:gridCol w:w="109"/>
        <w:gridCol w:w="109"/>
        <w:gridCol w:w="832"/>
        <w:gridCol w:w="832"/>
        <w:gridCol w:w="1185"/>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2"/>
              </w:rPr>
            </w:pPr>
            <w:r>
              <w:rPr>
                <w:rFonts w:ascii="Times New Roman;serif" w:hAnsi="Times New Roman;serif"/>
                <w:b w:val="false"/>
                <w:color w:val="000000"/>
                <w:sz w:val="22"/>
              </w:rPr>
              <w:t>Date: 06/30/2025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2"/>
              </w:rPr>
            </w:pPr>
            <w:r>
              <w:rPr>
                <w:rFonts w:ascii="Times New Roman;serif" w:hAnsi="Times New Roman;serif"/>
                <w:b w:val="false"/>
                <w:color w:val="000000"/>
                <w:sz w:val="22"/>
              </w:rPr>
              <w:t>/s/ John E. Bishop</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2"/>
              </w:rPr>
            </w:pPr>
            <w:r>
              <w:rPr>
                <w:rFonts w:ascii="Times New Roman;serif" w:hAnsi="Times New Roman;serif"/>
                <w:b w:val="false"/>
                <w:color w:val="000000"/>
                <w:sz w:val="22"/>
              </w:rPr>
              <w:t>John E. Bishop, Ph.D., MBA</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92" w:before="0" w:after="13"/>
        <w:ind w:left="0" w:right="0" w:hanging="10"/>
        <w:jc w:val="right"/>
        <w:rPr>
          <w:rFonts w:ascii="Times New Roman;serif" w:hAnsi="Times New Roman;serif"/>
          <w:b/>
          <w:color w:val="000000"/>
          <w:sz w:val="22"/>
        </w:rPr>
      </w:pPr>
      <w:r>
        <w:rPr>
          <w:rFonts w:ascii="Times New Roman;serif" w:hAnsi="Times New Roman;serif"/>
          <w:b/>
          <w:color w:val="000000"/>
          <w:sz w:val="22"/>
        </w:rPr>
        <w:t>Exhibit 10.4</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3"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3"/>
                              <w:ind w:left="0" w:right="0" w:hanging="1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13"/>
                        <w:ind w:left="0" w:right="0" w:hanging="10"/>
                        <w:jc w:val="both"/>
                        <w:rPr/>
                      </w:pPr>
                      <w:r>
                        <w:rPr/>
                      </w:r>
                    </w:p>
                  </w:txbxContent>
                </v:textbox>
                <w10:wrap type="none"/>
              </v:rect>
            </w:pict>
          </mc:Fallback>
        </mc:AlternateContent>
      </w:r>
    </w:p>
    <w:p>
      <w:pPr>
        <w:pStyle w:val="TextBody"/>
        <w:bidi w:val="0"/>
        <w:spacing w:lineRule="auto" w:line="288" w:before="0" w:after="0"/>
        <w:jc w:val="center"/>
        <w:rPr/>
      </w:pPr>
      <w:r>
        <w:rPr/>
        <w:drawing>
          <wp:inline distT="0" distB="0" distL="0" distR="0">
            <wp:extent cx="2190750" cy="495300"/>
            <wp:effectExtent l="0" t="0" r="0" b="0"/>
            <wp:docPr id="8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 descr=""/>
                    <pic:cNvPicPr>
                      <a:picLocks noChangeAspect="1" noChangeArrowheads="1"/>
                    </pic:cNvPicPr>
                  </pic:nvPicPr>
                  <pic:blipFill>
                    <a:blip r:embed="rId8"/>
                    <a:stretch>
                      <a:fillRect/>
                    </a:stretch>
                  </pic:blipFill>
                  <pic:spPr bwMode="auto">
                    <a:xfrm>
                      <a:off x="0" y="0"/>
                      <a:ext cx="2190750" cy="495300"/>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May 29,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Edward Conner, M.D.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Dear 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behalf of Ardelyx (the “Company”), I am pleased to offer you employment in the exempt position of Chief Medical Officer, reporting to Mike Raab, President and Chief Executive Officer. In this role, you will be a member of the Executive Leadership Team. If you accept this offer, you and the Company will enter into a Change in Control Severance Agreement that will further define some of the provisions set forth in this offer letter (the “Severance Agreement”). Please note that this employment offer is contingent upon the successful completion of reference and background checks paid for by the Company. Negative information may result in the rescission of this offer.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Your first day of full-time employment with Ardelyx is currently scheduled for August 7, 2025, which may be changed based upon the agreement between you and the Company. Your salary for this position will be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$530,000 on an annualized basis, less applicable tax and other withholdings in accordance with the Company’s normal payroll procedure.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You will be eligible to participate in various Company equity and benefit plans, including group health insurance, 401(k), the Employee Stock Purchase Plan and Flexible Time Off (FTO). In addition to your initial equity grants described below, you will be eligible to receive annual equity grants at the discretion of the Board of Directors, based on both individual and Company performance and the status of the Company’s equity plans from which employee equity may be granted.</w:t>
      </w:r>
    </w:p>
    <w:p>
      <w:pPr>
        <w:pStyle w:val="TextBody"/>
        <w:bidi w:val="0"/>
        <w:spacing w:before="0" w:after="0"/>
        <w:ind w:left="0" w:right="0" w:hanging="1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addition, you will be eligible to participate in our annual bonus plan. This bonus will be awarded at the discretion of the Board of Directors and based on both individual and Company performance. The target bonus for this position is 45% of base salary. This bonus is discretionary, and the business and individual objectives are set by you and your manager. Consistent with Company policy, your bonus for 2025 will be pro-rated for the time you are employed by the Company during 2025.</w:t>
      </w:r>
    </w:p>
    <w:p>
      <w:pPr>
        <w:pStyle w:val="TextBody"/>
        <w:bidi w:val="0"/>
        <w:spacing w:before="0" w:after="0"/>
        <w:ind w:left="0" w:right="0" w:hanging="1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Subject to the approval of the Company’s Compensation Committee of the Board of Directors, or its designee, on or after your first day of employment, you will be granted an option to purchase 463,268 shares of Company common stock (the “Stock Option”) and restricted stock units covering 302,260 shares of common stock (“RSUs”). The exercise price for the Stock Option will be equal to the fair market value of Ardelyx stock on your option grant date. Your Stock Option will vest over a period of 4 years, with 25% of the shares vesting at the end of your first year of employment, and the remainder vesting monthly over the following three years. Your RSUs will vest as follows: 25% of the shares vesting on the first Company designated RSU vest date following the first anniversary of your commencement of employment and the remainder vesting quarterly over the next three years on the Company’s quarterly designated RSU vest dates. Equity compensation will be subject to the terms and conditions of the Company’s equity incentive plan and standard forms of stock option and RSU agreements, which you will be required to accept as a condition of receiving the option and RSU. You will be eligible to receive annual equity grants going forward consistent </w:t>
      </w:r>
    </w:p>
    <w:p>
      <w:pPr>
        <w:pStyle w:val="TextBody"/>
        <w:bidi w:val="0"/>
        <w:spacing w:before="0" w:after="13"/>
        <w:ind w:left="0" w:right="0" w:hanging="10"/>
        <w:jc w:val="both"/>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51155"/>
                <wp:effectExtent l="0" t="0" r="0" b="0"/>
                <wp:wrapNone/>
                <wp:docPr id="85" name="Frame8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hanging="10"/>
                              <w:jc w:val="center"/>
                              <w:rPr>
                                <w:rFonts w:ascii="Times New Roman;serif" w:hAnsi="Times New Roman;serif"/>
                                <w:b w:val="false"/>
                                <w:color w:val="BFBFBF"/>
                                <w:sz w:val="20"/>
                              </w:rPr>
                            </w:pPr>
                            <w:r>
                              <w:rPr>
                                <w:rFonts w:ascii="Times New Roman;serif" w:hAnsi="Times New Roman;serif"/>
                                <w:b w:val="false"/>
                                <w:color w:val="BFBFBF"/>
                                <w:sz w:val="20"/>
                              </w:rPr>
                              <w:t>400 Fifth Avenue, Suite 210 | Waltham, MA 02451| 510.745.1700 |ardelyx.com</w:t>
                            </w:r>
                            <w:r>
                              <w:br w:type="page"/>
                            </w:r>
                          </w:p>
                          <w:p>
                            <w:pPr>
                              <w:pStyle w:val="TextBody"/>
                              <w:bidi w:val="0"/>
                              <w:spacing w:before="0" w:after="0"/>
                              <w:ind w:left="0" w:right="0" w:hanging="1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10"/>
                        <w:jc w:val="center"/>
                        <w:rPr>
                          <w:rFonts w:ascii="Times New Roman;serif" w:hAnsi="Times New Roman;serif"/>
                          <w:b w:val="false"/>
                          <w:color w:val="BFBFBF"/>
                          <w:sz w:val="20"/>
                        </w:rPr>
                      </w:pPr>
                      <w:r>
                        <w:rPr>
                          <w:rFonts w:ascii="Times New Roman;serif" w:hAnsi="Times New Roman;serif"/>
                          <w:b w:val="false"/>
                          <w:color w:val="BFBFBF"/>
                          <w:sz w:val="20"/>
                        </w:rPr>
                        <w:t>400 Fifth Avenue, Suite 210 | Waltham, MA 02451| 510.745.1700 |ardelyx.com</w:t>
                      </w:r>
                    </w:p>
                    <w:p>
                      <w:pPr>
                        <w:pStyle w:val="TextBody"/>
                        <w:bidi w:val="0"/>
                        <w:spacing w:before="0" w:after="0"/>
                        <w:ind w:left="0" w:right="0" w:hanging="10"/>
                        <w:jc w:val="both"/>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with Company practice, and your equity grant for 2026 will be pro-rated to deliver 75% of the annual long term incentive value determined by the Compensation Committee of the Board of Directors.</w:t>
      </w:r>
    </w:p>
    <w:p>
      <w:pPr>
        <w:pStyle w:val="TextBody"/>
        <w:bidi w:val="0"/>
        <w:spacing w:before="0" w:after="0"/>
        <w:ind w:left="0" w:right="0" w:hanging="10"/>
        <w:jc w:val="both"/>
        <w:rPr/>
      </w:pPr>
      <w:r>
        <w:rPr/>
      </w:r>
    </w:p>
    <w:p>
      <w:pPr>
        <w:pStyle w:val="TextBody"/>
        <w:bidi w:val="0"/>
        <w:spacing w:lineRule="auto" w:line="288" w:before="0" w:after="0"/>
        <w:ind w:left="0" w:right="0" w:hanging="10"/>
        <w:jc w:val="both"/>
        <w:rPr>
          <w:rFonts w:ascii="Times New Roman;serif" w:hAnsi="Times New Roman;serif"/>
          <w:b w:val="false"/>
          <w:color w:val="000000"/>
          <w:sz w:val="22"/>
        </w:rPr>
      </w:pPr>
      <w:r>
        <w:rPr>
          <w:rFonts w:ascii="Times New Roman;serif" w:hAnsi="Times New Roman;serif"/>
          <w:b w:val="false"/>
          <w:color w:val="000000"/>
          <w:sz w:val="22"/>
        </w:rPr>
        <w:t>Your employment with the Company is “at will.” This means it is for no specified term and may be terminated by you or the Company at any time, with or without cause or notice. In addition, subject to the terms of the Severance Agreement, the Company reserves the right to modify your compensation, position, duties or reporting relationship to meet business needs and to decide on appropriate discipline.</w:t>
      </w:r>
    </w:p>
    <w:p>
      <w:pPr>
        <w:pStyle w:val="TextBody"/>
        <w:bidi w:val="0"/>
        <w:spacing w:before="0" w:after="0"/>
        <w:ind w:left="0" w:right="0" w:hanging="1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 a condition of your employment, you will be required to sign the Company’s standard form of employee nondisclosure and assignment agreement, and to provide the Company with documents establishing your identity and right to work in the United States. Those documents must be provided to the Company within three business days of your employment start date.</w:t>
      </w:r>
    </w:p>
    <w:p>
      <w:pPr>
        <w:pStyle w:val="TextBody"/>
        <w:bidi w:val="0"/>
        <w:spacing w:before="0" w:after="0"/>
        <w:ind w:left="0" w:right="0" w:hanging="1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the event of any dispute or claim relating to or arising out of your employment relationship with the Company, this agreement, or the termination of your employment with the Company for any reason (including, but not limited to, any claims of breach of contract, defamation, wrongful termination or age, sex, sexual orientation, race, color, national origin, ancestry, marital status, religious creed, physical or mental disability or medical condition or other discrimination, retaliation or harassment), you and the Company agree that all such disputes shall be fully resolved by confidential, binding arbitration conducted by a single arbitrator through the American Arbitration Association (“AAA”) under the AAA’s National Rules for the Resolution of Employment Disputes then in effect, which are available online at the AAA’s website at www.adr.org. You and the Company hereby waive your respective rights to have any such disputes or claims tried before a judge or jury.</w:t>
      </w:r>
    </w:p>
    <w:p>
      <w:pPr>
        <w:pStyle w:val="TextBody"/>
        <w:bidi w:val="0"/>
        <w:spacing w:before="0" w:after="0"/>
        <w:ind w:left="0" w:right="0" w:hanging="1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agreement, the Severance Agreement and the non-disclosure, stock option and RSU agreements referred to above constitute the entire agreement between you and the Company regarding the terms and conditions of your employment, and they supersede all prior or contemporaneous negotiations, representations or agreements between you and the Company. The provisions of this agreement regarding “at will” employment and arbitration may only be modified by a document signed by you and an authorized representative of the Company.</w:t>
      </w:r>
    </w:p>
    <w:p>
      <w:pPr>
        <w:pStyle w:val="TextBody"/>
        <w:bidi w:val="0"/>
        <w:spacing w:before="0" w:after="0"/>
        <w:jc w:val="both"/>
        <w:rPr/>
      </w:pPr>
      <w:r>
        <w:rPr/>
      </w:r>
    </w:p>
    <w:p>
      <w:pPr>
        <w:pStyle w:val="TextBody"/>
        <w:bidi w:val="0"/>
        <w:spacing w:lineRule="auto" w:line="288" w:before="0" w:after="0"/>
        <w:ind w:left="0" w:right="0" w:hanging="10"/>
        <w:jc w:val="both"/>
        <w:rPr>
          <w:rFonts w:ascii="Times New Roman;serif" w:hAnsi="Times New Roman;serif"/>
          <w:b w:val="false"/>
          <w:color w:val="000000"/>
          <w:sz w:val="22"/>
        </w:rPr>
      </w:pPr>
      <w:r>
        <w:rPr>
          <w:rFonts w:ascii="Times New Roman;serif" w:hAnsi="Times New Roman;serif"/>
          <w:b w:val="false"/>
          <w:color w:val="000000"/>
          <w:sz w:val="22"/>
        </w:rPr>
        <w:t>Please sign and date this letter on the spaces provided below to acknowledge your acceptance of the terms of this agreement on or before Tuesday, May 3,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Ed, we look forward to having you join the Ardelyx team.</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Sincerely,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Ardelyx, Inc.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Mike Raab                    </w:t>
      </w:r>
      <w:r>
        <w:rPr>
          <w:color w:val="000000"/>
        </w:rPr>
        <w:t xml:space="preserve">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Mike Raab, President and Chief Executive Officer</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 agree to and accept employment with Ardelyx on the terms and conditions set forth in this agreement. I understand and agree that my employment with the Company is at-will.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color w:val="000000"/>
        </w:rPr>
      </w:pPr>
      <w:r>
        <w:rPr>
          <w:color w:val="000000"/>
        </w:rPr>
        <w:t>            </w:t>
      </w:r>
    </w:p>
    <w:tbl>
      <w:tblPr>
        <w:tblW w:w="4300" w:type="dxa"/>
        <w:jc w:val="right"/>
        <w:tblInd w:w="0" w:type="dxa"/>
        <w:tblLayout w:type="fixed"/>
        <w:tblCellMar>
          <w:top w:w="28" w:type="dxa"/>
          <w:left w:w="28" w:type="dxa"/>
          <w:bottom w:w="28" w:type="dxa"/>
          <w:right w:w="28" w:type="dxa"/>
        </w:tblCellMar>
      </w:tblPr>
      <w:tblGrid>
        <w:gridCol w:w="635"/>
        <w:gridCol w:w="558"/>
        <w:gridCol w:w="561"/>
        <w:gridCol w:w="109"/>
        <w:gridCol w:w="109"/>
        <w:gridCol w:w="109"/>
        <w:gridCol w:w="649"/>
        <w:gridCol w:w="649"/>
        <w:gridCol w:w="921"/>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2"/>
              </w:rPr>
            </w:pPr>
            <w:r>
              <w:rPr>
                <w:rFonts w:ascii="Times New Roman;serif" w:hAnsi="Times New Roman;serif"/>
                <w:b w:val="false"/>
                <w:color w:val="000000"/>
                <w:sz w:val="22"/>
              </w:rPr>
              <w:t>Date: 06/03/2025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2"/>
              </w:rPr>
            </w:pPr>
            <w:r>
              <w:rPr>
                <w:rFonts w:ascii="Times New Roman;serif" w:hAnsi="Times New Roman;serif"/>
                <w:b w:val="false"/>
                <w:color w:val="000000"/>
                <w:sz w:val="22"/>
              </w:rPr>
              <w:t>/s/ Edward Conner</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2"/>
              </w:rPr>
            </w:pPr>
            <w:r>
              <w:rPr>
                <w:rFonts w:ascii="Times New Roman;serif" w:hAnsi="Times New Roman;serif"/>
                <w:b w:val="false"/>
                <w:color w:val="000000"/>
                <w:sz w:val="22"/>
              </w:rPr>
              <w:t>Edward Conner, M.D.</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3"/>
                              <w:ind w:left="0" w:right="0" w:hanging="1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3"/>
                        <w:ind w:left="0" w:right="0" w:hanging="10"/>
                        <w:jc w:val="both"/>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Michael Raab, certify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Ardelyx, Inc.;</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879" w:type="dxa"/>
        <w:jc w:val="left"/>
        <w:tblInd w:w="0" w:type="dxa"/>
        <w:tblLayout w:type="fixed"/>
        <w:tblCellMar>
          <w:top w:w="28" w:type="dxa"/>
          <w:left w:w="28" w:type="dxa"/>
          <w:bottom w:w="28" w:type="dxa"/>
          <w:right w:w="28" w:type="dxa"/>
        </w:tblCellMar>
      </w:tblPr>
      <w:tblGrid>
        <w:gridCol w:w="726"/>
        <w:gridCol w:w="640"/>
        <w:gridCol w:w="643"/>
        <w:gridCol w:w="109"/>
        <w:gridCol w:w="109"/>
        <w:gridCol w:w="109"/>
        <w:gridCol w:w="134"/>
        <w:gridCol w:w="134"/>
        <w:gridCol w:w="136"/>
        <w:gridCol w:w="1210"/>
        <w:gridCol w:w="1210"/>
        <w:gridCol w:w="1719"/>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Raab</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Michael Raab</w:t>
              <w:br/>
              <w:t>President, Chief Executive Officer and Director</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Justin Renz, certify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Ardelyx, Inc.;</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189" w:type="dxa"/>
        <w:jc w:val="center"/>
        <w:tblInd w:w="0" w:type="dxa"/>
        <w:tblLayout w:type="fixed"/>
        <w:tblCellMar>
          <w:top w:w="28" w:type="dxa"/>
          <w:left w:w="28" w:type="dxa"/>
          <w:bottom w:w="28" w:type="dxa"/>
          <w:right w:w="28" w:type="dxa"/>
        </w:tblCellMar>
      </w:tblPr>
      <w:tblGrid>
        <w:gridCol w:w="726"/>
        <w:gridCol w:w="640"/>
        <w:gridCol w:w="643"/>
        <w:gridCol w:w="109"/>
        <w:gridCol w:w="109"/>
        <w:gridCol w:w="109"/>
        <w:gridCol w:w="134"/>
        <w:gridCol w:w="134"/>
        <w:gridCol w:w="136"/>
        <w:gridCol w:w="1008"/>
        <w:gridCol w:w="1008"/>
        <w:gridCol w:w="1433"/>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Justin Renz</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Justin Renz</w:t>
              <w:br/>
              <w:t>Chief Financial and Operations Officer</w:t>
              <w:b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 SECTION 906</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Ardelyx, Inc. (the “Company”) on Form 10-Q for the period ending September 30, 2025, as filed with the Securities and Exchange Commission on the date hereof (the “Report”), Michael Raab, President and Chief Executive Officer of the Company, and Justin Renz, Chief Financial and Operations Officer of the Company, respectively, do each hereby certify, pursuant to 18 U.S.C. Section 1350, as adopted pursuant to Section 906 of the Sarbanes-Oxley Act of 2002,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 of operations of the Company.</w:t>
      </w:r>
    </w:p>
    <w:tbl>
      <w:tblPr>
        <w:tblW w:w="6879" w:type="dxa"/>
        <w:jc w:val="left"/>
        <w:tblInd w:w="0" w:type="dxa"/>
        <w:tblLayout w:type="fixed"/>
        <w:tblCellMar>
          <w:top w:w="28" w:type="dxa"/>
          <w:left w:w="28" w:type="dxa"/>
          <w:bottom w:w="28" w:type="dxa"/>
          <w:right w:w="28" w:type="dxa"/>
        </w:tblCellMar>
      </w:tblPr>
      <w:tblGrid>
        <w:gridCol w:w="726"/>
        <w:gridCol w:w="640"/>
        <w:gridCol w:w="643"/>
        <w:gridCol w:w="109"/>
        <w:gridCol w:w="109"/>
        <w:gridCol w:w="109"/>
        <w:gridCol w:w="134"/>
        <w:gridCol w:w="134"/>
        <w:gridCol w:w="136"/>
        <w:gridCol w:w="1210"/>
        <w:gridCol w:w="1210"/>
        <w:gridCol w:w="1719"/>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Raab</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Michael Raab</w:t>
              <w:br/>
              <w:t>President, Chief Executive Officer and Director</w:t>
              <w:br/>
              <w:t>(Principal Executive Officer)</w:t>
            </w:r>
          </w:p>
        </w:tc>
      </w:tr>
    </w:tbl>
    <w:tbl>
      <w:tblPr>
        <w:tblW w:w="6189" w:type="dxa"/>
        <w:jc w:val="left"/>
        <w:tblInd w:w="0" w:type="dxa"/>
        <w:tblLayout w:type="fixed"/>
        <w:tblCellMar>
          <w:top w:w="28" w:type="dxa"/>
          <w:left w:w="28" w:type="dxa"/>
          <w:bottom w:w="28" w:type="dxa"/>
          <w:right w:w="28" w:type="dxa"/>
        </w:tblCellMar>
      </w:tblPr>
      <w:tblGrid>
        <w:gridCol w:w="726"/>
        <w:gridCol w:w="640"/>
        <w:gridCol w:w="643"/>
        <w:gridCol w:w="109"/>
        <w:gridCol w:w="109"/>
        <w:gridCol w:w="109"/>
        <w:gridCol w:w="134"/>
        <w:gridCol w:w="134"/>
        <w:gridCol w:w="136"/>
        <w:gridCol w:w="1008"/>
        <w:gridCol w:w="1008"/>
        <w:gridCol w:w="1433"/>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Justin Renz</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Justin Renz</w:t>
              <w:br/>
              <w:t>Chief Financial and Operations Officer</w:t>
              <w:br/>
              <w:t>(Principal Financial Officer)</w:t>
            </w:r>
          </w:p>
        </w:tc>
      </w:tr>
    </w:tbl>
    <w:p>
      <w:pPr>
        <w:pStyle w:val="TextBody"/>
        <w:bidi w:val="0"/>
        <w:spacing w:before="20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37402/000119312514247380/d748616dex31.htm" TargetMode="External"/><Relationship Id="rId4" Type="http://schemas.openxmlformats.org/officeDocument/2006/relationships/hyperlink" Target="https://www.sec.gov/Archives/edgar/data/1437402/000162828023022681/certificateofamendment6-16.htm" TargetMode="External"/><Relationship Id="rId5" Type="http://schemas.openxmlformats.org/officeDocument/2006/relationships/hyperlink" Target="https://www.sec.gov/Archives/edgar/data/1437402/000162828025037441/ardx-20250630xexhibit31.htm" TargetMode="External"/><Relationship Id="rId6" Type="http://schemas.openxmlformats.org/officeDocument/2006/relationships/image" Target="media/image2.png"/><Relationship Id="rId7" Type="http://schemas.openxmlformats.org/officeDocument/2006/relationships/image" Target="media/image2.png"/><Relationship Id="rId8" Type="http://schemas.openxmlformats.org/officeDocument/2006/relationships/image" Target="media/image2.pn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51883</Words>
  <Characters>286280</Characters>
  <CharactersWithSpaces>336176</CharactersWithSpaces>
  <Paragraphs>3501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