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Kelliher Mike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03/25/2024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ARDELYX, INC.</w:t>
              </w:r>
            </w:hyperlink>
            <w:r>
              <w:rPr/>
              <w:t xml:space="preserve"> [ </w:t>
            </w:r>
            <w:r>
              <w:rPr>
                <w:rFonts w:ascii="Times;serif" w:hAnsi="Times;serif"/>
                <w:color w:val="0000FF"/>
                <w:sz w:val="24"/>
                <w:shd w:fill="FFFFFF" w:val="clear"/>
              </w:rPr>
              <w:t>ARDX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Executive Vice President, Corporate Development and Strategy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Mike Kelliher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Times;serif" w:hAnsi="Times New Roman;Times;serif"/>
          <w:b/>
          <w:color w:val="000000"/>
          <w:sz w:val="24"/>
        </w:rPr>
      </w:pPr>
      <w:bookmarkStart w:id="2" w:name="poa.htm"/>
      <w:bookmarkStart w:id="3" w:name="kspoa"/>
      <w:bookmarkEnd w:id="2"/>
      <w:bookmarkEnd w:id="3"/>
      <w:r>
        <w:rPr>
          <w:rFonts w:ascii="Times New Roman;Times;serif" w:hAnsi="Times New Roman;Times;serif"/>
          <w:b/>
          <w:color w:val="000000"/>
          <w:sz w:val="24"/>
        </w:rPr>
        <w:t>POWER OF ATTORNEY</w:t>
      </w:r>
      <w:r>
        <w:br w:type="page"/>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Know all by these presents, that the undersigned hereby constitutes and appoints each of (i) the Chief Executive Officer of Ardelyx, Inc.,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who is currently Michael Raab, (ii) the Company's Chief Financial and Operations Officer, who is currently Justin Renz and (iii) the Chief Legal and Administrative Officer, who is currently Elizabeth Grammer, and their respective successors, signing singly, with full power of substitution and resubstitution, as the undersigned's true and lawful attorney-in-fact to:</w:t>
      </w:r>
    </w:p>
    <w:p>
      <w:pPr>
        <w:pStyle w:val="Normal"/>
        <w:bidi w:val="0"/>
        <w:spacing w:before="0" w:after="0"/>
        <w:jc w:val="left"/>
        <w:rPr>
          <w:sz w:val="4"/>
          <w:szCs w:val="4"/>
        </w:rPr>
      </w:pPr>
      <w:r>
        <w:rPr>
          <w:sz w:val="4"/>
          <w:szCs w:val="4"/>
        </w:rPr>
      </w:r>
      <w:bookmarkStart w:id="4" w:name="z5ab0aaca2c3a451583ae708d3aebdba6"/>
      <w:bookmarkStart w:id="5" w:name="z5ab0aaca2c3a451583ae708d3aebdba6"/>
      <w:bookmarkEnd w:id="5"/>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pPr>
            <w:r>
              <w:rPr/>
            </w:r>
          </w:p>
        </w:tc>
        <w:tc>
          <w:tcPr>
            <w:tcW w:w="284" w:type="dxa"/>
            <w:tcBorders/>
            <w:vAlign w:val="center"/>
          </w:tcPr>
          <w:p>
            <w:pPr>
              <w:pStyle w:val="TableContents"/>
              <w:bidi w:val="0"/>
              <w:spacing w:before="0" w:after="283"/>
              <w:jc w:val="left"/>
              <w:rPr/>
            </w:pPr>
            <w:r>
              <w:rPr/>
              <w:t> </w:t>
            </w:r>
            <w:r>
              <w:rPr/>
              <w:t>(1)</w:t>
            </w:r>
          </w:p>
        </w:tc>
        <w:tc>
          <w:tcPr>
            <w:tcW w:w="9883" w:type="dxa"/>
            <w:tcBorders/>
            <w:vAlign w:val="center"/>
          </w:tcPr>
          <w:p>
            <w:pPr>
              <w:pStyle w:val="TableContents"/>
              <w:bidi w:val="0"/>
              <w:spacing w:before="0" w:after="0"/>
              <w:jc w:val="both"/>
              <w:rPr/>
            </w:pPr>
            <w:r>
              <w:rPr/>
              <w:t>execute for and on behalf of the undersigned, in the undersigned’s capacity as an officer and/or director of the Company, (a) Schedules 13D and 13G in accordance with Section 13 of the Securities Exchange Act of 1934, as amended (the “</w:t>
            </w:r>
            <w:r>
              <w:rPr>
                <w:i/>
              </w:rPr>
              <w:t>Exchange Act</w:t>
            </w:r>
            <w:r>
              <w:rPr/>
              <w:t>”), and the rules thereunder, (b) Forms 3, 4 and 5 (including amendments thereto) in accordance with Section 16(a) of Exchange Act and the rules and regulations thereunder, (c) Notices of Proposed Sale of Securities Pursuant to Rule 144 (“</w:t>
            </w:r>
            <w:r>
              <w:rPr>
                <w:i/>
              </w:rPr>
              <w:t>Form 144</w:t>
            </w:r>
            <w:r>
              <w:rPr/>
              <w:t>”), in accordance with the requirements of Rule 144 under the Securities Act of 1933, as amended (the “</w:t>
            </w:r>
            <w:r>
              <w:rPr>
                <w:i/>
              </w:rPr>
              <w:t>Securities Act</w:t>
            </w:r>
            <w:r>
              <w:rPr/>
              <w:t>”) and (d) Form ID, Uniform Application for Access Codes to File on EDGAR;</w:t>
            </w:r>
          </w:p>
        </w:tc>
      </w:tr>
    </w:tbl>
    <w:p>
      <w:pPr>
        <w:pStyle w:val="Normal"/>
        <w:bidi w:val="0"/>
        <w:spacing w:before="0" w:after="0"/>
        <w:jc w:val="left"/>
        <w:rPr>
          <w:sz w:val="4"/>
          <w:szCs w:val="4"/>
        </w:rPr>
      </w:pPr>
      <w:r>
        <w:rPr>
          <w:sz w:val="4"/>
          <w:szCs w:val="4"/>
        </w:rPr>
      </w:r>
      <w:bookmarkStart w:id="6" w:name="z1424cd74358749d3b0f593e573f110b4"/>
      <w:bookmarkStart w:id="7" w:name="z1424cd74358749d3b0f593e573f110b4"/>
      <w:bookmarkEnd w:id="7"/>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both"/>
              <w:rPr/>
            </w:pPr>
            <w:r>
              <w:rPr/>
              <w:t>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United States Securities and Exchange Commission and any stock exchange or similar authority; and</w:t>
            </w:r>
          </w:p>
        </w:tc>
      </w:tr>
    </w:tbl>
    <w:p>
      <w:pPr>
        <w:pStyle w:val="Normal"/>
        <w:bidi w:val="0"/>
        <w:spacing w:before="0" w:after="0"/>
        <w:jc w:val="left"/>
        <w:rPr>
          <w:sz w:val="4"/>
          <w:szCs w:val="4"/>
        </w:rPr>
      </w:pPr>
      <w:r>
        <w:rPr>
          <w:sz w:val="4"/>
          <w:szCs w:val="4"/>
        </w:rPr>
      </w:r>
      <w:bookmarkStart w:id="8" w:name="za4174a75aa75460f9f72c8eaf80337d0"/>
      <w:bookmarkStart w:id="9" w:name="za4174a75aa75460f9f72c8eaf80337d0"/>
      <w:bookmarkEnd w:id="9"/>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0"/>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24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w:t>
      </w:r>
    </w:p>
    <w:p>
      <w:pPr>
        <w:pStyle w:val="TextBody"/>
        <w:bidi w:val="0"/>
        <w:spacing w:before="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spacing w:before="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Power of Attorney supersedes any power of attorney previously executed by the undersigned regarding the purposes outlined in the first paragraph hereof (“</w:t>
      </w:r>
      <w:r>
        <w:rPr>
          <w:rFonts w:ascii="Times New Roman;Times;serif" w:hAnsi="Times New Roman;Times;serif"/>
          <w:b/>
          <w:i/>
          <w:color w:val="000000"/>
          <w:sz w:val="20"/>
        </w:rPr>
        <w:t>Prior Powers of Attorney</w:t>
      </w:r>
      <w:r>
        <w:rPr>
          <w:rFonts w:ascii="Times New Roman;Times;serif" w:hAnsi="Times New Roman;Times;serif"/>
          <w:color w:val="000000"/>
          <w:sz w:val="20"/>
        </w:rPr>
        <w:t>”), and the authority of the attorneys-in-fact named in any Prior Powers of Attorney is hereby revoked.</w:t>
      </w:r>
    </w:p>
    <w:p>
      <w:pPr>
        <w:pStyle w:val="TextBody"/>
        <w:bidi w:val="0"/>
        <w:spacing w:before="0" w:after="24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has caused this Power of Attorney to be executed as of this 26th day of March, 2024.</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Times;serif" w:hAnsi="Times New Roman;Times;serif"/>
          <w:color w:val="000000"/>
          <w:sz w:val="20"/>
          <w:u w:val="single"/>
        </w:rPr>
      </w:pPr>
      <w:r>
        <w:rPr>
          <w:rFonts w:ascii="Times New Roman;Times;serif" w:hAnsi="Times New Roman;Times;serif"/>
          <w:color w:val="000000"/>
          <w:sz w:val="20"/>
          <w:u w:val="single"/>
        </w:rPr>
        <w:t>/s/ Michael Kelliher</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Michael Kelliher</w:t>
      </w:r>
    </w:p>
    <w:p>
      <w:pPr>
        <w:pStyle w:val="TextBody"/>
        <w:bidi w:val="0"/>
        <w:spacing w:before="0" w:after="0"/>
        <w:jc w:val="left"/>
        <w:rPr/>
      </w:pPr>
      <w:r>
        <w:rPr/>
      </w:r>
    </w:p>
    <w:p>
      <w:pPr>
        <w:pStyle w:val="TextBody"/>
        <w:bidi w:val="0"/>
        <w:spacing w:before="0" w:after="0"/>
        <w:ind w:left="5580" w:right="0" w:firstLine="180"/>
        <w:jc w:val="left"/>
        <w:rPr>
          <w:b/>
        </w:rPr>
      </w:pPr>
      <w:r>
        <w:rPr>
          <w:b/>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7188" TargetMode="External"/><Relationship Id="rId3" Type="http://schemas.openxmlformats.org/officeDocument/2006/relationships/hyperlink" Target="http://www.sec.gov/cgi-bin/browse-edgar?action=getcompany&amp;CIK=000143740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1186</Words>
  <Characters>6387</Characters>
  <CharactersWithSpaces>7518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