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Bhanji Muna</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6"/>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ARDELYX,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03/11/2021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ARDELYX,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34175 ARDENWOOD BLVD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94555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7.01</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03/11/2021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63,687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03/11/2031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63,687</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63,687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6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36 successive, equal monthly installments on each monthly anniversary of March 11, 2021, subject to the Reporting Person's continued employment or service relationship with the Issuer on each such vesting date.</w:t>
      </w:r>
    </w:p>
    <w:p>
      <w:pPr>
        <w:spacing w:after="0" w:line="5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86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Muna</w:t>
      </w:r>
      <w:r>
        <w:rPr>
          <w:sz w:val="20"/>
          <w:szCs w:val="20"/>
          <w:color w:val="auto"/>
        </w:rPr>
        <w:tab/>
      </w:r>
      <w:r>
        <w:rPr>
          <w:rFonts w:ascii="Arial" w:cs="Arial" w:eastAsia="Arial" w:hAnsi="Arial"/>
          <w:sz w:val="15"/>
          <w:szCs w:val="15"/>
          <w:color w:val="0000FF"/>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83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6905"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2021-03-15T15:48:34Z</dcterms:created>
  <dcterms:modified xsi:type="dcterms:W3CDTF">2021-03-15T15:48:34Z</dcterms:modified>
</cp:coreProperties>
</file>