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420370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64135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4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96520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8"/>
          <w:szCs w:val="18"/>
          <w:color w:val="auto"/>
        </w:rPr>
        <w:t>(Mark One)</w:t>
      </w:r>
    </w:p>
    <w:p>
      <w:pPr>
        <w:spacing w:after="0" w:line="36" w:lineRule="exact"/>
        <w:rPr>
          <w:sz w:val="24"/>
          <w:szCs w:val="24"/>
          <w:color w:val="auto"/>
        </w:rPr>
      </w:pPr>
    </w:p>
    <w:p>
      <w:pPr>
        <w:ind w:left="430" w:right="160" w:hanging="430"/>
        <w:spacing w:after="0" w:line="198" w:lineRule="auto"/>
        <w:tabs>
          <w:tab w:leader="none" w:pos="430" w:val="left"/>
        </w:tabs>
        <w:numPr>
          <w:ilvl w:val="0"/>
          <w:numId w:val="1"/>
        </w:numPr>
        <w:rPr>
          <w:rFonts w:ascii="Arial" w:cs="Arial" w:eastAsia="Arial" w:hAnsi="Arial"/>
          <w:sz w:val="29"/>
          <w:szCs w:val="29"/>
          <w:color w:val="auto"/>
          <w:vertAlign w:val="superscript"/>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-300355</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2020</w:t>
      </w:r>
    </w:p>
    <w:p>
      <w:pPr>
        <w:spacing w:after="0" w:line="7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30" w:right="160" w:hanging="430"/>
        <w:spacing w:after="0" w:line="198" w:lineRule="auto"/>
        <w:tabs>
          <w:tab w:leader="none" w:pos="430" w:val="left"/>
        </w:tabs>
        <w:numPr>
          <w:ilvl w:val="0"/>
          <w:numId w:val="2"/>
        </w:numPr>
        <w:rPr>
          <w:rFonts w:ascii="Arial" w:cs="Arial" w:eastAsia="Arial" w:hAnsi="Arial"/>
          <w:sz w:val="29"/>
          <w:szCs w:val="29"/>
          <w:color w:val="auto"/>
          <w:vertAlign w:val="superscript"/>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-300355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10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80" w:type="dxa"/>
            <w:vAlign w:val="bottom"/>
            <w:gridSpan w:val="5"/>
          </w:tcPr>
          <w:p>
            <w:pPr>
              <w:jc w:val="center"/>
              <w:ind w:right="3259"/>
              <w:spacing w:after="0"/>
              <w:rPr>
                <w:sz w:val="20"/>
                <w:szCs w:val="20"/>
                <w:color w:val="auto"/>
              </w:rPr>
            </w:pPr>
            <w:r>
              <w:rPr>
                <w:rFonts w:ascii="Times New Roman" w:cs="Times New Roman" w:eastAsia="Times New Roman" w:hAnsi="Times New Roman"/>
                <w:sz w:val="18"/>
                <w:szCs w:val="18"/>
                <w:b w:val="1"/>
                <w:bCs w:val="1"/>
                <w:color w:val="auto"/>
              </w:rPr>
              <w:t>Commission file number: 001-36485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6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gridSpan w:val="2"/>
          </w:tcPr>
          <w:p>
            <w:pPr>
              <w:jc w:val="center"/>
              <w:ind w:left="26"/>
              <w:spacing w:after="0"/>
              <w:rPr>
                <w:sz w:val="20"/>
                <w:szCs w:val="20"/>
                <w:color w:val="auto"/>
              </w:rPr>
            </w:pPr>
            <w:r>
              <w:rPr>
                <w:rFonts w:ascii="Times New Roman" w:cs="Times New Roman" w:eastAsia="Times New Roman" w:hAnsi="Times New Roman"/>
                <w:sz w:val="29"/>
                <w:szCs w:val="29"/>
                <w:b w:val="1"/>
                <w:bCs w:val="1"/>
                <w:color w:val="auto"/>
                <w:w w:val="98"/>
              </w:rPr>
              <w:t>ARDELYX, INC.</w:t>
            </w: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60" w:type="dxa"/>
            <w:vAlign w:val="bottom"/>
            <w:gridSpan w:val="6"/>
          </w:tcPr>
          <w:p>
            <w:pPr>
              <w:jc w:val="center"/>
              <w:ind w:right="29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gridSpan w:val="3"/>
          </w:tcPr>
          <w:p>
            <w:pPr>
              <w:spacing w:after="0"/>
              <w:rPr>
                <w:sz w:val="9"/>
                <w:szCs w:val="9"/>
                <w:color w:val="auto"/>
              </w:rPr>
            </w:pPr>
          </w:p>
        </w:tc>
        <w:tc>
          <w:tcPr>
            <w:tcW w:w="246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62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940" w:type="dxa"/>
            <w:vAlign w:val="bottom"/>
            <w:gridSpan w:val="2"/>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26-1303944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gridSpan w:val="5"/>
          </w:tcPr>
          <w:p>
            <w:pPr>
              <w:jc w:val="center"/>
              <w:ind w:right="10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100" w:type="dxa"/>
            <w:vAlign w:val="bottom"/>
          </w:tcPr>
          <w:p>
            <w:pPr>
              <w:spacing w:after="0"/>
              <w:rPr>
                <w:sz w:val="20"/>
                <w:szCs w:val="20"/>
                <w:color w:val="auto"/>
              </w:rPr>
            </w:pPr>
          </w:p>
        </w:tc>
        <w:tc>
          <w:tcPr>
            <w:tcW w:w="3840" w:type="dxa"/>
            <w:vAlign w:val="bottom"/>
          </w:tcPr>
          <w:p>
            <w:pPr>
              <w:jc w:val="center"/>
              <w:ind w:right="1079"/>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60" w:type="dxa"/>
            <w:vAlign w:val="bottom"/>
            <w:gridSpan w:val="2"/>
          </w:tcPr>
          <w:p>
            <w:pPr>
              <w:jc w:val="center"/>
              <w:ind w:left="6"/>
              <w:spacing w:after="0"/>
              <w:rPr>
                <w:sz w:val="20"/>
                <w:szCs w:val="20"/>
                <w:color w:val="auto"/>
              </w:rPr>
            </w:pPr>
            <w:r>
              <w:rPr>
                <w:rFonts w:ascii="Times New Roman" w:cs="Times New Roman" w:eastAsia="Times New Roman" w:hAnsi="Times New Roman"/>
                <w:sz w:val="18"/>
                <w:szCs w:val="18"/>
                <w:b w:val="1"/>
                <w:bCs w:val="1"/>
                <w:color w:val="auto"/>
                <w:w w:val="99"/>
              </w:rPr>
              <w:t>34175 Ardenwood Boulevard,</w:t>
            </w: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60" w:type="dxa"/>
            <w:vAlign w:val="bottom"/>
            <w:gridSpan w:val="2"/>
          </w:tcPr>
          <w:p>
            <w:pPr>
              <w:jc w:val="center"/>
              <w:ind w:left="6"/>
              <w:spacing w:after="0"/>
              <w:rPr>
                <w:sz w:val="20"/>
                <w:szCs w:val="20"/>
                <w:color w:val="auto"/>
              </w:rPr>
            </w:pPr>
            <w:r>
              <w:rPr>
                <w:rFonts w:ascii="Times New Roman" w:cs="Times New Roman" w:eastAsia="Times New Roman" w:hAnsi="Times New Roman"/>
                <w:sz w:val="18"/>
                <w:szCs w:val="18"/>
                <w:b w:val="1"/>
                <w:bCs w:val="1"/>
                <w:color w:val="auto"/>
                <w:w w:val="99"/>
              </w:rPr>
              <w:t>Fremont, California 94555</w:t>
            </w:r>
          </w:p>
        </w:tc>
        <w:tc>
          <w:tcPr>
            <w:tcW w:w="1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60" w:type="dxa"/>
            <w:vAlign w:val="bottom"/>
            <w:gridSpan w:val="6"/>
          </w:tcPr>
          <w:p>
            <w:pPr>
              <w:jc w:val="center"/>
              <w:ind w:right="29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94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(510) 745-1700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60" w:type="dxa"/>
            <w:vAlign w:val="bottom"/>
            <w:gridSpan w:val="6"/>
          </w:tcPr>
          <w:p>
            <w:pPr>
              <w:jc w:val="center"/>
              <w:ind w:right="2999"/>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r>
        <w:trPr>
          <w:trHeight w:val="115"/>
        </w:trPr>
        <w:tc>
          <w:tcPr>
            <w:tcW w:w="3820" w:type="dxa"/>
            <w:vAlign w:val="bottom"/>
            <w:gridSpan w:val="4"/>
          </w:tcPr>
          <w:p>
            <w:pPr>
              <w:spacing w:after="0"/>
              <w:rPr>
                <w:sz w:val="10"/>
                <w:szCs w:val="10"/>
                <w:color w:val="auto"/>
              </w:rPr>
            </w:pPr>
          </w:p>
        </w:tc>
        <w:tc>
          <w:tcPr>
            <w:tcW w:w="2460" w:type="dxa"/>
            <w:vAlign w:val="bottom"/>
            <w:tcBorders>
              <w:bottom w:val="single" w:sz="8" w:color="auto"/>
            </w:tcBorders>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4"/>
        </w:trPr>
        <w:tc>
          <w:tcPr>
            <w:tcW w:w="62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21"/>
                <w:szCs w:val="21"/>
                <w:color w:val="auto"/>
              </w:rPr>
            </w:pPr>
          </w:p>
        </w:tc>
        <w:tc>
          <w:tcPr>
            <w:tcW w:w="38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w:t>
            </w:r>
          </w:p>
        </w:tc>
        <w:tc>
          <w:tcPr>
            <w:tcW w:w="2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2180" w:type="dxa"/>
            <w:vAlign w:val="bottom"/>
          </w:tcPr>
          <w:p>
            <w:pPr>
              <w:jc w:val="center"/>
              <w:ind w:right="406"/>
              <w:spacing w:after="0"/>
              <w:rPr>
                <w:sz w:val="20"/>
                <w:szCs w:val="20"/>
                <w:color w:val="auto"/>
              </w:rPr>
            </w:pPr>
            <w:r>
              <w:rPr>
                <w:rFonts w:ascii="Times New Roman" w:cs="Times New Roman" w:eastAsia="Times New Roman" w:hAnsi="Times New Roman"/>
                <w:sz w:val="14"/>
                <w:szCs w:val="14"/>
                <w:color w:val="auto"/>
              </w:rPr>
              <w:t>ARDX</w:t>
            </w:r>
          </w:p>
        </w:tc>
        <w:tc>
          <w:tcPr>
            <w:tcW w:w="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4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ind w:left="10" w:right="420" w:firstLine="441"/>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10"/>
        <w:spacing w:after="0" w:line="188" w:lineRule="exact"/>
        <w:tabs>
          <w:tab w:leader="none" w:pos="610" w:val="left"/>
          <w:tab w:leader="none" w:pos="1130" w:val="left"/>
        </w:tabs>
        <w:rPr>
          <w:sz w:val="20"/>
          <w:szCs w:val="20"/>
          <w:color w:val="auto"/>
        </w:rPr>
      </w:pPr>
      <w:r>
        <w:rPr>
          <w:rFonts w:ascii="Times New Roman" w:cs="Times New Roman" w:eastAsia="Times New Roman" w:hAnsi="Times New Roman"/>
          <w:sz w:val="14"/>
          <w:szCs w:val="14"/>
          <w:color w:val="auto"/>
        </w:rPr>
        <w:t>90 days.</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559435</wp:posOffset>
            </wp:positionH>
            <wp:positionV relativeFrom="paragraph">
              <wp:posOffset>-104140</wp:posOffset>
            </wp:positionV>
            <wp:extent cx="69215"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871220</wp:posOffset>
            </wp:positionH>
            <wp:positionV relativeFrom="paragraph">
              <wp:posOffset>-104140</wp:posOffset>
            </wp:positionV>
            <wp:extent cx="69215"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5" w:lineRule="exact"/>
        <w:rPr>
          <w:sz w:val="24"/>
          <w:szCs w:val="24"/>
          <w:color w:val="auto"/>
        </w:rPr>
      </w:pPr>
    </w:p>
    <w:p>
      <w:pPr>
        <w:ind w:left="10" w:right="2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ind w:left="10" w:right="320" w:firstLine="441"/>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89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0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c>
          <w:tcPr>
            <w:tcW w:w="160" w:type="dxa"/>
            <w:vAlign w:val="bottom"/>
          </w:tcPr>
          <w:p>
            <w:pPr>
              <w:jc w:val="right"/>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2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00" w:type="dxa"/>
            <w:vAlign w:val="bottom"/>
          </w:tcPr>
          <w:p>
            <w:pPr>
              <w:ind w:left="1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390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60" w:type="dxa"/>
            <w:vAlign w:val="bottom"/>
          </w:tcPr>
          <w:p>
            <w:pPr>
              <w:jc w:val="right"/>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24"/>
        </w:trPr>
        <w:tc>
          <w:tcPr>
            <w:tcW w:w="14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1631315</wp:posOffset>
            </wp:positionH>
            <wp:positionV relativeFrom="paragraph">
              <wp:posOffset>-518160</wp:posOffset>
            </wp:positionV>
            <wp:extent cx="69215" cy="704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-518160</wp:posOffset>
            </wp:positionV>
            <wp:extent cx="69215"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-312420</wp:posOffset>
            </wp:positionV>
            <wp:extent cx="69215"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-312420</wp:posOffset>
            </wp:positionV>
            <wp:extent cx="69215" cy="70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5660390</wp:posOffset>
            </wp:positionH>
            <wp:positionV relativeFrom="paragraph">
              <wp:posOffset>-106680</wp:posOffset>
            </wp:positionV>
            <wp:extent cx="69215"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21" w:lineRule="exact"/>
        <w:rPr>
          <w:sz w:val="24"/>
          <w:szCs w:val="24"/>
          <w:color w:val="auto"/>
        </w:rPr>
      </w:pPr>
    </w:p>
    <w:p>
      <w:pPr>
        <w:ind w:left="10" w:right="340" w:firstLine="441"/>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3227070</wp:posOffset>
            </wp:positionH>
            <wp:positionV relativeFrom="paragraph">
              <wp:posOffset>-106045</wp:posOffset>
            </wp:positionV>
            <wp:extent cx="69215"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ind w:left="450"/>
        <w:spacing w:after="0" w:line="188" w:lineRule="exact"/>
        <w:tabs>
          <w:tab w:leader="none" w:pos="7090" w:val="left"/>
          <w:tab w:leader="none" w:pos="761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ab/>
        <w:t xml:space="preserve">No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4681855</wp:posOffset>
            </wp:positionH>
            <wp:positionV relativeFrom="paragraph">
              <wp:posOffset>-82550</wp:posOffset>
            </wp:positionV>
            <wp:extent cx="69215" cy="70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 cy="70485"/>
                    </a:xfrm>
                    <a:prstGeom prst="rect">
                      <a:avLst/>
                    </a:prstGeom>
                    <a:noFill/>
                  </pic:spPr>
                </pic:pic>
              </a:graphicData>
            </a:graphic>
          </wp:anchor>
        </w:drawing>
        <w:drawing>
          <wp:anchor simplePos="0" relativeHeight="251657728" behindDoc="1" locked="0" layoutInCell="0" allowOverlap="1">
            <wp:simplePos x="0" y="0"/>
            <wp:positionH relativeFrom="column">
              <wp:posOffset>4993005</wp:posOffset>
            </wp:positionH>
            <wp:positionV relativeFrom="paragraph">
              <wp:posOffset>-82550</wp:posOffset>
            </wp:positionV>
            <wp:extent cx="69215" cy="70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5" w:lineRule="exact"/>
        <w:rPr>
          <w:sz w:val="24"/>
          <w:szCs w:val="24"/>
          <w:color w:val="auto"/>
        </w:rPr>
      </w:pPr>
    </w:p>
    <w:p>
      <w:pPr>
        <w:ind w:left="450"/>
        <w:spacing w:after="0"/>
        <w:rPr>
          <w:sz w:val="20"/>
          <w:szCs w:val="20"/>
          <w:color w:val="auto"/>
        </w:rPr>
      </w:pPr>
      <w:r>
        <w:rPr>
          <w:rFonts w:ascii="Times New Roman" w:cs="Times New Roman" w:eastAsia="Times New Roman" w:hAnsi="Times New Roman"/>
          <w:sz w:val="14"/>
          <w:szCs w:val="14"/>
          <w:color w:val="auto"/>
        </w:rPr>
        <w:t>The number of issued and outstanding shares of the registrant’s Common Stock, $0.0001 par value per share, as of November 2, 2020, was 90,248,465.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537845</wp:posOffset>
            </wp:positionV>
            <wp:extent cx="649795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66675</wp:posOffset>
            </wp:positionV>
            <wp:extent cx="64979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109220</wp:posOffset>
            </wp:positionV>
            <wp:extent cx="649795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8440" w:type="dxa"/>
            <w:vAlign w:val="bottom"/>
            <w:vMerge w:val="restart"/>
          </w:tcPr>
          <w:p>
            <w:pPr>
              <w:ind w:left="2700"/>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9"/>
        </w:trPr>
        <w:tc>
          <w:tcPr>
            <w:tcW w:w="844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Item 1. Financial Statements: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440" w:type="dxa"/>
            <w:vAlign w:val="bottom"/>
          </w:tcPr>
          <w:p>
            <w:pPr>
              <w:ind w:left="60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440" w:type="dxa"/>
            <w:vAlign w:val="bottom"/>
          </w:tcPr>
          <w:p>
            <w:pPr>
              <w:ind w:left="60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Condensed Statements of Operations and Comprehensive Loss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440" w:type="dxa"/>
            <w:vAlign w:val="bottom"/>
          </w:tcPr>
          <w:p>
            <w:pPr>
              <w:ind w:left="60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Statements of Changes in Stockholders' Equity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440" w:type="dxa"/>
            <w:vAlign w:val="bottom"/>
          </w:tcPr>
          <w:p>
            <w:pPr>
              <w:ind w:left="60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Statements of Cash Flows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440" w:type="dxa"/>
            <w:vAlign w:val="bottom"/>
          </w:tcPr>
          <w:p>
            <w:pPr>
              <w:ind w:left="60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Financial Statements (unaudited)</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Item 2. Management’s Discussion and Analysis of Financial Condition and Results of Operations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Item 3. Quantitative and Qualitative Disclosures About Market Risk</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Item 4. Controls and Procedures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32"/>
        </w:trPr>
        <w:tc>
          <w:tcPr>
            <w:tcW w:w="8440" w:type="dxa"/>
            <w:vAlign w:val="bottom"/>
          </w:tcPr>
          <w:p>
            <w:pPr>
              <w:ind w:left="2840"/>
              <w:spacing w:after="0"/>
              <w:rPr>
                <w:rFonts w:ascii="Times New Roman" w:cs="Times New Roman" w:eastAsia="Times New Roman" w:hAnsi="Times New Roman"/>
                <w:sz w:val="18"/>
                <w:szCs w:val="18"/>
                <w:b w:val="1"/>
                <w:bCs w:val="1"/>
                <w:u w:val="single" w:color="auto"/>
                <w:color w:val="0000EE"/>
              </w:rPr>
            </w:pPr>
            <w:hyperlink w:anchor="page33">
              <w:r>
                <w:rPr>
                  <w:rFonts w:ascii="Times New Roman" w:cs="Times New Roman" w:eastAsia="Times New Roman" w:hAnsi="Times New Roman"/>
                  <w:sz w:val="18"/>
                  <w:szCs w:val="18"/>
                  <w:b w:val="1"/>
                  <w:bCs w:val="1"/>
                  <w:u w:val="single" w:color="auto"/>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1. Legal Proceedings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Item 1A. Risk Factors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Item 2. Unregistered Sales of Equity Securities and Use of Proceeds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Item 3. Defaults Upon Senior Securities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Item 4. Mine Safety Disclosures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1">
              <w:r>
                <w:rPr>
                  <w:rFonts w:ascii="Times New Roman" w:cs="Times New Roman" w:eastAsia="Times New Roman" w:hAnsi="Times New Roman"/>
                  <w:sz w:val="18"/>
                  <w:szCs w:val="18"/>
                  <w:u w:val="single" w:color="auto"/>
                  <w:color w:val="0000EE"/>
                </w:rPr>
                <w:t>Item 5. Other Information</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2">
              <w:r>
                <w:rPr>
                  <w:rFonts w:ascii="Times New Roman" w:cs="Times New Roman" w:eastAsia="Times New Roman" w:hAnsi="Times New Roman"/>
                  <w:sz w:val="18"/>
                  <w:szCs w:val="18"/>
                  <w:u w:val="single" w:color="auto"/>
                  <w:color w:val="0000EE"/>
                </w:rPr>
                <w:t>Item 6. Exhibits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8440" w:type="dxa"/>
            <w:vAlign w:val="bottom"/>
          </w:tcPr>
          <w:p>
            <w:pPr>
              <w:ind w:left="20"/>
              <w:spacing w:after="0"/>
              <w:rPr>
                <w:rFonts w:ascii="Times New Roman" w:cs="Times New Roman" w:eastAsia="Times New Roman" w:hAnsi="Times New Roman"/>
                <w:sz w:val="18"/>
                <w:szCs w:val="18"/>
                <w:u w:val="single" w:color="auto"/>
                <w:color w:val="0000EE"/>
              </w:rPr>
            </w:pPr>
            <w:hyperlink w:anchor="page73">
              <w:r>
                <w:rPr>
                  <w:rFonts w:ascii="Times New Roman" w:cs="Times New Roman" w:eastAsia="Times New Roman" w:hAnsi="Times New Roman"/>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905"/>
        </w:trPr>
        <w:tc>
          <w:tcPr>
            <w:tcW w:w="8440" w:type="dxa"/>
            <w:vAlign w:val="bottom"/>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amounts)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53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7"/>
              </w:rPr>
              <w:t>Current assets:</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revenue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198,555</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259,782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6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 payable,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64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no shares issued and</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outstanding as of September 30, 2020 and December 31, 2019, respectively.</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6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90,243,409 and</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88,817,741 shares issued and outstanding as of September 30, 2020 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December 31, 2019, respectively.</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198,555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24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75,446</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(3,785)</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Shares used in computing net loss per share - basic</w:t>
            </w: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89,365,798</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62,828,513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89,109,772</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62,676,591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(18,108)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(65,437)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Unrealized (losses) gains on available-for-sale</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(18,335)</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(65,367)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(75,108)</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ind w:left="2420" w:right="1399" w:hanging="1023"/>
        <w:spacing w:after="0" w:line="265" w:lineRule="auto"/>
        <w:rPr>
          <w:sz w:val="20"/>
          <w:szCs w:val="20"/>
          <w:color w:val="auto"/>
        </w:rPr>
      </w:pPr>
      <w:r>
        <w:rPr>
          <w:rFonts w:ascii="Times New Roman" w:cs="Times New Roman" w:eastAsia="Times New Roman" w:hAnsi="Times New Roman"/>
          <w:sz w:val="17"/>
          <w:szCs w:val="17"/>
          <w:b w:val="1"/>
          <w:bCs w:val="1"/>
          <w:color w:val="auto"/>
        </w:rPr>
        <w:t>CONDENSED STATEMENTS OF CHANGES IN STOCKHOLDERS’ EQUITY For the Three and Nine Months ended September 30, 2020</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2"/>
                <w:szCs w:val="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2"/>
                <w:szCs w:val="2"/>
                <w:color w:val="auto"/>
              </w:rPr>
            </w:pP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0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89,140,563</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$ 653,805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(507,781)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146,350</w:t>
            </w:r>
          </w:p>
        </w:tc>
        <w:tc>
          <w:tcPr>
            <w:tcW w:w="0" w:type="dxa"/>
            <w:vAlign w:val="bottom"/>
          </w:tcPr>
          <w:p>
            <w:pPr>
              <w:spacing w:after="0"/>
              <w:rPr>
                <w:sz w:val="1"/>
                <w:szCs w:val="1"/>
                <w:color w:val="auto"/>
              </w:rPr>
            </w:pPr>
          </w:p>
        </w:tc>
      </w:tr>
      <w:tr>
        <w:trPr>
          <w:trHeight w:val="198"/>
        </w:trPr>
        <w:tc>
          <w:tcPr>
            <w:tcW w:w="3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142,191</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98"/>
        </w:trPr>
        <w:tc>
          <w:tcPr>
            <w:tcW w:w="3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866,528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198"/>
        </w:trPr>
        <w:tc>
          <w:tcPr>
            <w:tcW w:w="3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(18,108)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90,243,409</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$ 657,130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(525,889)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131,340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2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2"/>
                <w:szCs w:val="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60" w:type="dxa"/>
            <w:vAlign w:val="bottom"/>
          </w:tcPr>
          <w:p>
            <w:pPr>
              <w:spacing w:after="0"/>
              <w:rPr>
                <w:sz w:val="2"/>
                <w:szCs w:val="2"/>
                <w:color w:val="auto"/>
              </w:rPr>
            </w:pPr>
          </w:p>
        </w:tc>
        <w:tc>
          <w:tcPr>
            <w:tcW w:w="720" w:type="dxa"/>
            <w:vAlign w:val="bottom"/>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0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88,817,741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$ 647,078</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(460,452)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186,655</w:t>
            </w:r>
          </w:p>
        </w:tc>
        <w:tc>
          <w:tcPr>
            <w:tcW w:w="0" w:type="dxa"/>
            <w:vAlign w:val="bottom"/>
          </w:tcPr>
          <w:p>
            <w:pPr>
              <w:spacing w:after="0"/>
              <w:rPr>
                <w:sz w:val="1"/>
                <w:szCs w:val="1"/>
                <w:color w:val="auto"/>
              </w:rPr>
            </w:pPr>
          </w:p>
        </w:tc>
      </w:tr>
      <w:tr>
        <w:trPr>
          <w:trHeight w:val="198"/>
        </w:trPr>
        <w:tc>
          <w:tcPr>
            <w:tcW w:w="3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169,931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8"/>
        </w:trPr>
        <w:tc>
          <w:tcPr>
            <w:tcW w:w="32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restricted stock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866,528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(65,437)</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0" w:type="dxa"/>
            <w:vAlign w:val="bottom"/>
          </w:tcPr>
          <w:p>
            <w:pPr>
              <w:spacing w:after="0"/>
              <w:rPr>
                <w:sz w:val="1"/>
                <w:szCs w:val="1"/>
                <w:color w:val="auto"/>
              </w:rPr>
            </w:pPr>
          </w:p>
        </w:tc>
      </w:tr>
      <w:tr>
        <w:trPr>
          <w:trHeight w:val="209"/>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90,243,409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$ 657,130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(525,889)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131,340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ind w:left="2420" w:right="1400" w:hanging="1023"/>
        <w:spacing w:after="0" w:line="265" w:lineRule="auto"/>
        <w:rPr>
          <w:sz w:val="20"/>
          <w:szCs w:val="20"/>
          <w:color w:val="auto"/>
        </w:rPr>
      </w:pPr>
      <w:r>
        <w:rPr>
          <w:rFonts w:ascii="Times New Roman" w:cs="Times New Roman" w:eastAsia="Times New Roman" w:hAnsi="Times New Roman"/>
          <w:sz w:val="17"/>
          <w:szCs w:val="17"/>
          <w:b w:val="1"/>
          <w:bCs w:val="1"/>
          <w:color w:val="auto"/>
        </w:rPr>
        <w:t>CONDENSED STATEMENTS OF CHANGES IN STOCKHOLDERS’ EQUITY For the Three and Nine Months ended September 30, 2019</w:t>
      </w:r>
    </w:p>
    <w:p>
      <w:pPr>
        <w:ind w:left="40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2019</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62,800,869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$ 485,718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(417,123)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68,617</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w w:val="99"/>
              </w:rPr>
              <w:t>Issuance of common stock upon exercise of</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3,879</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(23,539)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62,883,080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$ 489,810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(440,662)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49,158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12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3"/>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62,516,627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$ 481,357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(365,512)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Unrealized gains on available-for-sale</w:t>
            </w: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(75,150)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62,883,080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$ 489,810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(440,662)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(65,437)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(75,150)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compensation for services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interest associated with debt discount accretion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Unbilled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(3,748)</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6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(871)</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(3,237)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(63,845)</w:t>
            </w:r>
          </w:p>
        </w:tc>
        <w:tc>
          <w:tcPr>
            <w:tcW w:w="2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(107,200)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(36,325)</w:t>
            </w:r>
          </w:p>
        </w:tc>
        <w:tc>
          <w:tcPr>
            <w:tcW w:w="0" w:type="dxa"/>
            <w:vAlign w:val="bottom"/>
          </w:tcPr>
          <w:p>
            <w:pPr>
              <w:spacing w:after="0"/>
              <w:rPr>
                <w:sz w:val="1"/>
                <w:szCs w:val="1"/>
                <w:color w:val="auto"/>
              </w:rPr>
            </w:pPr>
          </w:p>
        </w:tc>
      </w:tr>
      <w:tr>
        <w:trPr>
          <w:trHeight w:val="21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equity incentive and stock purchase plans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92,673</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non-cash activities: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00"/>
          </w:cols>
          <w:pgMar w:left="1440" w:top="513" w:right="1359"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ARDELYX,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amounts in thousands, except share and per share amounts and where otherwise noted)</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BASIS OF PRESENTATION</w:t>
      </w:r>
    </w:p>
    <w:p>
      <w:pPr>
        <w:spacing w:after="0" w:line="229" w:lineRule="exact"/>
        <w:rPr>
          <w:sz w:val="20"/>
          <w:szCs w:val="20"/>
          <w:color w:val="auto"/>
        </w:rPr>
      </w:pPr>
    </w:p>
    <w:p>
      <w:pPr>
        <w:ind w:left="60" w:right="339" w:firstLine="324"/>
        <w:spacing w:after="0" w:line="312" w:lineRule="auto"/>
        <w:rPr>
          <w:sz w:val="20"/>
          <w:szCs w:val="20"/>
          <w:color w:val="auto"/>
        </w:rPr>
      </w:pPr>
      <w:r>
        <w:rPr>
          <w:rFonts w:ascii="Times New Roman" w:cs="Times New Roman" w:eastAsia="Times New Roman" w:hAnsi="Times New Roman"/>
          <w:sz w:val="17"/>
          <w:szCs w:val="17"/>
          <w:color w:val="auto"/>
        </w:rPr>
        <w:t>Ardelyx, Inc. (the “Company,” “we,” “us” or “our”) is a specialized biopharmaceutical company focused on developing innovative first-in-class medicines to improve treatment for people with kidney and cardiovascular diseases.</w:t>
      </w:r>
    </w:p>
    <w:p>
      <w:pPr>
        <w:spacing w:after="0" w:line="14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operates in one business segment, which is the research and development of biopharmaceutical products.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the Company’s most recent annual financial statements and, in the opinion of management, reflect all adjustments, which include only normal recurring adjustments necessary to present fairly the Company’s financial position at September 30, 2020 and results of operations, changes in stockholders’ equity, and cash flows for the interim periods ended September 30, 2020 and 2019.</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included in the Company’s Annual Report on Form 10-K for the year ended December 31, 2019. The results for the three and nine months ended September 30, 2020 are not necessarily indicative of results to be expected for the entire year ending December 31, 2020, or for any other interim period or future year.</w:t>
      </w:r>
    </w:p>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2020, the Company had cash, cash equivalents and short-term investments of approximately $185.5 million. The Company believes its current available cash, cash equivalents and short-term investments will be sufficient to fund the Company’s planned expenditures and meet its obligations for at least 12 months following the filing of this Report on Form 10-Q.</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the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left="60" w:right="439"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to the significant accounting policies disclosed in the Company’s most recent Annual Report on Form 10-K.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as part of its initiative to reduce complexity in the accounting standards, the Financial Accounting Standards Board (“FASB”) issued Accounting Standards Update (“ASU”) 2019-12, </w:t>
      </w:r>
      <w:r>
        <w:rPr>
          <w:rFonts w:ascii="Times New Roman" w:cs="Times New Roman" w:eastAsia="Times New Roman" w:hAnsi="Times New Roman"/>
          <w:sz w:val="18"/>
          <w:szCs w:val="18"/>
          <w:i w:val="1"/>
          <w:iCs w:val="1"/>
          <w:color w:val="auto"/>
        </w:rPr>
        <w:t>Income Taxes (Topic 740): Simplifying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Accounting for Income Taxes </w:t>
      </w:r>
      <w:r>
        <w:rPr>
          <w:rFonts w:ascii="Times New Roman" w:cs="Times New Roman" w:eastAsia="Times New Roman" w:hAnsi="Times New Roman"/>
          <w:sz w:val="18"/>
          <w:szCs w:val="18"/>
          <w:color w:val="auto"/>
        </w:rPr>
        <w:t>(“ASU 2019-12”), which eliminates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standard is effective for fiscal years, and interim periods within those fiscal years, beginning after December 15, 2020, with early adoption permitted. The Company early adopted ASU 2019-12 on April 1, 2020 and this adoption had no material impact on the Company’s financial position or results of operations.</w:t>
      </w:r>
    </w:p>
    <w:p>
      <w:pPr>
        <w:spacing w:after="0" w:line="190"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2018, the FASB issued ASU 2018-18, </w:t>
      </w:r>
      <w:r>
        <w:rPr>
          <w:rFonts w:ascii="Times New Roman" w:cs="Times New Roman" w:eastAsia="Times New Roman" w:hAnsi="Times New Roman"/>
          <w:sz w:val="18"/>
          <w:szCs w:val="18"/>
          <w:i w:val="1"/>
          <w:iCs w:val="1"/>
          <w:color w:val="auto"/>
        </w:rPr>
        <w:t>Collaborative Arrangements (Topic 808):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Interaction between Topic 808 and Topic 606 </w:t>
      </w:r>
      <w:r>
        <w:rPr>
          <w:rFonts w:ascii="Times New Roman" w:cs="Times New Roman" w:eastAsia="Times New Roman" w:hAnsi="Times New Roman"/>
          <w:sz w:val="18"/>
          <w:szCs w:val="18"/>
          <w:color w:val="auto"/>
        </w:rPr>
        <w:t>(“ASU 2018-18”), which clarifies that certain transactions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collaborative arrangement participants should be accounted for as revenue under the FASB’s Accounting Standards Codification (“ASC”)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when the collaborative arrangement participant is a customer. The Company adopted ASU 2018-18 on January 1, 2020, and the adoption of this standard did not have a material impact on the Company’s financial statements.</w:t>
      </w:r>
    </w:p>
    <w:p>
      <w:pPr>
        <w:spacing w:after="0" w:line="18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(Topic 820): Disclosure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Changes to the Disclosure Requirements for Fair Value Measurement </w:t>
      </w:r>
      <w:r>
        <w:rPr>
          <w:rFonts w:ascii="Times New Roman" w:cs="Times New Roman" w:eastAsia="Times New Roman" w:hAnsi="Times New Roman"/>
          <w:sz w:val="18"/>
          <w:szCs w:val="18"/>
          <w:color w:val="auto"/>
        </w:rPr>
        <w:t>(“ASU 2018-13”), which considers cost and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were to be applied retrospectively to all periods presented. The Company adopted ASU 2018-13 on January 1, 2020, and the adoption of this standard did not have a material impact on the Company’s financial statements.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Rate Reform on Financial Reporting</w:t>
      </w:r>
      <w:r>
        <w:rPr>
          <w:rFonts w:ascii="Times New Roman" w:cs="Times New Roman" w:eastAsia="Times New Roman" w:hAnsi="Times New Roman"/>
          <w:sz w:val="18"/>
          <w:szCs w:val="18"/>
          <w:color w:val="auto"/>
        </w:rPr>
        <w:t>, which provides temporary optional guidance to companies impacted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was effective upon issuance and expires on December 31, 2022. The Company adopted ASU 2020-04 on April 1, 2020, and the adoption of this standard did not have a material impact on the Company’s financial statements.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5"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on Financial Instruments</w:t>
      </w:r>
      <w:r>
        <w:rPr>
          <w:rFonts w:ascii="Times New Roman" w:cs="Times New Roman" w:eastAsia="Times New Roman" w:hAnsi="Times New Roman"/>
          <w:sz w:val="18"/>
          <w:szCs w:val="18"/>
          <w:color w:val="auto"/>
        </w:rPr>
        <w:t>, an amendment which modifies the measurement and recognition of credit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most financial assets and certain other instruments. The amendment updates the guidance for measuring and recording credit losses on financial assets measured at amortized cost by replacing the “incurred loss” model with an “expected loss” model. Accordingly, these financial assets will be presented at the net amount expected to be collected. The amendment also requires that credit losses related to available-for-sale debt securities be recorded as an allowance through net income rather than reducing the carrying amount under the current, other-than-temporary-impairment model. For smaller reporting companies the guidance is effective for fiscal years beginning after December 15, 2022, including interim periods within those fiscal years. Early adoption is permitted. Management is currently assessing the impact of this standard on the Company’s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CASH, CASH EQUIVALENTS AND SHORT-TERM INVESTMENTS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Securities classified as cash, cash equivalents and short-term investments as of September 30, 2020 and December 31, 2019 are summarized below.</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6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41,625</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41,654</w:t>
            </w: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0" w:type="dxa"/>
            <w:vAlign w:val="bottom"/>
          </w:tcPr>
          <w:p>
            <w:pPr>
              <w:spacing w:after="0"/>
              <w:rPr>
                <w:sz w:val="1"/>
                <w:szCs w:val="1"/>
                <w:color w:val="auto"/>
              </w:rPr>
            </w:pPr>
          </w:p>
        </w:tc>
      </w:tr>
      <w:tr>
        <w:trPr>
          <w:trHeight w:val="198"/>
        </w:trPr>
        <w:tc>
          <w:tcPr>
            <w:tcW w:w="32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U.S. government-sponsored agency</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bonds</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 treasury notes</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94,398</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94,488</w:t>
            </w:r>
          </w:p>
        </w:tc>
        <w:tc>
          <w:tcPr>
            <w:tcW w:w="0" w:type="dxa"/>
            <w:vAlign w:val="bottom"/>
          </w:tcPr>
          <w:p>
            <w:pPr>
              <w:spacing w:after="0"/>
              <w:rPr>
                <w:sz w:val="1"/>
                <w:szCs w:val="1"/>
                <w:color w:val="auto"/>
              </w:rPr>
            </w:pPr>
          </w:p>
        </w:tc>
      </w:tr>
      <w:tr>
        <w:trPr>
          <w:trHeight w:val="178"/>
        </w:trPr>
        <w:tc>
          <w:tcPr>
            <w:tcW w:w="3220" w:type="dxa"/>
            <w:vAlign w:val="bottom"/>
            <w:shd w:val="clear" w:color="auto" w:fill="CCEEFF"/>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cash equivalents and short-term</w:t>
            </w:r>
          </w:p>
        </w:tc>
        <w:tc>
          <w:tcPr>
            <w:tcW w:w="620" w:type="dxa"/>
            <w:vAlign w:val="bottom"/>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185,407</w:t>
            </w: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gridSpan w:val="2"/>
            <w:vMerge w:val="restart"/>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185,497</w:t>
            </w:r>
          </w:p>
        </w:tc>
        <w:tc>
          <w:tcPr>
            <w:tcW w:w="0" w:type="dxa"/>
            <w:vAlign w:val="bottom"/>
          </w:tcPr>
          <w:p>
            <w:pPr>
              <w:spacing w:after="0"/>
              <w:rPr>
                <w:sz w:val="1"/>
                <w:szCs w:val="1"/>
                <w:color w:val="auto"/>
              </w:rPr>
            </w:pPr>
          </w:p>
        </w:tc>
      </w:tr>
      <w:tr>
        <w:trPr>
          <w:trHeight w:val="221"/>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147,208</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147,208</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0" w:type="dxa"/>
            <w:vAlign w:val="bottom"/>
          </w:tcPr>
          <w:p>
            <w:pPr>
              <w:spacing w:after="0"/>
              <w:rPr>
                <w:sz w:val="1"/>
                <w:szCs w:val="1"/>
                <w:color w:val="auto"/>
              </w:rPr>
            </w:pPr>
          </w:p>
        </w:tc>
      </w:tr>
      <w:tr>
        <w:trPr>
          <w:trHeight w:val="216"/>
        </w:trPr>
        <w:tc>
          <w:tcPr>
            <w:tcW w:w="3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0" w:type="dxa"/>
            <w:vAlign w:val="bottom"/>
          </w:tcPr>
          <w:p>
            <w:pPr>
              <w:spacing w:after="0"/>
              <w:rPr>
                <w:sz w:val="1"/>
                <w:szCs w:val="1"/>
                <w:color w:val="auto"/>
              </w:rPr>
            </w:pPr>
          </w:p>
        </w:tc>
      </w:tr>
      <w:tr>
        <w:trPr>
          <w:trHeight w:val="210"/>
        </w:trPr>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6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21,693</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0" w:type="dxa"/>
            <w:vAlign w:val="bottom"/>
          </w:tcPr>
          <w:p>
            <w:pPr>
              <w:spacing w:after="0"/>
              <w:rPr>
                <w:sz w:val="1"/>
                <w:szCs w:val="1"/>
                <w:color w:val="auto"/>
              </w:rPr>
            </w:pPr>
          </w:p>
        </w:tc>
      </w:tr>
      <w:tr>
        <w:trPr>
          <w:trHeight w:val="178"/>
        </w:trPr>
        <w:tc>
          <w:tcPr>
            <w:tcW w:w="32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Total cash equivalents and short-term</w:t>
            </w:r>
          </w:p>
        </w:tc>
        <w:tc>
          <w:tcPr>
            <w:tcW w:w="6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247,492</w:t>
            </w: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2"/>
            <w:vMerge w:val="restart"/>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247,512</w:t>
            </w:r>
          </w:p>
        </w:tc>
        <w:tc>
          <w:tcPr>
            <w:tcW w:w="0" w:type="dxa"/>
            <w:vAlign w:val="bottom"/>
          </w:tcPr>
          <w:p>
            <w:pPr>
              <w:spacing w:after="0"/>
              <w:rPr>
                <w:sz w:val="1"/>
                <w:szCs w:val="1"/>
                <w:color w:val="auto"/>
              </w:rPr>
            </w:pPr>
          </w:p>
        </w:tc>
      </w:tr>
      <w:tr>
        <w:trPr>
          <w:trHeight w:val="221"/>
        </w:trPr>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6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All available-for-sale securities held as of September 30, 2020 had contractual maturities of less than one year. The Company’s available-for-sale securities are subject to a periodic impairment review. The Company considers a debt security to be impaired when the fair value of that security is less than its carrying cost, in which case the Company would further evaluate the investment to determine whether the security is other-than-temporarily impaired. When the Company evaluates an investment for other-than-temporary impairment, the Company reviews factors such as the length of time and extent to which fair value has been below cost basis, the financial condition or creditworthiness of the issuer and any changes thereto, intent to sell, and whether it is more likely than not the Company will be required to sell the investment before the recovery of its cost basis. If an investment is other-than-temporarily impaired, the Company writes the investment down through the statement of operations to its fair value and establishes that value as the new cost basis for the investment. Management has determined that none of the Company’s available-for-sale securities were other-than-temporarily impaired in any of the periods presented, and as of September 30, 2020, no investment was in a continuous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unrealized loss position for more than one year. As such, the Company believes that it is more likely than not that the investments will be held until maturity or a forecasted recovery of fair value.</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While our investment policy requires that we only invest in highly-rated securities and limit our exposure to any single issuer, the COVID-19 pandemic may materially affect the financial conditions of issuers, which could result in a default by one or more issuers or result in downgrades below our minimum credit rating requirements.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short-term investments, prepaid expenses, other current assets, accounts payable, accrued expenses, and the Term Loan, as defined and discussed in Note 5. Fair value estimates of these instruments are made at a specific point in time based on relevant market information. These estimates may be subjective in nature and involve uncertainties and matters of significant judgment. The carrying amounts of financial instruments such as cash and cash equivalents, prepaid expenses, other current assets, accounts payable and accrued expenses approximate the related fair values due to the short maturities of these instruments. Based on prevailing borrowing rates available to the Company for loans with similar terms, the Company believes the fair value of the Term Loan, considering level 2 inputs, approximates this instrument’s carrying value.</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three-level hierarchy for the inputs to valuation techniques is briefly summarized as follows: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Valuations are based on quoted prices in active markets for identical assets or liabilities and readily</w:t>
            </w:r>
          </w:p>
        </w:tc>
      </w:tr>
      <w:tr>
        <w:trPr>
          <w:trHeight w:val="234"/>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accessible by the Company at the reporting date.</w:t>
            </w:r>
          </w:p>
        </w:tc>
      </w:tr>
      <w:tr>
        <w:trPr>
          <w:trHeight w:val="414"/>
        </w:trPr>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Valuations based on inputs other than Level 1 that are observable, either directly or indirectly, such as</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quoted prices for similar assets or liabilities; quoted prices in markets that are not active; or other inputs</w:t>
            </w:r>
          </w:p>
        </w:tc>
      </w:tr>
      <w:tr>
        <w:trPr>
          <w:trHeight w:val="216"/>
        </w:trPr>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 are observable or can be corroborated by observable market data for substantially the full term of the</w:t>
            </w:r>
          </w:p>
        </w:tc>
      </w:tr>
      <w:tr>
        <w:trPr>
          <w:trHeight w:val="234"/>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 or liabilities.</w:t>
            </w:r>
          </w:p>
        </w:tc>
      </w:tr>
      <w:tr>
        <w:trPr>
          <w:trHeight w:val="414"/>
        </w:trPr>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Valuations based on unobservable inputs for which there is little or no market data, which require the</w:t>
            </w:r>
          </w:p>
        </w:tc>
      </w:tr>
      <w:tr>
        <w:trPr>
          <w:trHeight w:val="234"/>
        </w:trPr>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to develop its own assumptions.</w:t>
            </w:r>
          </w:p>
        </w:tc>
      </w:tr>
      <w:tr>
        <w:trPr>
          <w:trHeight w:val="648"/>
        </w:trPr>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jc w:val="right"/>
              <w:ind w:right="4270"/>
              <w:spacing w:after="0"/>
              <w:rPr>
                <w:sz w:val="20"/>
                <w:szCs w:val="20"/>
                <w:color w:val="auto"/>
              </w:rPr>
            </w:pPr>
            <w:r>
              <w:rPr>
                <w:rFonts w:ascii="Times New Roman" w:cs="Times New Roman" w:eastAsia="Times New Roman" w:hAnsi="Times New Roman"/>
                <w:sz w:val="18"/>
                <w:szCs w:val="18"/>
                <w:color w:val="auto"/>
              </w:rPr>
              <w:t>10</w:t>
            </w:r>
          </w:p>
        </w:tc>
      </w:tr>
      <w:tr>
        <w:trPr>
          <w:trHeight w:val="560"/>
        </w:trPr>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the Company’s financial assets and liabilities that are measured or disclosed on a recurring basis: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83,011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government-sponsored agency bonds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Asset-backed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notes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tcBorders>
              <w:bottom w:val="single" w:sz="8" w:color="CCEEFF"/>
            </w:tcBorders>
          </w:tcPr>
          <w:p>
            <w:pPr>
              <w:jc w:val="center"/>
              <w:ind w:right="2990"/>
              <w:spacing w:after="0"/>
              <w:rPr>
                <w:sz w:val="20"/>
                <w:szCs w:val="20"/>
                <w:color w:val="auto"/>
              </w:rPr>
            </w:pPr>
            <w:r>
              <w:rPr>
                <w:rFonts w:ascii="Times New Roman" w:cs="Times New Roman" w:eastAsia="Times New Roman" w:hAnsi="Times New Roman"/>
                <w:sz w:val="18"/>
                <w:szCs w:val="18"/>
                <w:color w:val="auto"/>
                <w:w w:val="94"/>
              </w:rPr>
              <w:t>Total</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183,998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90,650</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7"/>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liability for Exit Fee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4"/>
              </w:rPr>
              <w:t>Total</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Commercial paper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Asset-backed securities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tcPr>
          <w:p>
            <w:pPr>
              <w:jc w:val="center"/>
              <w:ind w:right="2990"/>
              <w:spacing w:after="0"/>
              <w:rPr>
                <w:sz w:val="20"/>
                <w:szCs w:val="20"/>
                <w:color w:val="auto"/>
              </w:rPr>
            </w:pPr>
            <w:r>
              <w:rPr>
                <w:rFonts w:ascii="Times New Roman" w:cs="Times New Roman" w:eastAsia="Times New Roman" w:hAnsi="Times New Roman"/>
                <w:sz w:val="18"/>
                <w:szCs w:val="18"/>
                <w:color w:val="auto"/>
                <w:w w:val="94"/>
              </w:rPr>
              <w:t>Total</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244,388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147,208</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97,180</w:t>
            </w:r>
          </w:p>
        </w:tc>
        <w:tc>
          <w:tcPr>
            <w:tcW w:w="220" w:type="dxa"/>
            <w:vAlign w:val="bottom"/>
            <w:tcBorders>
              <w:bottom w:val="single" w:sz="8" w:color="CCEEFF"/>
            </w:tcBorders>
            <w:gridSpan w:val="2"/>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7"/>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liability for Exit Fee</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4"/>
              </w:rPr>
              <w:t>Total</w:t>
            </w:r>
          </w:p>
        </w:tc>
        <w:tc>
          <w:tcPr>
            <w:tcW w:w="7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Where quoted prices are available in an active market, securities are classified as Level 1. The Company classifies money market funds, U.S. government-sponsored agency bonds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or derivative liabilities such as the Exit Fee, as defined and discussed in Note 4, are classified as Level 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DERIVATIVE LIABILITY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May 2018, in connection with entering into the Loan Agreement, as defined and discussed in Note 5, the Company entered into an agreement pursuant to which the Company agreed to pay $1.5 million in cash (the “Exit Fee”) upon any change of control transaction in respect of the Company or if the Company obtains both (i) U.S. Food and Drug Administration (“FDA”) approval of tenapanor for the treatment of hyperphosphatemia in chronic kidney disease (“CKD”) patients on dialysis and (ii) FDA approval of tenapanor for the treatment of patients with irritable bowel syndrome with constipation (“IBS-C”), which was obtained on September 12, 2019 when the FDA approved IBSRELA® (tenapanor), a 50 milligram, twice daily oral pill for the treatment of IBS-C in adults (the “Exit Fee Agreement”). Notwithstanding the prepayment or termination of the Term Loan, as defined and discussed in Note 5, the Company’s obligation to pay the Exit Fee will expire on May 16, 2028. The Company concluded that the Exit Fee is a freestanding derivative which should be accounted for at fair value on a recurring basis. The estimated fair value of the Exit Fee is recorded as a derivative liability and included in accrued expenses and other current liabilities on the accompanying condensed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fair value of the derivative liability was determined using a discounted cash flow analysis, and the key assumptions included in the calculation of the estimated fair value of the derivative liability include: (i) the Company’s estimates of both the probability and timing of payment of the Exit Fee to Solar Capital Ltd. and Western Alliance Bank as a result of the FDA approvals and (ii) a variable discount rate. Generally, increases or decreases in the probability of occurrence would result in a directionally similar impact in the fair value measurement of the derivative liability, and it is estimated that a 10% increase or decrease in the probability of occurrence would result in a fair value fluctuation of approximately $0.1 million.</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Changes in fair value, which are presented as other income, net, in the Company's condensed statements of operations, were as follows:</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Borders>
              <w:bottom w:val="single" w:sz="8" w:color="auto"/>
            </w:tcBorders>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Exit Fee derivative liability at January 1</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derivative liability</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Exit Fee derivative liability at September 30</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1,259</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BORROWING</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Solar Capital and Western Alliance Bank Loan Agreement</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16, 2018, the Company entered into a loan and security agreement (the “Loan Agreement”), with Solar Capital Ltd. and Western Alliance Bank (collectively the “Lenders”). The Loan Agreement provides for a $50.0 million term loan facility with a maturity date of November 1, 2022 (the “Term Loan”).</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October 9, 2020, the Company and the Lenders entered into an amendment to the Loan Agreement to extend the date through which the Company is permitted to make interest-only payments on the Term Loan by twelve months. Please see Note 13 for additional information. Borrowings under the Term Loan, before the October 2020 amendment, bore interest at a floating per annum rate equal to 7.45% plus the one-month LIBOR, and the Company was permitted to make interest-only payments on the Term Loan until December 1, 2020.</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paid a closing fee of 1% of the Term Loan, or $0.5 million, upon the closing of the Term Loan, and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the Company’s intellectual property and certain other customary exclusions. Additionally, in connection with the Term Loan, the Company entered into the Exit Fee Agreement, as discussed in Note 4.</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Loan Agreement contains customary representations and warranties and customary affirmative and negative covenants. As of September 30, 2020, the Company was in compliance with all of the covenants set forth in the Loan Agreement.</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Loan Agreement also contains customary events of default that entitle the Lender to cause the Company’s indebtedness under the Loan Agreement to become immediately due and payable, and to exercise remedies against the Company and the collateral securing the Term Loan, including the Company’s cash. Upon the occurrence and for the duration of an event of default, an additional default interest rate equal to 4.0% per annum will apply to all amounts owed under the Loan Agreement. As of September 30, 2020, to the Company’s knowledge, there were no facts or circumstances in existence that would give rise to an event of default.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Company’s future payment obligations related to the Term Loan, excluding interest payments and the Exit Fee, are as follows: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repayment obligations</w:t>
            </w: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51,975</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Unaccreted value of final fee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09"/>
        </w:trPr>
        <w:tc>
          <w:tcPr>
            <w:tcW w:w="20" w:type="dxa"/>
            <w:vAlign w:val="bottom"/>
          </w:tcPr>
          <w:p>
            <w:pPr>
              <w:spacing w:after="0"/>
              <w:rPr>
                <w:sz w:val="18"/>
                <w:szCs w:val="18"/>
                <w:color w:val="auto"/>
              </w:rPr>
            </w:pPr>
          </w:p>
        </w:tc>
        <w:tc>
          <w:tcPr>
            <w:tcW w:w="6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50,681</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Loan payable, current portion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50,681</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33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All of the Company’s leases, which primarily include the right to use office and laboratory space, are operating leases, and certain of the leases have both lease and non-lease components. The Company has elected to account for each separate lease component and the non-lease components associated with that lease component as a single lease component for all classes of underlying assets.</w:t>
      </w:r>
    </w:p>
    <w:p>
      <w:pPr>
        <w:spacing w:after="0" w:line="7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additional details related to our facility leases, as presented in the Company’s condensed balance sheet as of September 30, 2020:</w:t>
      </w:r>
    </w:p>
    <w:p>
      <w:pPr>
        <w:spacing w:after="0" w:line="19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Facilities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20" w:type="dxa"/>
            <w:vAlign w:val="bottom"/>
          </w:tcPr>
          <w:p>
            <w:pPr>
              <w:spacing w:after="0"/>
              <w:rPr>
                <w:sz w:val="22"/>
                <w:szCs w:val="22"/>
                <w:color w:val="auto"/>
              </w:rPr>
            </w:pP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Right of use assets</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7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29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0" w:type="dxa"/>
            <w:vAlign w:val="bottom"/>
            <w:vMerge w:val="restart"/>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life (years)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12.99 %</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20" w:type="dxa"/>
            <w:vAlign w:val="bottom"/>
            <w:gridSpan w:val="9"/>
          </w:tcPr>
          <w:p>
            <w:pPr>
              <w:jc w:val="right"/>
              <w:ind w:right="56"/>
              <w:spacing w:after="0"/>
              <w:rPr>
                <w:sz w:val="20"/>
                <w:szCs w:val="20"/>
                <w:color w:val="auto"/>
              </w:rPr>
            </w:pPr>
            <w:r>
              <w:rPr>
                <w:rFonts w:ascii="Times New Roman" w:cs="Times New Roman" w:eastAsia="Times New Roman" w:hAnsi="Times New Roman"/>
                <w:sz w:val="18"/>
                <w:szCs w:val="18"/>
                <w:color w:val="auto"/>
                <w:w w:val="99"/>
              </w:rPr>
              <w:t>Other information related to the Company’s facilities leases is as follows: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0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 Nine Months Ended September 30,</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88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w:t>
            </w:r>
          </w:p>
        </w:tc>
        <w:tc>
          <w:tcPr>
            <w:tcW w:w="760" w:type="dxa"/>
            <w:vAlign w:val="bottom"/>
            <w:gridSpan w:val="2"/>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767</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undiscounted cash payment obligations for its operating lease liabilities as of September 30, 2020:</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2020</w:t>
            </w:r>
          </w:p>
        </w:tc>
        <w:tc>
          <w:tcPr>
            <w:tcW w:w="148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w:t>
            </w: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 expenses</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7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w:t>
            </w:r>
          </w:p>
        </w:tc>
      </w:tr>
      <w:tr>
        <w:trPr>
          <w:trHeight w:val="209"/>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EQUITY INCENTIVE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2020, options were granted to employees and members of the board of directors to purchase 460,167 and 3,109,683 shares, respectively, of the Company's common stock. The weighted-average grant-date estimated fair value of options granted during the three and nine months ended September 30, 2020 was $4.09 and $5.03, respectively.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2020, options were exercised to purchase 142,191 and 346,806 shares, respectively, of the Company's common stock, resulting in corresponding approximately $0.3 million and $0.8 million net proceeds, respectively, to the Company. During the three and nine months ended September 30, 2019, options were exercised to purchase 4,513 and 6,964 shares, respectively, of the Company's common stock, resulting in corresponding $13,000 and $21,000 net proceeds to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July 2018, the Company granted 903,374 performance-based restricted stock units (“PRSUs”) to its employees that were to vest upon the achievement of certain performance conditions, subject to the employees’ continued service relationship with the Company through the achievement date. The primary performance condition was acceptance by the FDA of the Company’s filing of its New Drug Application (“NDA”) of tenapanor for the control of serum phosphorus in adult patients with CKD on dialysis. Additionally, during the second quarter of 2020, the Company granted 30,000 PRSUs, in aggregate, with the same performance criteria to its chief commercial officer and chief financial officer hired during that period. On September 15, 2020, the Company announced the performance conditions were achieved and 866,528 of these PRSUs that were outstanding on the achievement date were vested and issued. Based on the achievement of the performance conditions, the Company recorded stock-based compensation expense of $0.2 million and $1.6 million for the three and nine months ended September 30, 2020, respectively. The Company had recorded a one-time catch-up of stock-based compensation expense of $2.1 million for each of the three and nine months ended September 30, 2019 as the related performance condition had become probable as of September 30, 2019. The related compensation cost was recognized as an expense ratably over the estimated vesting period. The expense recognized for these awards was based on the grant date fair value of the Company’s common stock multiplied by the number of units granted.</w:t>
      </w:r>
    </w:p>
    <w:p>
      <w:pPr>
        <w:spacing w:after="0" w:line="19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each of the three and nine months ended September 30, 2020 and 2019, the Company issued zero and 85,609 shares, respectively, of its common stock upon vesting of time-based RSUs to its employees. No time-based RSUs were granted to employees during the three and nine months ended September 30, 2020 or 2019.</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August 2020, the Company sold 94,127 shares of its common stock under the Company’s employee stock purchase program (“ESPP”). The shares were purchased by employees at a purchase price of $4.88 per share with proceeds to the Company of approximately $0.4 million. In February 2020, the Company sold 75,804 shares of its common stock under the ESPP. The shares were purchased by employees at a purchase price of $4.95 per share with proceeds to the Company of approximately $0.4 million.</w:t>
      </w:r>
    </w:p>
    <w:p>
      <w:pPr>
        <w:spacing w:after="0" w:line="183"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August 2019, the Company sold 77,698 shares of its common stock under the ESPP. The shares were purchased by employees at a purchase price of $2.58 per share with proceeds to the Company of approximately $0.2 million. In February 2019, the Company sold 83,046 shares of its common stock under the ESPP. The shares were purchased by employees at a purchase price of $2.39 per share with proceeds to the Company of approximately $0.2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issued zero and 42,403 shares, respectively, of its common stock to members of the board of directors who elected to receive stock in lieu of their cash fees under the Company’s Amended and Restated Non-Employee Director Compensation Program. The shares issued were valued 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$0.3 million based on the fair value of the common stock on the date of grant. For the three and nine months ended September 30, 2019, the Company issued zero and 113,136 shares, respectively, of its common stock to members of the board of directors who elected to receive stock in lieu of their cash fees. The shares issued were valued at $0.3 million based on the fair value of the common stock on the date of grant.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stock options, RSUs, PRSUs and the Company’s ESPP are recorded as operating expenses in the Company’s condensed statements of operations and comprehensive loss, as follows: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236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the Company’s total unrecognized stock-based compensation expense, net of estimated forfeitures, and average remaining vesting period, included the following:</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Period</w:t>
            </w:r>
          </w:p>
        </w:tc>
        <w:tc>
          <w:tcPr>
            <w:tcW w:w="0" w:type="dxa"/>
            <w:vAlign w:val="bottom"/>
          </w:tcPr>
          <w:p>
            <w:pPr>
              <w:spacing w:after="0"/>
              <w:rPr>
                <w:sz w:val="1"/>
                <w:szCs w:val="1"/>
                <w:color w:val="auto"/>
              </w:rPr>
            </w:pPr>
          </w:p>
        </w:tc>
      </w:tr>
      <w:tr>
        <w:trPr>
          <w:trHeight w:val="173"/>
        </w:trPr>
        <w:tc>
          <w:tcPr>
            <w:tcW w:w="2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4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34"/>
        </w:trPr>
        <w:tc>
          <w:tcPr>
            <w:tcW w:w="2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ESPP</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4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236855</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2015, the Company sold and issued warrants to purchase 2,172,899 shares of common stock. The purchase price for the warrants was $0.125 per warrant. The warrants were exercisable for an exercise price of $13.91 per share at any time prior to the earlier of (i) 5 years from the date of issuance or (ii) certain changes in control of the Company. In June 2020, the warrants expired with none of the warrants exercised.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 the Market Offerings Agreement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July 2020, the Company filed a Form S-3 registration statement, which became effective in August 2020, containing</w:t>
      </w:r>
    </w:p>
    <w:p>
      <w:pPr>
        <w:spacing w:after="0" w:line="39" w:lineRule="exact"/>
        <w:rPr>
          <w:sz w:val="20"/>
          <w:szCs w:val="20"/>
          <w:color w:val="auto"/>
        </w:rPr>
      </w:pPr>
    </w:p>
    <w:p>
      <w:pPr>
        <w:jc w:val="both"/>
        <w:ind w:left="60" w:right="59" w:hanging="10"/>
        <w:spacing w:after="0" w:line="252" w:lineRule="auto"/>
        <w:tabs>
          <w:tab w:leader="none" w:pos="2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prospectus for the offering, issuance and sale by the Company of up to a maximum aggregate offering price of $250,000,000 of the Company’s common stock, preferred stock, debt securities, warrants and/or units, from time to time in one or more offerings; and (ii) a prospectus supplement for the offering, issuance and sale by the Company of up to a maximum aggregate offering price of $100,000,000 of the Company’s common stock that may be issued and sold, from time to time, under a sales agreement with Jefferies LLC, deemed to be “at the market offerings.” As of September 30, 2020, no shares have been offered, issued or sold pursuant to this sales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and nine months ended September 30, 2020 and 2019, all potential common shares were determined to be anti-dilutive. The following table sets forth the computation of net loss per common share:</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6"/>
        </w:trPr>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60" w:type="dxa"/>
            <w:vAlign w:val="bottom"/>
          </w:tcPr>
          <w:p>
            <w:pPr>
              <w:spacing w:after="0"/>
              <w:rPr>
                <w:sz w:val="22"/>
                <w:szCs w:val="22"/>
                <w:color w:val="auto"/>
              </w:rPr>
            </w:pPr>
          </w:p>
        </w:tc>
      </w:tr>
      <w:tr>
        <w:trPr>
          <w:trHeight w:val="197"/>
        </w:trPr>
        <w:tc>
          <w:tcPr>
            <w:tcW w:w="3920" w:type="dxa"/>
            <w:vAlign w:val="bottom"/>
            <w:tcBorders>
              <w:top w:val="single" w:sz="8" w:color="CCEEFF"/>
            </w:tcBorders>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198"/>
        </w:trPr>
        <w:tc>
          <w:tcPr>
            <w:tcW w:w="39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89,365,798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62,828,513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89,109,772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62,676,591</w:t>
            </w:r>
          </w:p>
        </w:tc>
        <w:tc>
          <w:tcPr>
            <w:tcW w:w="60" w:type="dxa"/>
            <w:vAlign w:val="bottom"/>
            <w:tcBorders>
              <w:bottom w:val="single" w:sz="8" w:color="CCEEFF"/>
            </w:tcBorders>
          </w:tcPr>
          <w:p>
            <w:pPr>
              <w:spacing w:after="0"/>
              <w:rPr>
                <w:sz w:val="20"/>
                <w:szCs w:val="20"/>
                <w:color w:val="auto"/>
              </w:rPr>
            </w:pPr>
          </w:p>
        </w:tc>
      </w:tr>
      <w:tr>
        <w:trPr>
          <w:trHeight w:val="210"/>
        </w:trPr>
        <w:tc>
          <w:tcPr>
            <w:tcW w:w="3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the total number of securities that could potentially dilute basic net loss per share in the future that were not included in the computation of diluted net loss per share because the effect would have been antidilutive was 9.6 million and 10.4 million, respectively.</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the total number of securities that could potentially dilute basic net loss per share in the future that were not included in the computation of diluted net loss per share because the effect would have been antidilutive was 10.5 million and 10.2 million, respectively.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COLLABORATION AND LICENSING AGREEMENTS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Kyowa Kirin Co., Ltd. (“KKC”)</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KKC Agreement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November 2019, the Company entered into a research collaboration and option agreement with KKC (the “2019 KKC Agreement”) for research associated with identifying two pre-clinical compounds that are ready for designation as development compounds (“DCs”), with one compound inhibiting the first undisclosed target (“Program 1”), and a second inhibiting the second undisclosed target (“Program 2”). Pursuant to the 2019 KKC Agreement, upon completion of the research and designation by the research steering committee of one or more DCs, KKC has the right to execute one or more separate collaborative agreements relating to the development and commercialization of one or both DCs in certain specified territories.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terms of the 2019 KKC Agreement, KKC agreed to pay the Company a non-refundable, non-creditable upfront fee of $10.0 million, payable as follows: the first installment of $5.0 million within 30 days of November 11, 2019 (the “Effective Date”), and the second installment of $5.0 million on the first anniversary of the Effective Date, unless the 2019 KKC Agreement is earlier terminated by KKC due to material breach by the Company. The term of the 2019 KKC Agreement commenced on the Effective Date and ends on the earliest of: (i) two years following the Effective Date, (ii) the nomination of a program DC for both programs, (iii) the nomination of one program DC and the decision by the parties to cease research for the other program, or (iv) the decision by the parties to cease research for both programs. The Company assessed the 2019 KKC Agreement in accordance with ASC 606 and concluded that the contract’s counterparty, KKC, is a customer. Management also considered the modification guidance prescribed in ASC 606 and concluded that the 2019 KKC Agreement should be accounted for as a separate contract from the 2017 KKC Agreement, as defined and discussed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identified various promises in the 2019 KKC Agreement, including: the grant of an initial research license; the Program 1 research; the Program 2 research; the right to obtain certain development and commercialization rights to a Program 1 DC in certain territories; the right to obtain development and commercialization rights to a Program 2 DC in certain territories; and participation in a joint steering committee (“JSC”). The Company determined that KKC could not benefit from either of the research programs without the research license and participation in the JSC. As such, the combined license, research programs and participation in the JSC were deemed to be the highest level of goods and services that can be deemed distinct for each of the Program 1 research and Program 2 research. The Company concluded that the options to obtain additional development and commercialization rights that are exercisable by KKC under certain circumstances are not performance obligations of the contract at inception because the option fees reflect the standalone selling price of the options, and therefore, the options are not considered to be material rights.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At the outset of the 2019 KKC Agreement, the Company determined that the initial transaction price amounted to $10.0 million and that revenue associated with the combined performance obligations will be recognized as services are provided using an input method. Since transfer of control occurs over time, in management’s judgment this input method is the best measure of progress towards satisfying the performance obligations and reflects a faithful depiction of the transfer of goods and services. Revenue will be recognized over the Program 1 and Program 2 research periods, which are currently expected to extend through the end of 2021. Management will re-evaluate the estimates related to the transaction price at the end of each reporting period and as uncertain events are resolved or other changes in circumstances occur and adjust the timing of revenue recognition as necessary.</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$1.4 million and $3.7. million, respectively, as revenue under the 2019 KKC Agreement in the accompanying statement of operations and comprehensive loss. The aggregate amount of the transaction price allocated to the Company’s partially unsatisfied performance obligations as of September 30, 2020 was $5.9 million, of which $0.9 million is presented in the accompanying condensed balance sheet as deferred revenue. As of September 30, 2020, the Company expects to recognize the remaining transaction price allocated to the Company’s partially unsatisfied performance obligations over the remaining research terms, which, as noted above, are currently expected to extend through the end of 2021. There were no significant changes in estimates associated with the 2019 KKC Agreement during the three or nine months ended September 30, 2020.</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2017 KKC Agreement</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November 2017, the Company entered into an exclusive license agreement with KKC (the “2017 KKC Agreement”), for the development, commercialization and distribution of tenapanor in Japan for cardiorenal indications. The Company granted KKC an exclusive license to develop and commercialize certain sodium hydrogen exchanger 3 (“NHE3”) inhibitors including tenapanor in Japan for the treatment of cardiorenal diseases and conditions, excluding cancer. The Company retained the rights to tenapanor outside of Japan, and also retained the rights to tenapanor in Japan for indications other than those stated above. Pursuant to the 2017 KKC Agreement, KKC is responsible for all costs and expenses incurred in the development and commercialization of tenapanor for the treatment of cardiorenal diseases and conditions, excluding cancer in Japan. Under the 2017 KKC Agreement, the Company is responsible for supplying the tenapanor drug product for KKC’s use in development and during commercialization until KKC has assumed such responsibility. Additionally, the Company is responsible for supplying the tenapanor drug substance for KKC’s use in development and commercialization throughout the term of the 2017 KKC Agreement, provided that KKC may exercise an option to manufacture the tenapanor drug substance under certain conditions.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these arrangements in accordance with ASC 606 and concluded that the contract counterparty, KKC, is a customer. Under the terms of the 2017 KKC Agreement, the Company received $30.0 million in upfront license fees, which was recognized as revenue when the agreement was executed. Based on the Company’s assessment, management determined that the license and the manufacturing supply services were its material performance obligations at the inception of the 2017 KKC Agreement, and as such, each of the performance obligations is distinct. Additionally, the Company recorded unbilled revenue of $5.0 million and an increase in uncharged license fees of $1.0 million related to the first milestone under the 2017 KKC Agreement that KKC; this first milestone was achieved in February 2019.</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$30.0 million upfront license fee, the Company may be entitled to receive up to $55.0 million in total development milestones, of which $5.0 million has been received to date, and approximately $80.4 million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commercialization milestones, as well as reimbursement of costs plus a reasonable overhead for the supply of product and high-teen royalties on net sales throughout the term of the agreement. The variable consideration related to the remaining development milestone payments has not been included in the transaction price as these were fully constrained at September 30, 2020.</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2020, the Company recognized $1.4 million as other revenue related to the manufacturing supply of tenapanor and other materials to KKC pursuant to the 2017 KKC Agreement. Similarly, for the three and nine months ended September 30, 2019, $13,000 and $31,000, respectively, was recognized as other revenue.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Xuanzhu (HK) Biopharmaceutical Limited (“XuanZhu”)</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In November 2019, the Company entered into a license agreement with XuanZhu (the “XuanZhu Agreement”), pursuant to which the Company granted XuanZhu a license to certain specific patent and patent applications. The Company assessed the XuanZhu Agreement in accordance with ASC 606 and concluded that the contract counterparty, XuanZhu, is a customer. Under the terms of the XuanZhu Agreement, the Company recognized $1.5 million in license fees, which constituted the initial transaction price, when the agreement was executed, of which $750,000 was received upfront in November 2019, and achievement for the second $750,000 payment, related to the issuance and grant of a specific patent, was determined to be not materially at risk and probable of achievement. Based on management’s assessment, the Company determined that it has one combined performance obligation, which is the license and the specific patent grant.</w:t>
      </w:r>
    </w:p>
    <w:p>
      <w:pPr>
        <w:spacing w:after="0" w:line="17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No revenue related to the XuanZhu Agreement was recorded during the three and nine months ended September 30, 2020.</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Shanghai Fosun Pharmaceutical Industrial Development Co. Ltd. (“Fosun Pharma”)</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December 2017, the Company entered into an exclusive license agreement with Fosun Pharma (the “Fosun Agreement”), for the development, commercialization and distribution of tenapanor in China for both hyperphosphatemia and IBS-C. The Company assessed these arrangements in accordance with ASC 606 and concluded that the contract counterparty, Fosun Pharma, is a customer. Under the terms of the Fosun Agreement, the Company received $12.0 million in upfront license fees which was recognized as revenue when the agreement was executed. Based on management’s assessment, the Company determined that the license and the manufacturing supply services represented the material performance obligations at the inception of the agreement, and as such, each of the performance obligations is distinct.</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 may be entitled to additional development and commercialization milestones of up to $110.0 million, as well as reimbursement of cost plus a reasonable overhead for the supply of product and tiered royalties on net sales ranging from the mid-teens to 20%. The variable consideration related to the remaining development milestone payments has not been included in the transaction price as these were fully constrained at September 30, 2020.</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recorded no revenue during the three and nine months ended September 30, 2020 related to the Fosun Agreement. During each of the three and nine months ended September 30, 2019, $3.0 million licensing revenue was recorded upon the achievement of a development milestone pursuant to the Fosun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Knight Therapeutics, Inc. (“Knight“)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March 2018, the Company entered into an exclusive license agreement with Knight (the “Knight Agreement”), for the development, commercialization and distribution of tenapanor in Canada for hyperphosphatemia and IBS-C. The Company assessed this arrangement in accordance with ASC 606 and concluded that the contract counterparty, Knight, is a customer. Based on management’s assessment, the Company determined that the license and the manufacturing supply services represented the material performance obligations at the inception of the agreement, and as such, each of the performance obligations is distinct.</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 agreement, the Company received a $2.3 million nonrefundable, one-time upfront payment in March 2018 and is eligible to receive additional development and commercialization milestone payments worth up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$16.4 million. The Company is also eligible to receive royalties throughout the term of the agreement, and a transfer price for manufacturing services. The variable consideration related to the remaining development milestone payments has not been included in the transaction price as these were fully constrained at September 30, 2020.</w:t>
      </w:r>
    </w:p>
    <w:p>
      <w:pPr>
        <w:spacing w:after="0" w:line="168" w:lineRule="exact"/>
        <w:rPr>
          <w:sz w:val="20"/>
          <w:szCs w:val="20"/>
          <w:color w:val="auto"/>
        </w:rPr>
      </w:pPr>
    </w:p>
    <w:p>
      <w:pPr>
        <w:jc w:val="both"/>
        <w:ind w:left="60" w:right="59" w:firstLine="324"/>
        <w:spacing w:after="0" w:line="226" w:lineRule="auto"/>
        <w:rPr>
          <w:sz w:val="20"/>
          <w:szCs w:val="20"/>
          <w:color w:val="auto"/>
        </w:rPr>
      </w:pPr>
      <w:r>
        <w:rPr>
          <w:rFonts w:ascii="Times New Roman" w:cs="Times New Roman" w:eastAsia="Times New Roman" w:hAnsi="Times New Roman"/>
          <w:sz w:val="18"/>
          <w:szCs w:val="18"/>
          <w:color w:val="auto"/>
        </w:rPr>
        <w:t>In April 2020, Knight announced that it had received approval from Health Canada for IBSRELA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(tenapanor) for the treatment of IBS-C, and in May 2020, the Company received a development milestone payment from Knight related to the achievement of the aforementioned milestone.</w:t>
      </w:r>
    </w:p>
    <w:p>
      <w:pPr>
        <w:spacing w:after="0" w:line="20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2020 the Company recognized zero and $0.7 million, respectively, as licensing revenue, and for the three and nine months ended September 30, 2019, no revenue was recognized related to the Knight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AstraZeneca AB (“AstraZeneca”)</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June 2015, the Company entered into a termination agreement with AstraZeneca (the “AstraZeneca Termination Agreement”) pursuant to which the Company has agreed to pay AstraZeneca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As of September 30, 2020, to date in aggregate, the Company has recognized $10.6 million of the $75.0 million, recorded as cost of revenue, and has paid AstraZeneca $10.6 million. For the three and nine months ended September 30, 2020 the Company has recognized and recorded as cost of revenue zero and $0.1 million, respectively, related to the AstraZeneca Termination Agreement. Similarly, for each of the three and nine months ended September 30, 2019 the Company recognized $0.1 million as cost of revenue.</w:t>
      </w:r>
    </w:p>
    <w:p>
      <w:pPr>
        <w:spacing w:after="0" w:line="194"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Company’s deferred revenue balance, which is attributable entirely to the 2019 KKC Agreement discussed above, during the reporting period:</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10"/>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Increases due to cash received, excluding amounts recognized as revenue during the period</w:t>
            </w: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Decreases due to revenue recognized in the period for which cash has been received</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7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Decreases due to revenue recognized in the period for which cash has not been received</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r>
      <w:tr>
        <w:trPr>
          <w:trHeight w:val="209"/>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CONTINGENCIES</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claims arising in connection with its business. Based on information currently available, management believes that the amount, or range, of reasonably possible losses in connection with any pending actions against the Company will not be material to the Company’s financial condition or cash flows, and no contingent liabilities were accrued as of September 30, 2020 or 2019.</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While the Company continues to evaluate the impact of the CARES Act, it does not expect the provisions of the legislation to have a significant impact on the effective tax rate or on the income tax provision or deferred income tax positions of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SUBSEQUENT EVENT</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On October 9, 2020, the Company and the Lenders entered into an amendment to the Loan Agreement, as defined and discussed in Note 5, to extend the date through which the Company is permitted to make interest-only payments on the Term Loan from December 1, 2020 to December 1, 2021 (the “Amended Interest Only Period”); provided that, if (a) the FDA does not approve the Company’s NDA for tenapanor for control of serum phosphorus in adult CKD patients on dialysis on or before May 31, 2021 or (b) the FDA issues a complete response letter (“CRL”) for tenapanor for the control of serum phosphorus in adult CKD patients on dialysis, then the Amended Interest Only Period will be shortened to the earlier of June 1, 2021 or the first day of the month immediately following the date that the FDA issues the CRL. In addition, the Company and the Lenders have agreed to increase the fee that is due upon the earliest to occur of the maturity date, the acceleration of the Term Loan, the prepayment or repayment of the Term Loan or the termination of the Loan Agreement from 3.95% of the Term Loan to 4.95% of the Term Loan and set a minimum LIBOR rate of 0.25%. The Company paid an amendment fee of $125,000, in aggregate, to the Lenders in October 2020 and November 2020. The amendment to the interest-only payments period results in the classification of the loan payable as non-current in the condensed balance sheet at September 30, 2020.</w:t>
      </w:r>
    </w:p>
    <w:p>
      <w:pPr>
        <w:spacing w:after="0" w:line="200" w:lineRule="exact"/>
        <w:rPr>
          <w:sz w:val="20"/>
          <w:szCs w:val="20"/>
          <w:color w:val="auto"/>
        </w:rPr>
      </w:pPr>
    </w:p>
    <w:p>
      <w:pPr>
        <w:spacing w:after="0" w:line="231" w:lineRule="exact"/>
        <w:rPr>
          <w:sz w:val="20"/>
          <w:szCs w:val="20"/>
          <w:color w:val="auto"/>
        </w:rPr>
      </w:pPr>
    </w:p>
    <w:p>
      <w:pPr>
        <w:ind w:left="1020" w:right="199" w:hanging="971"/>
        <w:spacing w:after="0" w:line="286"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2019.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22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We are a specialized biopharmaceutical company focused on developing innovative first-in-class medicines to improve treatment for people with kidney and cardiovascular diseases. This includes patients with chronic kidney disease (“CKD”) on dialysis suffering from elevated serum phosphorus (“hyperphosphatemia”) and patients with CKD and/or heart failure patients with elevated serum potassium (“hyperkalemia”).</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Tenapanor: A New Approach for The Control of Serum Phosphorus in CKD Patients on Dialysis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portfolio is led by the development of tenapanor, a first-in-class medicine for the control of serum phosphorus in adult patients with CKD on dialysis. Tenapanor for the control of serum phosphorus has a unique mechanism of action and acts locally in the gut to inhibit the sodium hydrogen exchanger 3 (“NHE3”). This results in the tightening of the epithelial cell junctions, thereby significantly reducing paracellular uptake of phosphate, the primary pathway of phosphate absorption. On September 15, 2020 we announced that the U.S. Food and Drug Administration (“FDA”) accepted the filing of our New Drug Application (“NDA”) for tenapanor for the control of serum phosphorus in adult patients with CKD on dialysis. The acceptance of our NDA represents the next critical step towards bringing to market a completely new approach to the management of hyperphosphatemia. The FDA has set a Prescription Drug User Fee Act (“PDUFA”) goal date of April 29, 2021. We continue to advance commercial preparations for the launch of tenapanor. The NDA is supported by three successful Phase 3 trials involving over 1,000 patients that evaluated the use of tenapanor for the control of serum phosphorus in CKD patients on dialysis, with two trials evaluating tenapanor as monotherapy and one trial evaluating tenapanor as part of a dual mechanism approach with binders.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agreements with Kyowa Kirin Co., Ltd. (“KKC”) in Japan, Shanghai Fosun Pharmaceutical Industrial Development Co. Ltd. (“Fosun Pharma”) in China and Knight Therapeutics, Inc. (“Knight“) in Canada for the development and commercialization of tenapanor for certain indications in their respective territories.</w:t>
      </w:r>
    </w:p>
    <w:p>
      <w:pPr>
        <w:spacing w:after="0" w:line="176" w:lineRule="exact"/>
        <w:rPr>
          <w:sz w:val="20"/>
          <w:szCs w:val="20"/>
          <w:color w:val="auto"/>
        </w:rPr>
      </w:pPr>
    </w:p>
    <w:p>
      <w:pPr>
        <w:jc w:val="both"/>
        <w:ind w:left="60" w:right="59" w:firstLine="369"/>
        <w:spacing w:after="0" w:line="254" w:lineRule="auto"/>
        <w:rPr>
          <w:sz w:val="20"/>
          <w:szCs w:val="20"/>
          <w:color w:val="auto"/>
        </w:rPr>
      </w:pPr>
      <w:r>
        <w:rPr>
          <w:rFonts w:ascii="Times New Roman" w:cs="Times New Roman" w:eastAsia="Times New Roman" w:hAnsi="Times New Roman"/>
          <w:sz w:val="18"/>
          <w:szCs w:val="18"/>
          <w:color w:val="auto"/>
        </w:rPr>
        <w:t>In December 2019, we reported statistically significant topline efficacy results from our second monotherapy Phase 3 clinical trial, the PHREEDOM trial, which evaluated tenapanor for the control of serum phosphorus in CKD patients on dialysis. The PHREEDOM trial followed a successful monotherapy Phase 3 clinical trial completed in 2017, which achieved statistical significance for the primary endpoint. PHREEDOM is a one-year study with a 26-week open-label treatment period and a 12-week double-blind, placebo-controlled randomized withdrawal period followed by a 14-week open-label safety extension period. An active safety control group, for safety analysis only, received sevelamer, open-label, for the entire 52-week study period. Patients completing the PHREEDOM trial from both the tenapanor arm and the sevelamer active safety control arm had the option to participate in NORMALIZE, an ongoing open-label 18-month extension study.</w:t>
      </w:r>
    </w:p>
    <w:p>
      <w:pPr>
        <w:spacing w:after="0" w:line="188"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June 2020, we announced positive results from a planned interim data analysis from our ongoing NORMALIZE extension study evaluating tenapanor, as monotherapy or in combination with sevelamer, to achieve serum phosphorus levels in the normal range (2.5 – 4.5 mg/dL) in patients with CKD on dialysis. The NORMALIZE extension study allowed patients from our PHREEDOM study to continue therapy with tenapanor and enabled those patients in the PHREEDOM safety control arm receiving sevelamer carbonate to transition to tenapanor. The data from the planned interim analysis demonstrated that the foundational use of tenapanor as monotherapy or in combination with sevelamer carbonate produces a significant phosphorus-lowering effect with a mean serum phosphorous reduction of 2.33 mg/dL, from a mean baseline phosphorus of 7.27 mg/dL at the beginning of the PHREEDOM trial to a mean of 4.94 mg/dL at the time of this analysis. Of the 171 patients in this interim analysis who completed up to 9 months of treatment in this extension study, up to 47.4% achieved a normal serum phosphorus level, and of those, the majority were on tenapanor alone or tenapanor with low dose sevelamer of ≤3 sevelamer tablets per day. These data represent a 58% improvement in the rate of patients who achieve a normal serum phosphorus level, as compared to current treatment practice data as reported in the April 2020 Dialysis Outcomes Practice Patterns Study (“DOPPS”) Practice Monitor. The DOPPS data demonstrate that, with currently available treatments, only 30% of patients have serum phosphorous levels &lt; 4.6 mg/dL. The only adverse event reported in &gt;5% of patients in NORMALIZE was diarrhea, with an incidence rate of 23.3%.</w:t>
      </w:r>
    </w:p>
    <w:p>
      <w:pPr>
        <w:spacing w:after="0" w:line="19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September 2019, we reported positive results from the AMPLIFY trial, a Phase 3 study evaluating tenapanor in patients with CKD on dialysis who had uncontrolled hyperphosphatemia despite phosphate binder treatment.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June 2020, our partner Kyowa Kirin Co., Ltd. (“KKC”), a Japan-based global specialty pharmaceutical company exclusively developing tenapanor in Japan, presented results from a Phase 2 trial of tenapanor at the European Renal Association-European Dialysis and Transplant Association annual meeting (“ERA-EDTA 2020”). The trial was designed to evaluate if, with tenapanor, patients with hyperphosphatemia undergoing hemodialysis could achieve at least a 30% decrease in mean pill burden while maintaining their serum phosphorus level. The study results were statistically significant, with 71.6% (p&lt;0.001) of patients achieving at least a 30% reduction in mean pill burden. The overall mean reduction in phosphate binder usage was 80% (reduction from 14.7 to 3.0 pills per day), while maintaining serum phosphorus control. The mean phosphorus level of patients entering the study on treatment with binders was 5.2 mg/dL at baseline and 4.7 mg/dL at the end of the 26-week study.</w:t>
      </w:r>
    </w:p>
    <w:p>
      <w:pPr>
        <w:spacing w:after="0" w:line="188"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Tenapanor, if approved, would be the first therapy for phosphate management that blocks phosphorus absorption at the primary pathway of uptake. It is not a phosphate binder. Tenapanor is a novel, potent, small molecule, that has been shown in the phase 3 studies to treat hyperphosphatemia as monotherapy and as a dual mechanism approach. Additionally, we believe tenapanor could greatly improve patient adherence and compliance with one single pill dosed twice daily in contrast to current therapies where typically multiple pills are taken before every meal.</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RDX013 Program: Small Molecule for Treating Hyperkalemia</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renin-angiotensin-aldosterone system (“RAAS”) inhibitors. Similar to what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done with tenapanor in developing a non-binder approach for the treatment of elevated serum phosphate levels, RDX013 is designed to target the underlying biological mechanisms of potassium secretion to lower elevated potassium. While currently available therapies are all ion exchange agents, RDX013 is a first in class approach that exerts its effects by amplifying the underlying pathways of potassium secretion in the colon.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IBSRELA® (tenapanor) for Irritable Bowel Syndrome with Constipation (IBS-C)</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development of tenapanor for hyperphosphatemia, we have developed tenapanor for the treatment of patients with irritable bowel syndrome with constipation (“IBS-C”). In September 2019, we received FDA approval of IBSRELA® (tenapanor) for the treatment of IBS-C in adults. IBS-C is a burdensome gastrointestinal (“GI”) disorder. It is characterized by significant abdominal pain, constipation, straining during bowel movements, bloating and/or gas.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discover targets found in the GI tract that regulate processes in the body and design product candidates that act upon those targets to take advantage of the gut’s ability to communicate with other organs.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Since commencing operations in October 2007, substantially all our efforts have been dedicated to our research and development (“R&amp;D”) activities, including developing our clinical product candidate tenapanor and developing our proprietary drug discovery and design platform. We have not generated any revenues from product sales. As of September 30, 2020, we had an accumulated deficit of $525.9 million.</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operating losses for the foreseeable future as a result of costs associated with the following activities: our continued development of tenapanor for the control of serum phosphorus in CKD patients on dialysis; our preparations for the commercialization of tenapanor in the United States for the control of serum phosphorus in CKD patients on dialysis, including significantly increased personnel costs associated with building out our commercial team; the performance of certain activities required as a result of our NDA approval of tenapanor for IBS-C; and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The global COVID-19 pandemic has impacted the operational decisions of companies worldwide. It also has created and may continue to create significant uncertainty in the global economy. We have undertaken measures to protect our employees, partners, collaborators, and vendors, some of which impact our normal operations. To date, we have been able to continue our operations with our workforce, most of whom are working remotely, and our pre-existing infrastructure that supports secure access to our internal systems. If, however, the COVID-19 pandemic has a substantial impact on the productivity of our employees, our ability to successfully prepare for the commercial launch of tenapanor for the control of serum phosphorous in CKD patients on dialysis, including our ability to hire and successfully integrate into the company the new personnel required to prepare for such launch, or our ability to progress our research and development efforts, the results of our operations and overall financial performance may be adversely impacted. The extent of the impact from the COVID-19 pandemic on our business will depend largely on future developments that are highly uncertain and cannot be predicted. For a discussion of risks of COVID-19 relating to our business, see “Part II: Other Information-Item 1A.- Risk Factors- Risks Related to Our Business- </w:t>
      </w:r>
      <w:r>
        <w:rPr>
          <w:rFonts w:ascii="Times New Roman" w:cs="Times New Roman" w:eastAsia="Times New Roman" w:hAnsi="Times New Roman"/>
          <w:sz w:val="18"/>
          <w:szCs w:val="18"/>
          <w:i w:val="1"/>
          <w:iCs w:val="1"/>
          <w:color w:val="auto"/>
        </w:rPr>
        <w:t>The ongoing COVID-19 pandemic, or any other outbreak of epidemic diseases,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perception of their effects, could have a material adverse effect on our business, financial condition, results of operations or cash flows</w:t>
      </w:r>
      <w:r>
        <w:rPr>
          <w:rFonts w:ascii="Times New Roman" w:cs="Times New Roman" w:eastAsia="Times New Roman" w:hAnsi="Times New Roman"/>
          <w:sz w:val="18"/>
          <w:szCs w:val="18"/>
          <w:color w:val="auto"/>
        </w:rPr>
        <w:t>.” As of the date of issuance of this financial report, we are not aware of any specific 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 that would require updates to our estimates and judgments or revisions to the carrying value of our assets or liabilities. These estimates may change as new events occur and additional information is obtained.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359" w:firstLine="486"/>
        <w:spacing w:after="0" w:line="312" w:lineRule="auto"/>
        <w:rPr>
          <w:sz w:val="20"/>
          <w:szCs w:val="20"/>
          <w:color w:val="auto"/>
        </w:rPr>
      </w:pPr>
      <w:r>
        <w:rPr>
          <w:rFonts w:ascii="Times New Roman" w:cs="Times New Roman" w:eastAsia="Times New Roman" w:hAnsi="Times New Roman"/>
          <w:sz w:val="17"/>
          <w:szCs w:val="17"/>
          <w:color w:val="auto"/>
        </w:rPr>
        <w:t>Our discussion and analysis of financial condition and results of operations is based on our condensed financial statements, which have been prepared in accordance with accounting principles generally accepted in the United States.</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spacing w:after="0" w:line="183" w:lineRule="exact"/>
        <w:rPr>
          <w:sz w:val="20"/>
          <w:szCs w:val="20"/>
          <w:color w:val="auto"/>
        </w:rPr>
      </w:pPr>
    </w:p>
    <w:p>
      <w:pPr>
        <w:ind w:left="60" w:right="179"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critical accounting policies that we believe impact significant judgments and estimates used in the preparation of our financial statements presented in this report are described in Part II, Item 7,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in our Annual Report on Form 10-K filed with the SEC on March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There have been no significant changes to our critical accounting policies as disclosed in our most recently filed Annual Report on Form 10-K during the three and nine months ended September 30, 2020.</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summary of recent accounting pronouncements that we have adopted or may expect to adopt is included in Note 1 – Organization and Basis of Presentation to our condensed financial statements (see Part I, Item 1 </w:t>
      </w:r>
      <w:r>
        <w:rPr>
          <w:rFonts w:ascii="Times New Roman" w:cs="Times New Roman" w:eastAsia="Times New Roman" w:hAnsi="Times New Roman"/>
          <w:sz w:val="18"/>
          <w:szCs w:val="18"/>
          <w:i w:val="1"/>
          <w:iCs w:val="1"/>
          <w:color w:val="auto"/>
        </w:rPr>
        <w:t>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of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revenue to date has been generated primarily through license, research and development collaborative agreements with various collaboration partners. We have not generated any revenue from product sales. In the future, we may generate revenue from a combination of license fees and other upfront payments, milestone payments, product sales and royalties in connection with our current or future collaborative partnerships. We expect that any revenue we generate will fluctuate in future periods as a result of, among other factors: the timing and progress of goods and services provided pursuant to our current or future collaborative partnerships; our or our collaborators’ achievement of preclinical, clinical, regulatory or commercialization milestones, to the extent achieved; the timing and amount of any payments to us relating to the aforementioned milestones; and the extent to which any of our product candidates are approved and successfully commercialized by us or a collaboration partner. If we, our current collaboration partners or any future collaboration partners fail to develop product candidates in a timely manner or to obtain regulatory approval for product candidates, our ability to generate future revenue from collaborative arrangements, and our results of operations and financial position, would be materially and adversely affected. Our past revenue performance is not necessarily indicative of results to be expected in future periods.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Cost of revenue currently represents payments due to AstraZeneca AB (“AstraZeneca”), which under the terms of a termination agreement entered into in 2015 is entitled to (i) future royalties at a rate of 10% of net sales of tenapanor or other NHE3 products by us or our licensees, and (ii) 20% of non-royalty revenue received from a new collaboration partner should we elect to license, or otherwise provide rights to develop and commercialize tenapanor or certain other NHE3 inhibitors. We have agreed to pay AstraZeneca up to a maximum of $75.0 million in the aggregate for (i) and (ii). We recognize these expenses as cost of revenue when we recognize the corresponding revenue that gives rise to payments due to AstraZeneca. To date, we have recognized an aggregate of $10.6 million of the $75.0 million under the AstraZeneca Termination Agreement.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recognize all R&amp;D expenses as they are incurred to support the discovery, research, development and manufacturing of our product candidates. R&amp;D expenses include, but are not limited to, the following:</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external R&amp;D expenses incurred under agreements with consultants, third-party contract research organizations and investigative sites where a substantial portion of our clinical studies are conducted, and with contract manufacturing organizations where our clinical supplies are produced;</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employee-related expenses, which include salaries, bonuses, benefits, travel and stock-based compensation;</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facilities and other allocated expenses, which include direct and allocated expenses for rent and maintenance of facilities, depreciation and amortization expense and information technology expenses;.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expenses associated with supplies and materials consumed in connection with our research operations;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other costs associated with research, clinical development and regulatory activities.</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expect to continue to make substantial investments in research and development activities as we further progress the development of tenapanor, as well as our other product candidates, as we advance our research programs into the preclinical stage and as we continue our early stage research. The process of conducting preclinical studies and clinical trials necessary to obtain regulatory approval is costly and time-consuming. We may not succeed in achieving marketing approval for our product candidates, including tenapanor for the control of serum phosphorus. The probability of success of each of our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may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stock-based compensation, for our executive, board, finance, legal, business development, market development, commercial and support staff. Other general and administrative expenses include facility related costs and professional fees for legal, accounting and audit, investor relations, other consulting services and allocated facility-related costs not otherwise included in research and development expenses.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primarily because of increased pre-commercial activities, personnel costs and professional fees for services to support the potential launch and commercialization of tenapanor for the control of serum phosphorus in CKD patients on dialysis.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represents the interest accrued on our loan payable.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83" w:lineRule="exact"/>
        <w:rPr>
          <w:sz w:val="20"/>
          <w:szCs w:val="20"/>
          <w:color w:val="auto"/>
        </w:rPr>
      </w:pPr>
    </w:p>
    <w:p>
      <w:pPr>
        <w:ind w:left="60" w:right="459" w:firstLine="324"/>
        <w:spacing w:after="0" w:line="282" w:lineRule="auto"/>
        <w:rPr>
          <w:sz w:val="20"/>
          <w:szCs w:val="20"/>
          <w:color w:val="auto"/>
        </w:rPr>
      </w:pPr>
      <w:r>
        <w:rPr>
          <w:rFonts w:ascii="Times New Roman" w:cs="Times New Roman" w:eastAsia="Times New Roman" w:hAnsi="Times New Roman"/>
          <w:sz w:val="18"/>
          <w:szCs w:val="18"/>
          <w:color w:val="auto"/>
        </w:rPr>
        <w:t>Other income consists of interest income earned on our cash and cash equivalents and short-term investments, the periodic revaluation of the exit fee related to our loan and currency exchange gains and losses.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The CARES Act includes, among other features,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While we continue to evaluate the impact of the CARES Act, we do not expect the provisions of the legislation to have a significant impact on the effective tax rate or on the income tax provision or deferred income tax positions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September 30, 2020 and 2019</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for the periods indicated (amounts in thousands, except percentages):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(30.4)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19,874</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4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(1,202)</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(16.7)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4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2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40" w:type="dxa"/>
            <w:vAlign w:val="bottom"/>
          </w:tcPr>
          <w:p>
            <w:pPr>
              <w:spacing w:after="0"/>
              <w:rPr>
                <w:sz w:val="19"/>
                <w:szCs w:val="19"/>
                <w:color w:val="auto"/>
              </w:rPr>
            </w:pPr>
          </w:p>
        </w:tc>
      </w:tr>
      <w:tr>
        <w:trPr>
          <w:trHeight w:val="23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Collaborative development 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29"/>
        </w:trPr>
        <w:tc>
          <w:tcPr>
            <w:tcW w:w="4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r>
      <w:tr>
        <w:trPr>
          <w:trHeight w:val="209"/>
        </w:trPr>
        <w:tc>
          <w:tcPr>
            <w:tcW w:w="4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40" w:type="dxa"/>
            <w:vAlign w:val="bottom"/>
            <w:shd w:val="clear" w:color="auto" w:fill="CCEEFF"/>
          </w:tcPr>
          <w:p>
            <w:pPr>
              <w:spacing w:after="0"/>
              <w:rPr>
                <w:sz w:val="19"/>
                <w:szCs w:val="19"/>
                <w:color w:val="auto"/>
              </w:rPr>
            </w:pPr>
          </w:p>
        </w:tc>
      </w:tr>
      <w:tr>
        <w:trPr>
          <w:trHeight w:val="230"/>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(10,488)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40" w:type="dxa"/>
            <w:vAlign w:val="bottom"/>
          </w:tcPr>
          <w:p>
            <w:pPr>
              <w:spacing w:after="0"/>
              <w:rPr>
                <w:sz w:val="19"/>
                <w:szCs w:val="19"/>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w:t>
            </w: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r>
      <w:tr>
        <w:trPr>
          <w:trHeight w:val="209"/>
        </w:trPr>
        <w:tc>
          <w:tcPr>
            <w:tcW w:w="42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(6,547)</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8"/>
                <w:szCs w:val="18"/>
                <w:color w:val="auto"/>
              </w:rPr>
            </w:pPr>
          </w:p>
        </w:tc>
      </w:tr>
      <w:tr>
        <w:trPr>
          <w:trHeight w:val="210"/>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9"/>
        </w:trPr>
        <w:tc>
          <w:tcPr>
            <w:tcW w:w="4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(3,785)</w:t>
            </w:r>
          </w:p>
        </w:tc>
        <w:tc>
          <w:tcPr>
            <w:tcW w:w="2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(4,328)</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6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40" w:type="dxa"/>
            <w:vAlign w:val="bottom"/>
          </w:tcPr>
          <w:p>
            <w:pPr>
              <w:spacing w:after="0"/>
              <w:rPr>
                <w:sz w:val="19"/>
                <w:szCs w:val="19"/>
                <w:color w:val="auto"/>
              </w:rPr>
            </w:pPr>
          </w:p>
        </w:tc>
      </w:tr>
      <w:tr>
        <w:trPr>
          <w:trHeight w:val="229"/>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40" w:type="dxa"/>
            <w:vAlign w:val="bottom"/>
            <w:shd w:val="clear" w:color="auto" w:fill="CCEEFF"/>
          </w:tcPr>
          <w:p>
            <w:pPr>
              <w:spacing w:after="0"/>
              <w:rPr>
                <w:sz w:val="19"/>
                <w:szCs w:val="19"/>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(74,847)</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 w:type="dxa"/>
            <w:vAlign w:val="bottom"/>
            <w:shd w:val="clear" w:color="auto" w:fill="CCEEFF"/>
          </w:tcPr>
          <w:p>
            <w:pPr>
              <w:spacing w:after="0"/>
              <w:rPr>
                <w:sz w:val="19"/>
                <w:szCs w:val="19"/>
                <w:color w:val="auto"/>
              </w:rPr>
            </w:pPr>
          </w:p>
        </w:tc>
      </w:tr>
      <w:tr>
        <w:trPr>
          <w:trHeight w:val="21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(65,437)</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(75,150)</w:t>
            </w: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60"/>
        <w:spacing w:after="0" w:line="223" w:lineRule="auto"/>
        <w:rPr>
          <w:sz w:val="20"/>
          <w:szCs w:val="20"/>
          <w:color w:val="auto"/>
        </w:rPr>
      </w:pPr>
      <w:r>
        <w:rPr>
          <w:rFonts w:ascii="Times New Roman" w:cs="Times New Roman" w:eastAsia="Times New Roman" w:hAnsi="Times New Roman"/>
          <w:sz w:val="9"/>
          <w:szCs w:val="9"/>
          <w:color w:val="auto"/>
        </w:rPr>
        <w:t>____________________________________</w:t>
      </w:r>
    </w:p>
    <w:p>
      <w:pPr>
        <w:ind w:left="180" w:hanging="130"/>
        <w:spacing w:after="0" w:line="236"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Not meaningful</w:t>
      </w:r>
    </w:p>
    <w:p>
      <w:pPr>
        <w:spacing w:after="0" w:line="208"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are not necessarily indicative of the results to be expected for the year ended December 31, 2020, for any other interim period, or for any other future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Total revenue was $2.7 million for the three months ended September 30, 2020, a decrease of $0.3 million compared to $3.0 million for the three months ended September 30, 2019. This decrease was primarily attributable to $3.0 million revenue recognized related to achievement of a milestone pursuant to the Fosun agreement during the three months ended September 30, 2019, partially offset by $1.3 million collaborative development revenue recognized in connection with the research collaboration and option agreement entered into in December 2019 with Kyowa Kirin Co., Ltd. (“KKC”) (the “2019 KKC Agreement”) and a $1.4 million increase in manufacturing supply of tenapanor and other materials sold to KKC in connection with the license agreement entered into with KKC in November 2017 (the “2017 KKC Agreement”) for its product development and clinical trials in Japan. For the above mentioned 2019 KKC Agreement with an initial transaction price of $10.0 million, revenue is being recognized as services are provided using an input method. As of September 30, 2020, the remaining unamortized initial transaction price totaled $5.9 million, and we currently expect this amount will be recognized through the end of 2021.</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Total revenue was $5.7 million for the nine months ended September 30, 2020, an increase of $2.7 million compared to $3.0 million for the nine months ended September 30, 2019. This increase was primarily attributable to $3.6 million higher collaborative development revenue recognized in connection with the 2019 KKC Agreement, a $0.7 million licensing revenue recognized upon Knight’s achievement of a development milestone, pursuant to the Knight Agreement and a $1.4 million increase in manufacturing supply of tenapanor and other materials sold to KKC in accordance with the 2017 KKC Agreement, partially offset by $3.0 million revenue related to achievement of a milestone pursuant to the Fosun agreement during the nine months ended September 30, 2019.</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decrease in cost of revenue for both the three and nine months ended September 30, 2020 was due to a decrease in fees owed to AstraZeneca pursuant to the AstraZeneca Termination Agreement, corresponding to a reduction in licensing revenue realized.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R&amp;D expenses incurred during the periods indicated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3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10,629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Employee-related expenses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equipment and depreciation expenses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Employee-related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Facilities, equipment and depreciation expenses</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46,948</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decrease in our external R&amp;D expenses for the three months ended September 30, 2020 primarily includes a $5.1 million decrease in our tenapanor-related expenses, as well as a $0.6 million decrease in our RDX013 program-related expenses, partially offset by $0.8 million of higher expenses attributable to 2019 KKC Agreement-related research and general R&amp;D expenses. Of the overall tenapanor-related decrease, approximately $3.6 million relates to lower clinical study costs due to the winding down of expenses associated with our Phase 3 program for tenapanor for the control of hyperphosphatemia, an approximately $0.7 million decrease in manufacturing expenses due to reduced validation related expenses for tenapanor and a decrease of $0.7 million related to regulatory expenses in 2020 as compared to 2019.</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decrease in our external R&amp;D expenses for the nine months ended September 30, 2020 primarily includes a $11.1 million decrease in our tenapanor-related expenses, as well as a $2.0 million decrease in our RDX013 program-related expenses, partially offset by $2.1 million of higher expenses attributable to 2019 KKC Agreement-related research and general R&amp;D expenses. Of the overall tenapanor-related decrease, approximately $15.2 million relates to lower clinical study costs due to the winding down of expenses associated with our Phase 3 program for tenapanor for the control of hyperphosphatemia, offset by an out-of-period adjustment that reduced clinical trial expenses by $3.6 million related to our tenapanor clinical trials for the nine months ended September 30, 2019; and approximately $3.9 million relates to lower manufacturing expenses due to reduced validation related expenses for tenapanor in 2020 as compared to 2019; offset by an increase of $4.2 million related to regulatory expenses that includes $2.9 million paid to the FDA for the filing of a NDA for tenapanor for the control of serum phosphorus in CKD patients on dialysis on June 30, 2020.</w:t>
      </w:r>
    </w:p>
    <w:p>
      <w:pPr>
        <w:spacing w:after="0" w:line="200" w:lineRule="exact"/>
        <w:rPr>
          <w:sz w:val="20"/>
          <w:szCs w:val="20"/>
          <w:color w:val="auto"/>
        </w:rPr>
      </w:pP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September 30, 2020 was primarily due to an increase in costs associated with building and staffing our commercial infrastructure and teams as we prepare for the anticipated U.S. launch of tenapanor for the control of serum phosphorus in CKD patients on dialysis. The increase consisted of headcount and related personnel costs and an increase in external spending for disease awareness initiatives, commercial infrastructure and strategy, partially offset by a decrease in stock-based compensation costs related to performance-based restricted stock units and a decrease in professional services.</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nine months ended September 30, 2020 was primarily due to an increase in costs associated with building and staffing our commercial infrastructure as described above. The increase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consisted of increases in headcount and related personnel costs, stock-based compensation costs, professional services and external spending for disease awareness initiatives, commercial infrastructure and strategy.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left="60" w:right="299" w:firstLine="324"/>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both the three and nine months ended September 30, 2020 was primarily due to lower interest rates on our variable-rate term loan.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0" w:right="259"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three months ended September 30, 2020 was primarily due to a decrease in investment income, a lower exit fee revaluation adjustment related to our loan agreement and a decrease in currency exchange losses.</w:t>
      </w:r>
    </w:p>
    <w:p>
      <w:pPr>
        <w:spacing w:after="0" w:line="176" w:lineRule="exact"/>
        <w:rPr>
          <w:sz w:val="20"/>
          <w:szCs w:val="20"/>
          <w:color w:val="auto"/>
        </w:rPr>
      </w:pPr>
    </w:p>
    <w:p>
      <w:pPr>
        <w:ind w:left="60" w:right="299"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the nine months ended September 30, 2020 was primarily due to a decrease in investment income, a lower exit fee revaluation adjustment related to our loan agreement and a decrease in currency exchange losses.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July 2020, we filed a Form S-3 registration statement, which became effective in August 2020, containing (i) a base prospectus for the offering, issuance and sale by the Company of up to a maximum aggregate offering price of $250,000,000 of the Company’s common stock, preferred stock, debt securities, warrants and/or units, from time to time in one or more offerings; and (ii) a prospectus supplement for the offering, issuance and sale by the Company of up to a maximum aggregate offering price of $100,000,000 of our common stock that may be issued and sold, from time to time, under a sales agreement with Jefferies LLC, deemed to be “at the market offerings.” As of September 30, 2020, no shares have been offered, issued or sold pursuant to this sales agreement.</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primary sources of cash have been from the sale and issuance of common stock (in both public offerings and private placements) and private placements of convertible preferred stock, funds from our collaboration partnerships and funds from our loan agreement. Our primary uses of cash are to fund operating expenses, primarily research and development expenditures and pre-commercial expenses. Cash used to fund operating expenses is impacted by the timing of when we pay these expenses, as reflected in the change in our outstanding accounts payable and accrued expenses.</w:t>
      </w:r>
    </w:p>
    <w:p>
      <w:pPr>
        <w:spacing w:after="0" w:line="18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our cash, cash equivalents and short-term investments were as follows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6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liquid funds</w:t>
            </w:r>
          </w:p>
        </w:tc>
        <w:tc>
          <w:tcPr>
            <w:tcW w:w="14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185,497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3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6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920" w:type="dxa"/>
        <w:tblCellMar>
          <w:top w:w="0" w:type="dxa"/>
          <w:left w:w="0" w:type="dxa"/>
          <w:bottom w:w="0" w:type="dxa"/>
          <w:right w:w="0" w:type="dxa"/>
        </w:tblCellMar>
      </w:tblPr>
      <w:tr>
        <w:trPr>
          <w:trHeight w:val="142"/>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(27,872)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2020 was $63.9 million, as compared to $65.3 million for the nine months ended September 30, 2019. The most significant factors that contributed to the $1.4 million decrease in net cash used in operating activities for the nine months ended September 30, 2020, as compared to the comparable period in 2019 was a $10.4 million decrease in research and development expenses, partly offset by a $3.0 million decrease in cash received from collaboration partners, a $4.4 million increase in general and administrative G&amp;A expenses, and an increase in cash used related to fluctuations in components of our working capital.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$27.9 million for the nine months ended September 30, 2020, as compared to cash provided by investing activities of $78.9 million for the nine months ended September 30, 2019. The $106.7 million decrease in net cash provided by investing activities was primarily attributable to a $36.1 million decrease in proceeds from maturities and sales of investments, a $0.2 million decrease in purchases of property and equipment, and $70.9 million increase in purchases of investments.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increased by $1.2 million during the nine months ended September 30, 2020, as compared to the nine months ended September 30, 2019. This increase was attributable to an increase in net proceeds from issuance of common stock under our equity incentive and stock purchase plans.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existing capital resources as of September 30, 2020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There are numerous risks and uncertainties associated with research, development and commercialization initiatives, and actual results could vary materially as a result of a number of factors, many of which are outside of our control. Our future capital requirements are difficult to forecast and will depend on many factors, including:</w:t>
      </w:r>
    </w:p>
    <w:p>
      <w:pPr>
        <w:spacing w:after="0" w:line="192" w:lineRule="exact"/>
        <w:rPr>
          <w:sz w:val="20"/>
          <w:szCs w:val="20"/>
          <w:color w:val="auto"/>
        </w:rPr>
      </w:pPr>
    </w:p>
    <w:p>
      <w:pPr>
        <w:jc w:val="both"/>
        <w:ind w:left="1040" w:right="79" w:hanging="639"/>
        <w:spacing w:after="0" w:line="282" w:lineRule="auto"/>
        <w:tabs>
          <w:tab w:leader="none" w:pos="10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FDA’s actions and decisions with respect to the NDA submitted to the FDA on June 30, 2020 to request marketing authorization for tenapanor for the control of serum phosphorus in adult CKD patients on dialysis;</w:t>
      </w:r>
    </w:p>
    <w:p>
      <w:pPr>
        <w:spacing w:after="0" w:line="161"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successfully commercialize tenapanor for the control of serum phosphorus in CKD patients on dialysis, if approved, either alone or with one or more collaboration partners;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639"/>
        <w:spacing w:after="0"/>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sales price and the availability of adequate third-party reimbursement for tenapanor, if approved;</w:t>
      </w:r>
    </w:p>
    <w:p>
      <w:pPr>
        <w:spacing w:after="0" w:line="225"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selling and marketing costs associated with tenapanor, including the cost and timing of building our sales and marketing capabilities;</w:t>
      </w:r>
    </w:p>
    <w:p>
      <w:pPr>
        <w:spacing w:after="0" w:line="161" w:lineRule="exact"/>
        <w:rPr>
          <w:rFonts w:ascii="Times New Roman" w:cs="Times New Roman" w:eastAsia="Times New Roman" w:hAnsi="Times New Roman"/>
          <w:sz w:val="18"/>
          <w:szCs w:val="18"/>
          <w:color w:val="231F20"/>
        </w:rPr>
      </w:pPr>
    </w:p>
    <w:p>
      <w:pPr>
        <w:jc w:val="both"/>
        <w:ind w:left="1040" w:right="79" w:hanging="639"/>
        <w:spacing w:after="0" w:line="266"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5"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amount of sales of, or royalties on, tenapanor, if any;</w:t>
      </w:r>
    </w:p>
    <w:p>
      <w:pPr>
        <w:spacing w:after="0" w:line="225"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of preclinical and discovery programs that we decide to pursue or initiate, and any clinical trials we decide to pursue for other product candidates, including RDX013;</w:t>
      </w:r>
    </w:p>
    <w:p>
      <w:pPr>
        <w:spacing w:after="0" w:line="161"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225" w:lineRule="exact"/>
        <w:rPr>
          <w:rFonts w:ascii="Times New Roman" w:cs="Times New Roman" w:eastAsia="Times New Roman" w:hAnsi="Times New Roman"/>
          <w:sz w:val="18"/>
          <w:szCs w:val="18"/>
          <w:color w:val="231F20"/>
        </w:rPr>
      </w:pPr>
    </w:p>
    <w:p>
      <w:pPr>
        <w:jc w:val="both"/>
        <w:ind w:left="1040" w:right="79" w:hanging="639"/>
        <w:spacing w:after="0" w:line="261"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9"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payment of interest and principal related to our loan and security agreement entered into with Solar Capital and Western Alliance Bank in May 2018, as amended on October 9, 2020.</w:t>
      </w:r>
    </w:p>
    <w:p>
      <w:pPr>
        <w:spacing w:after="0" w:line="16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Please see the risk factors set forth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this Quarterly Report on Form 10-Q for additional risks associated with our capital requirements.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are subject to market risks, including interest rate fluctuation exposure through our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8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$185.5 million, which consist of bank deposits and money market funds, as well as high quality fixed income instruments including corporate bonds, commercial paper, and asset-backed securities collateralized by non-mortgage consumer receivables. The credit rating of our short-term investments must be rated A-1/P-1, or better by Standard and Poor’s and Moody’s Investors Service. Asset-backed securities must be rated AAA/Aaa. Money Market funds must be rated AAAm/Aaa. Such interest-earning instruments carry a degree of interest rate risk. However, because our investments are high quality and short-term in duration, we believe that our exposure to interest rate risk is not significant and that a 10% movement in market interest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rates would not have a significant impact on the total value of our portfolio, as noted above. We do not enter into investments for trading or speculative purposes.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are subject to interest rate fluctuation exposure through our borrowings under the Loan Agreement and our investment in money market accounts which bear a variable interest rate. Borrowings under the Loan Agreement bear interest at a rate equal to one-month London Interbank Offered Rate (“LIBOR”), plus 7.45% per annum. A hypothetical increase in one-month LIBOR of 100 basis points above the current one-month LIBOR rates would have increased our interest expense by approximately $0.2 million for the nine months ended September 30, 2020. As of September 30, 2020, we had an aggregate principal amount of $50.7 million outstanding pursuant to our Loan Agreement.</w:t>
      </w:r>
    </w:p>
    <w:p>
      <w:pPr>
        <w:spacing w:after="0" w:line="185"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Foreign Currency Risk. </w:t>
      </w:r>
      <w:r>
        <w:rPr>
          <w:rFonts w:ascii="Times New Roman" w:cs="Times New Roman" w:eastAsia="Times New Roman" w:hAnsi="Times New Roman"/>
          <w:sz w:val="17"/>
          <w:szCs w:val="17"/>
          <w:color w:val="auto"/>
        </w:rPr>
        <w:t>The majority of our transactions are denominated in U.S. dollars. However, we do have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spacing w:after="0" w:line="16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September 30, 2020, we had no open forward foreign currency exchange contracts.</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13a-15(e) and 15d-15(e) under the Exchange Act) as of September 30, 2020.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September 30, 2020, our disclosure controls and procedures were effective at a reasonable assurance level.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30, 2020,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COVID-19 situation to minimize the impact on the design and operating effectiveness of our internal controls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2" w:lineRule="exact"/>
        <w:rPr>
          <w:sz w:val="20"/>
          <w:szCs w:val="20"/>
          <w:color w:val="auto"/>
        </w:rPr>
      </w:pPr>
    </w:p>
    <w:p>
      <w:pPr>
        <w:ind w:left="60"/>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September 30, 2020, there is no litigation pending that would reasonably be expected to have a material adverse effect on our results of operations and financial condition, and no contingent liabilities were accrued as of September 30, 2020.</w:t>
      </w:r>
    </w:p>
    <w:p>
      <w:pPr>
        <w:spacing w:after="0" w:line="1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Quarterly Report on Form 10-Q, including our condensed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Many of the following risks and uncertainties are, and will be, exacerbated by the COVID-19 pandemic and any worsening of the global business and economic environment as a result. Additional risks and uncertainties not presently known to us or that we currently deem immaterial may also impair our business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Principal Risks Related to Our Business</w:t>
      </w:r>
    </w:p>
    <w:p>
      <w:pPr>
        <w:spacing w:after="0" w:line="229" w:lineRule="exact"/>
        <w:rPr>
          <w:sz w:val="20"/>
          <w:szCs w:val="20"/>
          <w:color w:val="auto"/>
        </w:rPr>
      </w:pPr>
    </w:p>
    <w:p>
      <w:pPr>
        <w:ind w:left="60" w:right="299" w:hanging="10"/>
        <w:spacing w:after="0" w:line="282" w:lineRule="auto"/>
        <w:tabs>
          <w:tab w:leader="none" w:pos="70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 limited operating history, have incurred significant losses since our inception and will incur losses in the future, which makes it difficult for us to assess our future viability.</w:t>
      </w:r>
    </w:p>
    <w:p>
      <w:pPr>
        <w:spacing w:after="0" w:line="161" w:lineRule="exact"/>
        <w:rPr>
          <w:rFonts w:ascii="Times New Roman" w:cs="Times New Roman" w:eastAsia="Times New Roman" w:hAnsi="Times New Roman"/>
          <w:sz w:val="18"/>
          <w:szCs w:val="18"/>
          <w:b w:val="1"/>
          <w:bCs w:val="1"/>
          <w:color w:val="auto"/>
        </w:rPr>
      </w:pPr>
    </w:p>
    <w:p>
      <w:pPr>
        <w:ind w:left="60" w:right="179" w:hanging="10"/>
        <w:spacing w:after="0" w:line="255"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from product sales and may never be profitable. Our ability to generate future revenue from product sales or pursuant to milestone payments is dependent upon many factors, including, but not limited to, obtaining regulatory approvals for tenapanor for the control of serum phosphorus; developing a sustainable and scalable manufacturing process for tenapanor, and establishing and maintaining supply and manufacturing relationships with third parties that can provide adequate supply of product to support the market demand for tenapanor; and obtaining market acceptance of tenapanor as a viable treatment option for the indications for which it is approved and commercialized.</w:t>
      </w:r>
    </w:p>
    <w:p>
      <w:pPr>
        <w:spacing w:after="0" w:line="18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product candidate, tenapanor, which may not receive regulatory approval for the control of serum phosphorus or be successfully commercialized for IBS-C or hyperphosphatemia.</w:t>
      </w:r>
    </w:p>
    <w:p>
      <w:pPr>
        <w:spacing w:after="0" w:line="175" w:lineRule="exact"/>
        <w:rPr>
          <w:rFonts w:ascii="Times New Roman" w:cs="Times New Roman" w:eastAsia="Times New Roman" w:hAnsi="Times New Roman"/>
          <w:sz w:val="18"/>
          <w:szCs w:val="18"/>
          <w:color w:val="auto"/>
        </w:rPr>
      </w:pPr>
    </w:p>
    <w:p>
      <w:pPr>
        <w:ind w:left="60" w:right="139" w:hanging="10"/>
        <w:spacing w:after="0" w:line="255"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 Additionally,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w:t>
      </w:r>
    </w:p>
    <w:p>
      <w:pPr>
        <w:spacing w:after="0" w:line="188" w:lineRule="exact"/>
        <w:rPr>
          <w:rFonts w:ascii="Times New Roman" w:cs="Times New Roman" w:eastAsia="Times New Roman" w:hAnsi="Times New Roman"/>
          <w:sz w:val="18"/>
          <w:szCs w:val="18"/>
          <w:color w:val="auto"/>
        </w:rPr>
      </w:pPr>
    </w:p>
    <w:p>
      <w:pPr>
        <w:ind w:left="60" w:right="79" w:hanging="10"/>
        <w:spacing w:after="0" w:line="253"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coverage and reimbursement status of newly-approved products are uncertain. Failure to obtain or maintain adequate coverage and reimbursement for tenapanor, if approved, could limit our ability to market tenapanor for the control of serum phosphorus in CKD patients on dialysis and decrease our ability to generate revenue. While there is significant uncertainty related to the insurance coverage and 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and when tenapanor, along with other oral end-stage renal disease (“ESRD”) related drugs without an injectable or intravenous equivalent , are bundled into the ESRD prospective payment system, and the manner in which such introduction into the ESRD prospective payment system may occur.</w:t>
      </w:r>
    </w:p>
    <w:p>
      <w:pPr>
        <w:spacing w:after="0" w:line="191" w:lineRule="exact"/>
        <w:rPr>
          <w:rFonts w:ascii="Times New Roman" w:cs="Times New Roman" w:eastAsia="Times New Roman" w:hAnsi="Times New Roman"/>
          <w:sz w:val="18"/>
          <w:szCs w:val="18"/>
          <w:color w:val="auto"/>
        </w:rPr>
      </w:pPr>
    </w:p>
    <w:p>
      <w:pPr>
        <w:ind w:left="60" w:right="419" w:hanging="10"/>
        <w:spacing w:after="0" w:line="266"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no sales organization. If we are unable to establish sales capabilities on our own or through third parties, we may not be able to commercialize tenapanor or any of our other product candidates.</w:t>
      </w:r>
    </w:p>
    <w:p>
      <w:pPr>
        <w:spacing w:after="0" w:line="161" w:lineRule="exact"/>
        <w:rPr>
          <w:rFonts w:ascii="Times New Roman" w:cs="Times New Roman" w:eastAsia="Times New Roman" w:hAnsi="Times New Roman"/>
          <w:sz w:val="18"/>
          <w:szCs w:val="18"/>
          <w:color w:val="auto"/>
        </w:rPr>
      </w:pPr>
    </w:p>
    <w:p>
      <w:pPr>
        <w:ind w:left="60" w:right="79" w:hanging="10"/>
        <w:spacing w:after="0" w:line="256"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We intend to rely on third parties to produce commercial supplies of tenapanor, if tenapanor is ultimately commercialized for any indication. Our business would be harmed if those third parties fail to obtain approval of the U.S. Food and Drug Administration (“FDA”) or comparable regulatory authorities, fail to provide us with sufficient quantities of drug, or fail to do so at acceptable quality levels or prices.</w:t>
      </w:r>
    </w:p>
    <w:p>
      <w:pPr>
        <w:spacing w:after="0" w:line="187" w:lineRule="exact"/>
        <w:rPr>
          <w:rFonts w:ascii="Times New Roman" w:cs="Times New Roman" w:eastAsia="Times New Roman" w:hAnsi="Times New Roman"/>
          <w:sz w:val="18"/>
          <w:szCs w:val="18"/>
          <w:color w:val="auto"/>
        </w:rPr>
      </w:pPr>
    </w:p>
    <w:p>
      <w:pPr>
        <w:ind w:left="60" w:right="79" w:hanging="10"/>
        <w:spacing w:after="0" w:line="266" w:lineRule="auto"/>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hanging="10"/>
        <w:spacing w:after="0" w:line="254" w:lineRule="auto"/>
        <w:tabs>
          <w:tab w:leader="none" w:pos="7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w:t>
      </w:r>
    </w:p>
    <w:p>
      <w:pPr>
        <w:spacing w:after="0" w:line="191" w:lineRule="exact"/>
        <w:rPr>
          <w:rFonts w:ascii="Times New Roman" w:cs="Times New Roman" w:eastAsia="Times New Roman" w:hAnsi="Times New Roman"/>
          <w:sz w:val="18"/>
          <w:szCs w:val="18"/>
          <w:color w:val="auto"/>
        </w:rPr>
      </w:pPr>
    </w:p>
    <w:p>
      <w:pPr>
        <w:ind w:left="60" w:right="139" w:hanging="10"/>
        <w:spacing w:after="0" w:line="253" w:lineRule="auto"/>
        <w:tabs>
          <w:tab w:leader="none" w:pos="7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continues to rapidly evolve. The extent to which the pandemic may impact our business, manufacturing, preclinical development activities, preclinical studies and planned and ongoing clinical trials will depend on future developments, which are highly uncertain and cannot be predicted with confidence, such as, the duration of the pandemic, travel restrictions and actions to contain the pandemic or treat its impact, such as social distancing, quarantines or lock-downs in the United States and other countries, business closures or business disruptions and the effectiveness of actions taken in the United States and other countries to contain and treat the disease. Specifically, while our Phase 3 clinical development of tenapanor for the control of serum phosphorus in CKD patients on dialysis is complete, we have ongoing and planned clinical trials for tenapanor that may be delayed as a result of the restrictions placed on access to dialysis centers during the COVID-19 pandemic.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87"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7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Condition and Capital Requirements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5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September 30, 2020, we had an accumulated deficit of $525.9 million.</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operating losses for the foreseeable future as we prepare for the potential commercialization of, and incur manufacturing and development costs for, tenapanor for the control of serum phosphorus in chronic kidney disease (“CKD”) patients on dialysis; as we commence commercialization of tenapanor for that indication, if approved; and as we continue our discovery and research activities.</w:t>
      </w:r>
    </w:p>
    <w:p>
      <w:pPr>
        <w:spacing w:after="0" w:line="18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received FDA approval for our New Drug Application (“NDA”) for tenapanor for the treatment of irritable bowel syndrome with constipation (“IBS-C”) in adults in September 2019. However, we do not currently expect to commercialize tenapanor for IBS-C ourselves in the United States and have not entered into a collaboration partnership for such commercialization. We have no other products approved for sale and have never generated any revenue from product sales. Our ability to generate revenue from product sales and achieve profitability depends on our ability to obtain the regulatory and marketing approvals necessary to commercialize tenapanor for the control of serum phosphorus in CKD patients on dialysis, either on our own or with one or more collaboration partners. There can be no assurances that we will generate product revenue from sales of tenapanor, either on our own, or with a collaboration partner. Our ability to generate future revenue from product sales or pursuant to milestone payments depends heavily on many factors, including but not limited to:</w:t>
      </w:r>
    </w:p>
    <w:p>
      <w:pPr>
        <w:spacing w:after="0" w:line="194" w:lineRule="exact"/>
        <w:rPr>
          <w:sz w:val="20"/>
          <w:szCs w:val="20"/>
          <w:color w:val="auto"/>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obtaining regulatory approvals for tenapanor for the control of serum phosphorus in adult CKD patients on dialysis, either on our own or with one or more collaboration partners;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successfully commercialize tenapanor, which has been approved by the FDA for the treatment of IBS-C in adults, and/or tenapanor for the control of serum phosphorus in adult CKD patients on dialysis, if approved, either on our own or with one or more collaboration partners;</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for the treatment of IBS-C, and/or, if approved, tenapanor for the control of serum phosphorus in adult CKD patients on dialysis;</w:t>
      </w:r>
    </w:p>
    <w:p>
      <w:pPr>
        <w:spacing w:after="0" w:line="179"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obtaining market acceptance of tenapanor as a viable treatment option for the indications for which it is approved and commercialized;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13, COLLABORATION AND LICENSING AGREEMENTS, in the notes to our financial statements, included in Part II, Item 8, of our most recent Annual Report on Form 10-K, for details on our obligations to AstraZeneca. While there is significant uncertainty related to the insurance coverage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reimbursement of newly approved products in general in the United States, there is additional uncertainty related to insurance coverage and reimbursement for drugs, like tenapanor, which, if approved, will be marketed for the control of serum phosphorus in CKD patients on dialysis. If we are successful in obtaining regulatory approval to market tenapanor for the control of serum phosphorus in CKD patients on dialysis, our ability to generate and sustain future revenues from sales of tenapanor for such indication, may be dependent upon whether and when tenapanor, along with other oral end-stage renal disease (“ESRD”) related drugs without an injectable or intravenous equivalent, are bundled into the ESRD prospective payment system, and the manner in which such introduction into the ESRD prospective payment system may occur. See “</w:t>
      </w:r>
      <w:r>
        <w:rPr>
          <w:rFonts w:ascii="Times New Roman" w:cs="Times New Roman" w:eastAsia="Times New Roman" w:hAnsi="Times New Roman"/>
          <w:sz w:val="18"/>
          <w:szCs w:val="18"/>
          <w:i w:val="1"/>
          <w:iCs w:val="1"/>
          <w:color w:val="auto"/>
        </w:rPr>
        <w:t>Third-party payor coverage and reimbursement status of newly-approved products is uncertain.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obtain or maintain adequate coverage and reimbursement for our products, if approved, could limit our ability to market those products and decrease our ability to generate revenue” </w:t>
      </w:r>
      <w:r>
        <w:rPr>
          <w:rFonts w:ascii="Times New Roman" w:cs="Times New Roman" w:eastAsia="Times New Roman" w:hAnsi="Times New Roman"/>
          <w:sz w:val="18"/>
          <w:szCs w:val="18"/>
          <w:color w:val="auto"/>
        </w:rPr>
        <w:t>below</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if the number of patients suitable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tenapanor is not as significant as we estimate, the indication approved by regulatory authorities is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if approved, costs associated with the commercialization of tenapanor for the control of serum phosphorus in CKD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94" w:lineRule="exact"/>
        <w:rPr>
          <w:sz w:val="20"/>
          <w:szCs w:val="20"/>
          <w:color w:val="auto"/>
        </w:rPr>
      </w:pPr>
    </w:p>
    <w:p>
      <w:pPr>
        <w:jc w:val="both"/>
        <w:ind w:left="1040" w:right="79" w:hanging="639"/>
        <w:spacing w:after="0" w:line="282"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FDA’s actions and decisions with respect to the NDA submitted to the FDA on June 30, 2020 to request marketing authorization for tenapanor for the control of serum phosphorus in adult CKD patients on dialysis;</w:t>
      </w:r>
    </w:p>
    <w:p>
      <w:pPr>
        <w:spacing w:after="0" w:line="161"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successfully commercialize tenapanor for the control of serum phosphorus in CKD patients on dialysis, if approved, either alone or with one or more collaboration partners;</w:t>
      </w:r>
    </w:p>
    <w:p>
      <w:pPr>
        <w:spacing w:after="0" w:line="161"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sales price and the availability of adequate third-party reimbursement for tenapanor, if approved</w:t>
      </w:r>
    </w:p>
    <w:p>
      <w:pPr>
        <w:spacing w:after="0" w:line="225"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selling and marketing costs associated with tenapanor, including the cost and timing of building our sales and marketing capabilities;</w:t>
      </w:r>
    </w:p>
    <w:p>
      <w:pPr>
        <w:spacing w:after="0" w:line="161" w:lineRule="exact"/>
        <w:rPr>
          <w:rFonts w:ascii="Times New Roman" w:cs="Times New Roman" w:eastAsia="Times New Roman" w:hAnsi="Times New Roman"/>
          <w:sz w:val="18"/>
          <w:szCs w:val="18"/>
          <w:color w:val="231F20"/>
        </w:rPr>
      </w:pPr>
    </w:p>
    <w:p>
      <w:pPr>
        <w:jc w:val="both"/>
        <w:ind w:left="1040" w:right="79" w:hanging="639"/>
        <w:spacing w:after="0" w:line="266"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75"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timing, receipt, and amount of sales of, or royalties on, tenapanor,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639"/>
        <w:spacing w:after="0"/>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cash requirements of any future acquisitions or discovery of product candidates;</w:t>
      </w:r>
    </w:p>
    <w:p>
      <w:pPr>
        <w:spacing w:after="0" w:line="225"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number and scope of preclinical and discovery programs that we decide to pursue or initiate, and any clinical trials we decide to pursue for other product candidates, including RDX013;</w:t>
      </w:r>
    </w:p>
    <w:p>
      <w:pPr>
        <w:spacing w:after="0" w:line="161" w:lineRule="exact"/>
        <w:rPr>
          <w:rFonts w:ascii="Times New Roman" w:cs="Times New Roman" w:eastAsia="Times New Roman" w:hAnsi="Times New Roman"/>
          <w:sz w:val="18"/>
          <w:szCs w:val="18"/>
          <w:color w:val="231F20"/>
        </w:rPr>
      </w:pPr>
    </w:p>
    <w:p>
      <w:pPr>
        <w:ind w:left="1040" w:hanging="639"/>
        <w:spacing w:after="0"/>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225" w:lineRule="exact"/>
        <w:rPr>
          <w:rFonts w:ascii="Times New Roman" w:cs="Times New Roman" w:eastAsia="Times New Roman" w:hAnsi="Times New Roman"/>
          <w:sz w:val="18"/>
          <w:szCs w:val="18"/>
          <w:color w:val="231F20"/>
        </w:rPr>
      </w:pPr>
    </w:p>
    <w:p>
      <w:pPr>
        <w:jc w:val="both"/>
        <w:ind w:left="1040" w:right="79" w:hanging="639"/>
        <w:spacing w:after="0" w:line="261" w:lineRule="auto"/>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79" w:lineRule="exact"/>
        <w:rPr>
          <w:rFonts w:ascii="Times New Roman" w:cs="Times New Roman" w:eastAsia="Times New Roman" w:hAnsi="Times New Roman"/>
          <w:sz w:val="18"/>
          <w:szCs w:val="18"/>
          <w:color w:val="231F20"/>
        </w:rPr>
      </w:pPr>
    </w:p>
    <w:p>
      <w:pPr>
        <w:ind w:left="1040" w:right="79" w:hanging="639"/>
        <w:spacing w:after="0" w:line="282" w:lineRule="auto"/>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payment of interest and principal related to our loan and security agreement entered into with Solar Capital and Western Alliance Bank in May 2018, as amended, on October 9, 2020.</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2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May 16, 2018, we entered into a loan and security agreement with Solar Capital, Ltd. and Western Alliance Bank (collectively the “Lenders”) pursuant to which the Lenders agreed to provide us a $50.0 million term loan facility with a maturity date of November 1, 2022. On October 9, 2020, we entered into an amendment to the loan and security agreement.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are permitted to make interest only payments on the loan facility through December 1, 2021, unless we have not received FDA approval for our NDA for tenapanor for the control of serum phosphorus in CKD patients on dialysis on or before May 31, 2020, or the FDA issues a complete response letter in connection with such NDA. In either event, the period in which we are permitted to make interest only payments shall end on the earlier of June 1, 2021, or the first day of the month following the date that the FDA issues a CRL. However,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8"/>
          <w:szCs w:val="18"/>
          <w:color w:val="auto"/>
        </w:rPr>
        <w:t xml:space="preserve"> Lenders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product candidate, tenapanor, which may not receive regulatory approval for the control of serum phosphorus or be successfully commercialized for IBS-C or hyperphosphatemia.</w:t>
      </w:r>
    </w:p>
    <w:p>
      <w:pPr>
        <w:spacing w:after="0" w:line="17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To date, we have invested a significant amount of our efforts and financial resources in the research and development of tenapanor, which is currently our lead product candidate. The commercial success of tenapanor will depend on a number of factors, including the following:</w:t>
      </w:r>
    </w:p>
    <w:p>
      <w:pPr>
        <w:spacing w:after="0" w:line="176" w:lineRule="exact"/>
        <w:rPr>
          <w:sz w:val="20"/>
          <w:szCs w:val="20"/>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whether tenapanor’s safety and efficacy profile is satisfactory to the FDA and foreign regulatory authorities to gain marketing approval for the control of serum phosphorus;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ability of the third-party manufacturers we contract with to successfully execute and scale up the manufacturing processes for tenapanor, which has not yet been fully demonstrated, and to manufacture supplies of tenapanor and to develop, validate and maintain commercially viable manufacturing processes that are compliant with cGMP requirements, particularly in light of the effects of the COVID-19 pandemic;</w:t>
      </w:r>
    </w:p>
    <w:p>
      <w:pPr>
        <w:spacing w:after="0" w:line="179"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whether or not the content of the label approved by the FDA or foreign regulatory authorities may materially and adversely impact our ability the ability of our collaboration partners to commercialize the product for the approved indication, or for any other indication;</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whether we will be required to conduct clinical trials in addition to those anticipated to obtain adequate commercial pricing;</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prevalence and severity of adverse side effects of tenapanor;</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timely receipt of necessary marketing approvals from the FDA and foreign regulatory authorities;</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achieving and maintaining compliance with all regulatory requirements applicable to tenapanor;</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acceptance of tenapanor as safe, effective and well-tolerated by patients and the medical community;</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alone or with collaboration partners, to manage the complex pricing and reimbursement negotiations associated with marketing the same product at different doses for separate indications for tenapanor for the treatment of IBS-C, and, if approved, for the control of serum phosphorus in CKD patients on dialysis;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availability, perceived advantages, relative cost, relative safety and relative efficacy of tenapanor compared to alternative and competing treatments;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obtaining and sustaining an adequate level of coverage and reimbursement for tenapanor by third-party payors;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enforcing intellectual property rights in and to tenapanor;</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continued acceptable safety and tolerability profile of tenapanor following approval.</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tenapanor is a first-in-class drug, there is a higher likelihood that approval may not be attained as compared to a class of drugs with approved products. Although tenapanor met the primary endpoints in all of the three Phase 3 clinical trials evaluating tenapanor for the control of serum phosphorus in CKD patients on dialysis, there can be no assurances that we will receive regulatory approval to market tenapanor for the control of serum phosphorus in CKD patients on dialysis.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for the control of serum phosphorus, if approved, or for IBS-C. There can be no assurance that tenapanor will ever be successfully commercialized or that we will ever generate income from sales of tenapanor. If we are not successful in obtaining approval for, tenapanor for the control of serum phosphorus, or we are not successful in commercializing tenapanor, or are significantly delayed in doing so, our business will be materially harmed.</w:t>
      </w:r>
    </w:p>
    <w:p>
      <w:pPr>
        <w:spacing w:after="0" w:line="18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are successful in obtaining regulatory approval for tenapanor for the control of serum phosphorus, and tenapanor is ultimately commercialized for any approved indications, tenapanor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Market acceptance of tenapanor for IBS-C and, in the event that marketing approval is obtained, for the control of serum phosphorus, depends on a number of factors, including:</w:t>
      </w:r>
    </w:p>
    <w:p>
      <w:pPr>
        <w:spacing w:after="0" w:line="135"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demonstrated in our clinical trials;</w:t>
      </w:r>
    </w:p>
    <w:p>
      <w:pPr>
        <w:spacing w:after="0" w:line="184"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tenapanor for the control of serum phosphorus, whether tenapanor, along with other oral only medications, are included in the bundled prospective payment system for the treatment of ESRD patients, and the time and manner in which such transition is achieved;</w:t>
      </w:r>
    </w:p>
    <w:p>
      <w:pPr>
        <w:spacing w:after="0" w:line="13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 overall safety and tolerability profile of the product;</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it is approved;</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advantages over new or traditional or existing therapies, including recently approved therapies or therapies that the physician community anticipate will be approved;</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major operators of clinics and patients of tenapanor as a safe, effective and well-tolerated treatment;</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of tenapanor;</w:t>
      </w:r>
    </w:p>
    <w:p>
      <w:pPr>
        <w:spacing w:after="0" w:line="184"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tenapanor over current treatment options or alternative treatments, including future alternative treatments;</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and the willingness to pay for tenapanor, if approved, on the part of physicians and patients;</w:t>
      </w:r>
    </w:p>
    <w:p>
      <w:pPr>
        <w:spacing w:after="0" w:line="13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products and their ability to meet market demand;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relationships with patient advocacy groups.</w:t>
      </w:r>
    </w:p>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Any failure of tenapanor to achieve market acceptance, sufficient third-party coverage or reimbursement, or commercial success for any approved indications would adversely affect our results of operations.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currently plan to commercialize tenapanor for the control of serum phosphorus in CKD patients on dialysis, if approved, on our own. In order to do so, we will need to establish an appropriate sales organization with technical expertise, as well as supporting distribution capabilities. This will be expensive and time consuming.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If we fail or are delayed in the development of our internal sales, marketing and distribution capabilities, we may choose to delay the commercialization tenapanor for the control of serum phosphorus, if approved, or such commercialization could be adversely impacted.</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newly-approved products are uncertain. Failure to obtain or maintain adequate coverage and reimbursement for our products, if approved, could limit our ability to market those products and decrease our ability to generate revenue.</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8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is increased uncertainty related to insurance coverage and reimbursement for drugs, like tenapanor, which, if approved, will be marketed for the control of serum phosphorus in CKD patients on dialysis. In January 2011, CMS implemented a new prospective payment system for dialysis treatment. Under the ESRD prospective payment system,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routine drugs. The inclusion of oral medications without injectable or intravenous equivalents in the bundled payment was initially delayed until January 1, 2014 and through several subsequent legislative actions was delayed again January 1, 2025. As a result, absent further legislation or regulation on this matter, beginning in 2025, oral ESRD-related drugs without injectable or intravenous equivalents may be included in the ESRD bundle and separate Medicare payment for these drugs will no longer be available, as is the case today under Medicare Part D. While it is too early to project the full impact that bundling may have on tenapanor and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should tenapanor be brought into the bundle in 2025, or at any time, we may be unable to sell tenapanor, if approved, to dialysis providers on a profitable basis if third-party payors reduce their current levels of payment, or if our costs of production are higher than levels necessary for an appropriate gross margin after payment of all discounts, rebates and chargebacks.</w:t>
      </w:r>
    </w:p>
    <w:p>
      <w:pPr>
        <w:spacing w:after="0" w:line="180" w:lineRule="exact"/>
        <w:rPr>
          <w:sz w:val="20"/>
          <w:szCs w:val="20"/>
          <w:color w:val="auto"/>
        </w:rPr>
      </w:pPr>
    </w:p>
    <w:p>
      <w:pPr>
        <w:jc w:val="both"/>
        <w:ind w:left="60" w:right="59" w:firstLine="324"/>
        <w:spacing w:after="0" w:line="272" w:lineRule="auto"/>
        <w:rPr>
          <w:sz w:val="20"/>
          <w:szCs w:val="20"/>
          <w:color w:val="auto"/>
        </w:rPr>
      </w:pPr>
      <w:r>
        <w:rPr>
          <w:rFonts w:ascii="Times New Roman" w:cs="Times New Roman" w:eastAsia="Times New Roman" w:hAnsi="Times New Roman"/>
          <w:sz w:val="17"/>
          <w:szCs w:val="17"/>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92" w:lineRule="exact"/>
        <w:rPr>
          <w:sz w:val="20"/>
          <w:szCs w:val="20"/>
          <w:color w:val="auto"/>
        </w:rPr>
      </w:pPr>
    </w:p>
    <w:p>
      <w:pPr>
        <w:jc w:val="both"/>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87" w:lineRule="exact"/>
        <w:rPr>
          <w:sz w:val="20"/>
          <w:szCs w:val="20"/>
          <w:color w:val="auto"/>
        </w:rPr>
      </w:pPr>
    </w:p>
    <w:p>
      <w:pPr>
        <w:jc w:val="both"/>
        <w:ind w:left="720" w:right="79" w:hanging="319"/>
        <w:spacing w:after="0" w:line="266" w:lineRule="auto"/>
        <w:tabs>
          <w:tab w:leader="none" w:pos="7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research methodology used and our drug discovery and design platform may not be successful in identifying potential product candidates;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competitors may develop alternatives that render our product candidates obsolete or less attractive;</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 candidates we develop may nevertheless be covered by third parties’ patents or other exclusive rights;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market for a product candidate may change during our program so that the continued development of that product candidate is no longer reasonable;</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product candidate may not be capable of being produced in commercial quantities at an acceptable cost, or at all; and</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and the results of earlier studies and trials may not be predictive of future trial results.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Furthermore, we could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Any delays in completing a clinical trial will increase costs, slow down our development and regulatory approval process for our potential products and jeopardize the ability to commence product sales and generate revenue from a potential product. Any of these occurrences may significantly harm our business, financial condition and prospects. Additionally, our ongoing or planned clinical trials for tenapanor for the control of serum phosphorus may be delayed as a result of the restrictions placed on access to dialysis centers during the COVID-19 outbreak. Other potential impacts of the COVID-19 pandemic on our various clinical trials include delays or difficulties in any planned clinical site initiation, including difficulties in obtaining IRB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19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Furthermore, even though we have completed our Phase 3 clinical development program for tenapanor for the control of serum phosphorus, the results may not be sufficient to obtain the desired regulatory approval for tenapanor, or if such</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regulatory approval is obtained, the content of the label approved by regulatory authorities may materially and adversely impact our ability to commercialize the product for the approved indication.</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additional products or commercialize our product candidates.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84"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or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we or others identify undesirable side effects caused by any product candidate following receipt of marketing approval, the ability to market such product candidate could be compromised.</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our products or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Despite our receipt of marketing approval for tenapanor for IBS-C in adults and the completion of our Phase 3 clinical program for tenapanor for the control of serum phosphorus, in the event that future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for such indication,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if we or others identify undesirable side effects caused by one of our products for which we have received regulatory approval, a number of potentially significant negative consequences could occur, including:</w:t>
      </w:r>
    </w:p>
    <w:p>
      <w:pPr>
        <w:spacing w:after="0" w:line="162"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regulatory authorities may withdraw their approval of the product or seize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or a collaboration partner may be required to recall the product;</w:t>
      </w:r>
    </w:p>
    <w:p>
      <w:pPr>
        <w:spacing w:after="0" w:line="198" w:lineRule="exact"/>
        <w:rPr>
          <w:rFonts w:ascii="Times New Roman" w:cs="Times New Roman" w:eastAsia="Times New Roman" w:hAnsi="Times New Roman"/>
          <w:sz w:val="18"/>
          <w:szCs w:val="18"/>
          <w:color w:val="231F20"/>
        </w:rPr>
      </w:pPr>
    </w:p>
    <w:p>
      <w:pPr>
        <w:jc w:val="both"/>
        <w:ind w:left="720" w:right="79" w:hanging="319"/>
        <w:spacing w:after="0" w:line="256"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46"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or a collaboration partner may be subject to fines, injunctions or the imposition of civil or criminal penalties;</w:t>
      </w:r>
    </w:p>
    <w:p>
      <w:pPr>
        <w:spacing w:after="0" w:line="184"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could be sued and held liable for harm caused to patients;</w:t>
      </w:r>
    </w:p>
    <w:p>
      <w:pPr>
        <w:spacing w:after="0" w:line="18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product may become less competitive; and</w:t>
      </w:r>
    </w:p>
    <w:p>
      <w:pPr>
        <w:spacing w:after="0" w:line="18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reputation may suffer.</w:t>
      </w:r>
    </w:p>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5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For example, tenapanor will, if approved for the control of serum phosphorus in CKD patients on dialysis, compete directly with phosphate binders for the control of serum phosphorus in CKD patients on dialysis. The various types of phosphate binders commercialized in the United States include the following:</w:t>
      </w:r>
    </w:p>
    <w:p>
      <w:pPr>
        <w:spacing w:after="0" w:line="176"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Calcium carbonate (many over-the-counter brands including Tums and Caltrate);</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Calcium acetate (several prescription brands including PhosLo and Phoslyra);</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Lanthanum carbonate (Fosrenol);</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Sevelamer hydrochloride (Renagel);</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Sevelamer carbonate (Renvela);</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Sucroferric oxyhydroxide (Velphoro);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Ferric citrate (Auryxia).</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branded products described above, generic sevelamer carbonate has been approved in certain jurisdictions in Europe since 2015 and in the U.S. market since June 2017. In addition to the currently marketed phosphate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binders, we are aware of at least two other binders in development, including fermagate (Alpharen), an iron-based binder in Phase 3 being developed by Opko Health, Inc., and PT20, an iron-based binder in Phase 3 being developed by Shield Therapeutics.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are aware of four prescription products marketed for certain patients with IBS-C, including Linzess (linaclotide), Amitiza (lubiprostone), Trulance (plecanatide) and Zelnorm (tegaserod maleate).</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managing our current activities and growth given our level of managerial, operational, financial and other resources.</w:t>
      </w:r>
    </w:p>
    <w:p>
      <w:pPr>
        <w:spacing w:after="0" w:line="15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76" w:lineRule="exact"/>
        <w:rPr>
          <w:sz w:val="20"/>
          <w:szCs w:val="20"/>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pre-commercialization activities effectively;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manage our clinical trials effectively;</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completely on third parties to manufacture our nonclinical and clinical drug supplies, and we intend to rely on third parties to produce commercial supplies of tenapanor, if tenapanor is ultimately commercialized for any indication. Our business would be harmed if those third parties fail to obtain approval of the FDA or comparable regulatory authorities, fail to provide us with sufficient quantities of drug, or fail to do so at acceptable quality levels or prices.</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are subject to inspection by the FDA.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9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8"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decreased demand for our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withdrawal of clinical trial participants;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costs to defend the related litigation;</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diversion of management’s time and our resources;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substantial monetary awards to trial participants or patients;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loss of revenue;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inability to commercialize or co-promote our product candidates.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retain and motivate our executives, senior management and key personnel, our business will suffer.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 could impede the achievement of our research,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19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8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9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We would also be exposed to a risk of loss or litigation and potential liability, which could materially adversely affect our business, results of operations and financial condition.</w:t>
      </w:r>
    </w:p>
    <w:p>
      <w:pPr>
        <w:spacing w:after="0" w:line="19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addition, such a breach may require notification to governmental agencies, the media or individuals pursuant to various federal and state privacy and security laws, if applicable, including the Health Insurance Portability and Accountability Act of 1996 (“HIPAA”), as amended by the Health Information Technology for Clinical Health Act of 2009 (“HITECH”) and its implementing rules and regulations. Even when HIPAA does not apply, according to the Federal Trade Commission (the “FTC”) failing to take appropriate steps to keep consumers’ personnel information secure constitutes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We may also be subject to state laws requiring notification of affected individuals and state regulators in the event of a breach of personal information, which is a broader class of information than the health information protected by HIPAA. For example, California recently enacted legislation, the California Consumer Privacy Act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a material weakness in our internal control over financial reporting in the past. 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2019, management and our independent registered public accounting firm identified a control deficiency that constituted a material weakness in our internal control over financial reporting. The material weakness was due to a failure in the design and implementation of controls over the evaluation of the terms of our clinical trial contracts for inclusion into our clinical financial model which estimates clinical trial expenses. Specifically, we had failed to properly interpret an expense in our clinical trial contracts which resulted in the over accrual of our clinical trial expenses during 2018 and the first quarter of 2019.</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developed and implemented a remediation plan for this material weakness which included modifications to the design and implementation of certain internal controls, and the material weakness was remediated as of December 31, 2019. Although we have remediated this material weakness, as attested by our independent registered public accounting firm, we can give no assurance that an additional material weakness or significant deficiency in our internal controls over financial reporting will not be identified in the future. 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Kirin Co., Ltd. (“KKC”) for certain research programs and for commercialization of tenapanor for hyperphosphatemia in Japan; with Shanghai Fosun Pharmaceutical Industrial Development Co. Ltd. (“Fosun Pharma”) for commercialization of tenapanor for hyperphosphatemia and IBS-C in China and related territories; and in Canada with Knight Therapeutics, Inc. (“Knight”)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ongoing COVID-19 pandemic, or any other outbreak of epidemic diseases, or the perception of their effects, could have a material adverse effect on our business, financial condition, results of operations or cash flows.</w:t>
      </w:r>
    </w:p>
    <w:p>
      <w:pPr>
        <w:spacing w:after="0" w:line="15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Outbreaks of epidemic, pandemic, or contagious diseases, such as the current novel coronavirus (“COVID-19”) pandemic or, historically, the Ebola virus, Middle East Respiratory Syndrome, Severe Acute Respiratory Syndrome, or the H1N1 virus, could disrupt our business. Business disruptions could include disruptions or restrictions on our ability to conduct our clinical trials, as planned, travel, as well as temporary closures of the facilities of our collaboration partners,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suppliers or contract manufacturers. Any disruption of our clinical trial operations, collaboration partners, suppliers or contract manufacturers could adversely impact our operating results.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the COVID-19 pandemic did not materially adversely affect our business operations in the quarter ended September 30, 2020, economic and health conditions in the United States and across most of the globe have changed rapidly since the end of the quarter. While at this point, the extent to which the coronavirus outbreak may impact our results is uncertain, it could result in delays in the manufacture of tenapanor, or in the delivery of key intermediates or raw materials required to manufacture tenapanor or delays in clinical development activities by us, or our collaboration partners. It could also materially and negatively impact our ability, either alone, or with a collaboration partner, to successfully commercialize tenapanor, if approved for marketing and sale by the FDA or foreign regulatory authorities, including our ability to educate physicians and patients about the benefits, administration and use of tenapanor.</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a result of the COVID-19 pandemic, we may also experience disruptions that could severely impact our business, preclinical studies and clinical trials, including:</w:t>
      </w:r>
    </w:p>
    <w:p>
      <w:pPr>
        <w:spacing w:after="0" w:line="54" w:lineRule="exact"/>
        <w:rPr>
          <w:sz w:val="20"/>
          <w:szCs w:val="20"/>
          <w:color w:val="auto"/>
        </w:rPr>
      </w:pPr>
    </w:p>
    <w:p>
      <w:pPr>
        <w:jc w:val="both"/>
        <w:ind w:left="720" w:right="79" w:hanging="224"/>
        <w:spacing w:after="0" w:line="254"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Phase 3 clinical development of tenapanor for the control of serum phosphorus in CKD patients on dialysis is complete, we have ongoing and planned clinical trials for tenapanor that may be delayed as a result of the restrictions placed on access to dialysis centers during the COVID-19 outbreak. Other potential impacts of the COVID-19 pandemic on our various clinical trials include delays or difficulties in any planned clinical site initiation, including difficulties in obtaining Institutional Review Board approvals, recruiting clinical site investigators and clinical site staff, delays or difficulties in enrolling patients, interruption of planned key clinical trial activities, such as clinical trial site data monitoring due to diversion of resources at clinical sites or limitation on travel imposed by federal or state governments.</w:t>
      </w:r>
    </w:p>
    <w:p>
      <w:pPr>
        <w:spacing w:after="0" w:line="83" w:lineRule="exact"/>
        <w:rPr>
          <w:rFonts w:ascii="Times New Roman" w:cs="Times New Roman" w:eastAsia="Times New Roman" w:hAnsi="Times New Roman"/>
          <w:sz w:val="18"/>
          <w:szCs w:val="18"/>
          <w:color w:val="auto"/>
        </w:rPr>
      </w:pPr>
    </w:p>
    <w:p>
      <w:pPr>
        <w:jc w:val="both"/>
        <w:ind w:left="720" w:right="79" w:hanging="224"/>
        <w:spacing w:after="0" w:line="255"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the use of our offices to essential employees and requested that most of our personnel, including all of our administrative employees, work remotely. We have restricted on-site staff to only those personnel and contractors who must perform essential activities that must be completed on-site and limited the number of staff in our research laboratories. The COVID-19 pandemic could disrupt our ability to secure supplies for our facilities and to provide personal protective equipment for our employees. The safety, health and well-being of our workforce is of primary concern and we may need to enact further precautionary measures to help minimize the risk of our employees being exposed to the novel coronavirus.</w:t>
      </w:r>
    </w:p>
    <w:p>
      <w:pPr>
        <w:spacing w:after="0" w:line="80" w:lineRule="exact"/>
        <w:rPr>
          <w:rFonts w:ascii="Times New Roman" w:cs="Times New Roman" w:eastAsia="Times New Roman" w:hAnsi="Times New Roman"/>
          <w:sz w:val="18"/>
          <w:szCs w:val="18"/>
          <w:color w:val="auto"/>
        </w:rPr>
      </w:pPr>
    </w:p>
    <w:p>
      <w:pPr>
        <w:jc w:val="both"/>
        <w:ind w:left="720" w:right="79" w:hanging="224"/>
        <w:spacing w:after="0" w:line="258"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reliance on personnel working from home may negatively impact productivity, or disrupt, delay, or otherwise adversely impact our business. In addition, this could increase our cyber-security risk, create data accessibility concerns, and make us more susceptible to communication disruptions, any of which could adversely impact our business operations or delay necessary interactions with local and federal regulators, ethics committees, manufacturing sites, research or clinical trial sites and important agencies and contractors.</w:t>
      </w:r>
    </w:p>
    <w:p>
      <w:pPr>
        <w:spacing w:after="0" w:line="75" w:lineRule="exact"/>
        <w:rPr>
          <w:rFonts w:ascii="Times New Roman" w:cs="Times New Roman" w:eastAsia="Times New Roman" w:hAnsi="Times New Roman"/>
          <w:sz w:val="18"/>
          <w:szCs w:val="18"/>
          <w:color w:val="auto"/>
        </w:rPr>
      </w:pPr>
    </w:p>
    <w:p>
      <w:pPr>
        <w:ind w:left="720" w:right="79" w:hanging="224"/>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and comparable foreign regulatory agencies may experience operational interruptions or delays, which may impact timelines for regulatory submission, trial initiation and regulatory approval.</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COVID-19 outbreak continues to rapidly evolve. The extent to which the outbreak may impact our business, manufacturing, preclinical development activities, preclinical studies and planned clinical trials will depend on future developments, which are highly uncertain and cannot be predicted with confidence, such as the ultimate geographic spread of COVID-19,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39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5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87"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incurrence of substantial debt or dilutive issuances of equity securities;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higher-than-expected acquisition and integration costs;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write-downs of assets or goodwill or impairment charges;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increased amortization expenses;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inability to retain key employees of any acquired businesses.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7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83"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different regulatory requirements for drug approvals in foreign countries;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differing United States and foreign drug import and export rules;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reduced protection for intellectual property rights in foreign countries;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unexpected changes in tariffs, trade barriers and regulatory requirements;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different reimbursement systems, and different competitive drugs;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5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89"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civil and criminal penalties;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injunctions;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withdrawal of regulatory approval of products;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total or partial suspension of production;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refusal to approve pending NDAs or supplements to approved NDAs.</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FDA or such comparable authorities that requires us to expend additional time and resources and delay or prevent the approval of our product candidates. For example, the FDA may require us to conduct additional studies for a drug product either prior to or post-approval, such as additional drug-drug interaction studies or safety or efficacy studies,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FDA or comparable foreign regulatory authorities may disagree with the design or implementation of our, or our collaboration partners’, clinical studies;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FDA or comparable foreign regulatory authorities may disagree with the interpretation of data from preclinical studies or clinical studies;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data collected from clinical studies of our product candidates may not be sufficient to support the submission of a NDA or other submission or to obtain regulatory approval in the United States or elsewhere;</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76"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warning or untitled letters, fines or holds on clinical trials;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suspension or revocation of existing regulatory approvals;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suspension of any of our ongoing clinical trials;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restrictions on our or our contract manufacturers’ operations; or</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0" w:lineRule="exact"/>
        <w:rPr>
          <w:sz w:val="20"/>
          <w:szCs w:val="20"/>
          <w:color w:val="auto"/>
        </w:rPr>
      </w:pPr>
    </w:p>
    <w:p>
      <w:pPr>
        <w:jc w:val="both"/>
        <w:ind w:left="60" w:right="79" w:firstLine="324"/>
        <w:spacing w:after="0" w:line="289" w:lineRule="auto"/>
        <w:rPr>
          <w:sz w:val="20"/>
          <w:szCs w:val="20"/>
          <w:color w:val="auto"/>
        </w:rPr>
      </w:pPr>
      <w:r>
        <w:rPr>
          <w:rFonts w:ascii="Times New Roman" w:cs="Times New Roman" w:eastAsia="Times New Roman" w:hAnsi="Times New Roman"/>
          <w:sz w:val="17"/>
          <w:szCs w:val="17"/>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9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Tenapanor, which has been approved by the FDA for the treatment of IBS-C in adults, and/or our other product candidates, if approved, may cause or contribute to adverse medical events that we are required to report to regulatory agencies and if we fail to do so we could be subject to sanctions that would materially harm our business.</w:t>
      </w:r>
    </w:p>
    <w:p>
      <w:pPr>
        <w:spacing w:after="0" w:line="17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15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7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once we begin commercializing our products, we and our collaboration partners may be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80" w:lineRule="exact"/>
        <w:rPr>
          <w:sz w:val="20"/>
          <w:szCs w:val="20"/>
          <w:color w:val="auto"/>
        </w:rPr>
      </w:pPr>
    </w:p>
    <w:p>
      <w:pPr>
        <w:jc w:val="both"/>
        <w:ind w:left="720" w:right="79" w:hanging="319"/>
        <w:spacing w:after="0" w:line="256"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87" w:lineRule="exact"/>
        <w:rPr>
          <w:rFonts w:ascii="Times New Roman" w:cs="Times New Roman" w:eastAsia="Times New Roman" w:hAnsi="Times New Roman"/>
          <w:sz w:val="18"/>
          <w:szCs w:val="18"/>
          <w:color w:val="231F20"/>
        </w:rPr>
      </w:pPr>
    </w:p>
    <w:p>
      <w:pPr>
        <w:jc w:val="both"/>
        <w:ind w:left="720" w:right="79" w:hanging="319"/>
        <w:spacing w:after="0" w:line="258"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spacing w:after="0" w:line="183"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58"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federal physician sunshine requirements under the Affordable Care Act, which requires manufacturers of drugs, devices, biologics, and medical supplies to report annually to CMS information related to payments and other transfers of value to physicians, certain other healthcare providers beginning in 2022, and teaching hospitals, and ownership and investment interests held by physicians and other healthcare providers and their immediate family members;</w:t>
      </w:r>
    </w:p>
    <w:p>
      <w:pPr>
        <w:spacing w:after="0" w:line="183"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from participation in federal and state healthcare programs and imprisonment, any of which could adversely affect our ability to market our products and adversely impact our financial results.</w:t>
      </w:r>
    </w:p>
    <w:p>
      <w:pPr>
        <w:spacing w:after="0" w:line="15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9"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clinical trials to be conducted prior to obtaining approval;</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changes to manufacturing methods;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recall, replacement, or discontinuance of one or more of our products;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additional record keeping.</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as well as efforts by the current Presidential Administration to modify, or repeal all, or certain provisions of, the Affordable Care Act.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It is unclear how these decisions, subsequent appeals, and other efforts to challenge, repeal, or replace the ACA will impact the ACA or our business. We cannot predict the reform initiatives that may be adopted in the future or whether initiatives that have been adopted will be repealed or modified.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2029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we are successful in defending against such claims, such litigation can be expensive and time consuming to litigate and would divert management’s attention from our core business. Any of these events could harm our business significantly.</w:t>
      </w:r>
    </w:p>
    <w:p>
      <w:pPr>
        <w:spacing w:after="0" w:line="16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5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83"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 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Following the approval by the FDA for our NDA to market tenapanor for IBS-C, we became eligible to seek and sought patent term restoration under the Hatch-Waxman Act for one of the U.S. patents covering our approved product or the use thereof. The Hatch-Waxman Act allows a maximum of one patent to be extended per FDA approved product. Patent term extension also may be available in certain foreign countries upon regulatory approval of our product candidates. Despite seeking patent term extension for tenapanor or other product candidates,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9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our stockholders may not be able to resell shares of our common stock at or above the price they paid.</w:t>
      </w:r>
    </w:p>
    <w:p>
      <w:pPr>
        <w:spacing w:after="0" w:line="15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76"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or any delays in, clinical trial programs relating to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regulatory approval, results of regulatory inspections of our facilities or those of our contract manufacturing organizations, or specific label restrictions or patient populations for tenapanor’s use, or changes or delays in the regulatory review process;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current or future collaboration partnerships;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product label, our clinical trials, manufacturing supply chain or sales and marketing activities;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any of our projected timelines or goals with regard to the clinical development of any of our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other U.S. or foreign regulatory actions affecting us or our industry or other healthcare reform measures in the United States;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securities and sales or licensing of assets;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United States equity markets;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own a significant percentage of our stock and, together with our management, will be able to exert significant control over matters subject to stockholder approval.</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Based on the number of shares outstanding as of September 30, 2020, our officers, directors and stockholders who hold at least 5% of our stock together beneficially own approximately 44.3%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5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Securities and Exchange Commission (“SEC”) which require, among other things, our management to report on the effectiveness of our internal control over financial reporting. Our compliance with Section 404 requires that we incur substantial expense and expend significant management efforts.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global economic environment.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trading price of our common stock could decline. As of September 30, 2020, we had 90,243,409 shares of common stock outstanding. Of those shares, approximately 37.6 million were held by current directors, executive officers and stockholders owning 5% or more of our outstanding common stock.</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2020, no shares of common stock issuable upon vesting of outstanding restricted stock units and approximately 9.4 million shares of common stock issuable upon exercise of outstanding options were eligible for sale in the public market to the extent permitted by the provisions of the applicable vesting schedules, and Rule 144 and Rule 701</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under the Securities Act. If these additional shares of common stock are issued and sold, or if it is perceived that they will be sold, in the public market, the trading price of our common stock could decline.</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5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76" w:lineRule="exact"/>
        <w:rPr>
          <w:sz w:val="20"/>
          <w:szCs w:val="20"/>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more of its capital stock unless the holder has held the stock for three years or, among other exceptions, the board of directors has approved the transaction.</w:t>
      </w:r>
    </w:p>
    <w:p>
      <w:pPr>
        <w:spacing w:after="0" w:line="158"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62" w:lineRule="exact"/>
        <w:rPr>
          <w:sz w:val="20"/>
          <w:szCs w:val="20"/>
          <w:color w:val="auto"/>
        </w:rPr>
      </w:pPr>
    </w:p>
    <w:p>
      <w:pPr>
        <w:jc w:val="both"/>
        <w:ind w:left="720" w:right="79" w:hanging="319"/>
        <w:spacing w:after="0" w:line="258"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3"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5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Effective May 16, 2018, we entered into a loan and security agreement (as amended on October 9, 2020) pursuant to which the Lenders agreed to provide us a $50.0 million term loan facility. Covenants in the loan and security agreement limit our ability to pay dividends or make other distributions. For additional information refer to “NOTE 5.</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 xml:space="preserve">BORROWINGS” and “NOTE 13. SUBSEQUENT EVENT” in the notes to our unaudited condensed financial statements in Part I, Item 1, </w:t>
      </w:r>
      <w:r>
        <w:rPr>
          <w:rFonts w:ascii="Times New Roman" w:cs="Times New Roman" w:eastAsia="Times New Roman" w:hAnsi="Times New Roman"/>
          <w:sz w:val="18"/>
          <w:szCs w:val="18"/>
          <w:i w:val="1"/>
          <w:iCs w:val="1"/>
          <w:color w:val="auto"/>
        </w:rPr>
        <w:t>Notes to Condensed Financial Statements</w:t>
      </w:r>
      <w:r>
        <w:rPr>
          <w:rFonts w:ascii="Times New Roman" w:cs="Times New Roman" w:eastAsia="Times New Roman" w:hAnsi="Times New Roman"/>
          <w:sz w:val="18"/>
          <w:szCs w:val="18"/>
          <w:color w:val="auto"/>
        </w:rPr>
        <w:t>, of this Quarterly Report on Form 10-Q.</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502"/>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80" w:type="dxa"/>
            <w:vAlign w:val="bottom"/>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4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760" w:hanging="674"/>
        <w:spacing w:after="0" w:line="282"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31.1</w:t>
      </w:r>
      <w:r>
        <w:rPr>
          <w:sz w:val="20"/>
          <w:szCs w:val="20"/>
          <w:color w:val="auto"/>
        </w:rPr>
        <w:tab/>
      </w:r>
      <w:hyperlink w:anchor="page74">
        <w:r>
          <w:rPr>
            <w:rFonts w:ascii="Times New Roman" w:cs="Times New Roman" w:eastAsia="Times New Roman" w:hAnsi="Times New Roman"/>
            <w:sz w:val="18"/>
            <w:szCs w:val="18"/>
            <w:u w:val="single" w:color="auto"/>
            <w:color w:val="0000EE"/>
          </w:rPr>
          <w:t>Certification of Chief Executive Officer Pursuant to</w:t>
        </w:r>
      </w:hyperlink>
      <w:r>
        <w:rPr>
          <w:rFonts w:ascii="Times New Roman" w:cs="Times New Roman" w:eastAsia="Times New Roman" w:hAnsi="Times New Roman"/>
          <w:sz w:val="18"/>
          <w:szCs w:val="18"/>
          <w:u w:val="single" w:color="auto"/>
          <w:color w:val="0000EE"/>
        </w:rPr>
        <w:t xml:space="preserve"> </w:t>
      </w:r>
      <w:hyperlink w:anchor="page74">
        <w:r>
          <w:rPr>
            <w:rFonts w:ascii="Times New Roman" w:cs="Times New Roman" w:eastAsia="Times New Roman" w:hAnsi="Times New Roman"/>
            <w:sz w:val="18"/>
            <w:szCs w:val="18"/>
            <w:u w:val="single" w:color="auto"/>
            <w:color w:val="0000EE"/>
          </w:rPr>
          <w:t>Section 302 of the Sarbanes-Oxley Act of 2002.</w:t>
        </w:r>
      </w:hyperlink>
    </w:p>
    <w:p>
      <w:pPr>
        <w:spacing w:after="0" w:line="162" w:lineRule="exact"/>
        <w:rPr>
          <w:sz w:val="20"/>
          <w:szCs w:val="20"/>
          <w:color w:val="auto"/>
        </w:rPr>
      </w:pPr>
    </w:p>
    <w:p>
      <w:pPr>
        <w:ind w:left="740" w:right="800" w:hanging="674"/>
        <w:spacing w:after="0" w:line="282"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31.2</w:t>
      </w:r>
      <w:r>
        <w:rPr>
          <w:sz w:val="20"/>
          <w:szCs w:val="20"/>
          <w:color w:val="auto"/>
        </w:rPr>
        <w:tab/>
      </w:r>
      <w:hyperlink w:anchor="page75">
        <w:r>
          <w:rPr>
            <w:rFonts w:ascii="Times New Roman" w:cs="Times New Roman" w:eastAsia="Times New Roman" w:hAnsi="Times New Roman"/>
            <w:sz w:val="18"/>
            <w:szCs w:val="18"/>
            <w:u w:val="single" w:color="auto"/>
            <w:color w:val="0000EE"/>
          </w:rPr>
          <w:t>Certification of Chief Financial Officer Pursuant to</w:t>
        </w:r>
      </w:hyperlink>
      <w:r>
        <w:rPr>
          <w:rFonts w:ascii="Times New Roman" w:cs="Times New Roman" w:eastAsia="Times New Roman" w:hAnsi="Times New Roman"/>
          <w:sz w:val="18"/>
          <w:szCs w:val="18"/>
          <w:u w:val="single" w:color="auto"/>
          <w:color w:val="0000EE"/>
        </w:rPr>
        <w:t xml:space="preserve"> </w:t>
      </w:r>
      <w:hyperlink w:anchor="page75">
        <w:r>
          <w:rPr>
            <w:rFonts w:ascii="Times New Roman" w:cs="Times New Roman" w:eastAsia="Times New Roman" w:hAnsi="Times New Roman"/>
            <w:sz w:val="18"/>
            <w:szCs w:val="18"/>
            <w:u w:val="single" w:color="auto"/>
            <w:color w:val="0000EE"/>
          </w:rPr>
          <w:t>Section 302 of the Sarbanes-Oxley Act of 2002.</w:t>
        </w:r>
      </w:hyperlink>
    </w:p>
    <w:p>
      <w:pPr>
        <w:spacing w:after="0" w:line="162" w:lineRule="exact"/>
        <w:rPr>
          <w:sz w:val="20"/>
          <w:szCs w:val="20"/>
          <w:color w:val="auto"/>
        </w:rPr>
      </w:pPr>
    </w:p>
    <w:p>
      <w:pPr>
        <w:jc w:val="both"/>
        <w:ind w:left="740" w:right="60" w:hanging="674"/>
        <w:spacing w:after="0" w:line="266" w:lineRule="auto"/>
        <w:tabs>
          <w:tab w:leader="none" w:pos="7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32.1</w:t>
      </w:r>
      <w:r>
        <w:rPr>
          <w:sz w:val="20"/>
          <w:szCs w:val="20"/>
          <w:color w:val="auto"/>
        </w:rPr>
        <w:tab/>
      </w:r>
      <w:hyperlink w:anchor="page76">
        <w:r>
          <w:rPr>
            <w:rFonts w:ascii="Times New Roman" w:cs="Times New Roman" w:eastAsia="Times New Roman" w:hAnsi="Times New Roman"/>
            <w:sz w:val="18"/>
            <w:szCs w:val="18"/>
            <w:u w:val="single" w:color="auto"/>
            <w:color w:val="0000EE"/>
          </w:rPr>
          <w:t>Certification of Chief Executive Officer and Chief Financial</w:t>
        </w:r>
      </w:hyperlink>
      <w:r>
        <w:rPr>
          <w:rFonts w:ascii="Times New Roman" w:cs="Times New Roman" w:eastAsia="Times New Roman" w:hAnsi="Times New Roman"/>
          <w:sz w:val="18"/>
          <w:szCs w:val="18"/>
          <w:u w:val="single" w:color="auto"/>
          <w:color w:val="0000EE"/>
        </w:rPr>
        <w:t xml:space="preserve"> </w:t>
      </w:r>
      <w:hyperlink w:anchor="page76">
        <w:r>
          <w:rPr>
            <w:rFonts w:ascii="Times New Roman" w:cs="Times New Roman" w:eastAsia="Times New Roman" w:hAnsi="Times New Roman"/>
            <w:sz w:val="18"/>
            <w:szCs w:val="18"/>
            <w:u w:val="single" w:color="auto"/>
            <w:color w:val="0000EE"/>
          </w:rPr>
          <w:t>Officer Pursuant to Section 906 of the Sarbanes-Oxley Act of</w:t>
        </w:r>
      </w:hyperlink>
      <w:r>
        <w:rPr>
          <w:rFonts w:ascii="Times New Roman" w:cs="Times New Roman" w:eastAsia="Times New Roman" w:hAnsi="Times New Roman"/>
          <w:sz w:val="18"/>
          <w:szCs w:val="18"/>
          <w:u w:val="single" w:color="auto"/>
          <w:color w:val="0000EE"/>
        </w:rPr>
        <w:t xml:space="preserve"> </w:t>
      </w:r>
      <w:hyperlink w:anchor="page76">
        <w:r>
          <w:rPr>
            <w:rFonts w:ascii="Times New Roman" w:cs="Times New Roman" w:eastAsia="Times New Roman" w:hAnsi="Times New Roman"/>
            <w:sz w:val="18"/>
            <w:szCs w:val="18"/>
            <w:u w:val="single" w:color="auto"/>
            <w:color w:val="0000EE"/>
          </w:rPr>
          <w:t>2002.</w:t>
        </w:r>
      </w:hyperlink>
    </w:p>
    <w:p>
      <w:pPr>
        <w:spacing w:after="0" w:line="176" w:lineRule="exact"/>
        <w:rPr>
          <w:rFonts w:ascii="Times New Roman" w:cs="Times New Roman" w:eastAsia="Times New Roman" w:hAnsi="Times New Roman"/>
          <w:sz w:val="18"/>
          <w:szCs w:val="18"/>
          <w:u w:val="single" w:color="auto"/>
          <w:color w:val="0000EE"/>
        </w:rPr>
      </w:pPr>
    </w:p>
    <w:p>
      <w:pPr>
        <w:ind w:left="740" w:right="540" w:hanging="684"/>
        <w:spacing w:after="0" w:line="276" w:lineRule="auto"/>
        <w:tabs>
          <w:tab w:leader="none" w:pos="7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formatted in Inline Extensible Business Reporting Language (XBRL):</w:t>
      </w:r>
    </w:p>
    <w:p>
      <w:pPr>
        <w:ind w:left="740"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Condensed Balance Sheets as of September 30, 2020 and December 31, 2019, (ii) Condensed Statements of Operations and Comprehensive Loss for the three and nine months ended September 30, 2020 and 2019, (iii) Condensed Statements of</w:t>
      </w:r>
    </w:p>
    <w:p>
      <w:pPr>
        <w:spacing w:after="0" w:line="1" w:lineRule="exact"/>
        <w:rPr>
          <w:rFonts w:ascii="Times New Roman" w:cs="Times New Roman" w:eastAsia="Times New Roman" w:hAnsi="Times New Roman"/>
          <w:sz w:val="18"/>
          <w:szCs w:val="18"/>
          <w:u w:val="single" w:color="auto"/>
          <w:color w:val="0000EE"/>
        </w:rPr>
      </w:pPr>
    </w:p>
    <w:p>
      <w:pPr>
        <w:jc w:val="both"/>
        <w:ind w:left="740" w:right="160"/>
        <w:spacing w:after="0" w:line="250" w:lineRule="auto"/>
        <w:rPr>
          <w:sz w:val="20"/>
          <w:szCs w:val="20"/>
          <w:color w:val="auto"/>
        </w:rPr>
      </w:pPr>
      <w:r>
        <w:rPr>
          <w:rFonts w:ascii="Times New Roman" w:cs="Times New Roman" w:eastAsia="Times New Roman" w:hAnsi="Times New Roman"/>
          <w:sz w:val="18"/>
          <w:szCs w:val="18"/>
          <w:color w:val="auto"/>
        </w:rPr>
        <w:t>Cash Flows for the nine months ended September 30, 2020 and 2019, and (iv) Notes to Unaudited Condensed Financial Statements.</w:t>
      </w:r>
    </w:p>
    <w:p>
      <w:pPr>
        <w:spacing w:after="0" w:line="1" w:lineRule="exact"/>
        <w:rPr>
          <w:rFonts w:ascii="Times New Roman" w:cs="Times New Roman" w:eastAsia="Times New Roman" w:hAnsi="Times New Roman"/>
          <w:sz w:val="18"/>
          <w:szCs w:val="18"/>
          <w:u w:val="single" w:color="auto"/>
          <w:color w:val="0000EE"/>
        </w:rPr>
      </w:pPr>
    </w:p>
    <w:p>
      <w:pPr>
        <w:ind w:left="740" w:right="160" w:hanging="684"/>
        <w:spacing w:after="0" w:line="260" w:lineRule="auto"/>
        <w:tabs>
          <w:tab w:leader="none" w:pos="7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4" w:lineRule="exact"/>
        <w:rPr>
          <w:rFonts w:ascii="Times New Roman" w:cs="Times New Roman" w:eastAsia="Times New Roman" w:hAnsi="Times New Roman"/>
          <w:sz w:val="18"/>
          <w:szCs w:val="18"/>
          <w:u w:val="single" w:color="auto"/>
          <w:color w:val="0000EE"/>
        </w:rPr>
      </w:pPr>
    </w:p>
    <w:p>
      <w:pPr>
        <w:ind w:left="44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br w:type="column"/>
      </w: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00" w:lineRule="exact"/>
        <w:rPr>
          <w:rFonts w:ascii="Times New Roman" w:cs="Times New Roman" w:eastAsia="Times New Roman" w:hAnsi="Times New Roman"/>
          <w:sz w:val="18"/>
          <w:szCs w:val="18"/>
          <w:u w:val="single" w:color="auto"/>
          <w:color w:val="0000EE"/>
        </w:rPr>
      </w:pPr>
    </w:p>
    <w:p>
      <w:pPr>
        <w:spacing w:after="0" w:line="288" w:lineRule="exact"/>
        <w:rPr>
          <w:rFonts w:ascii="Times New Roman" w:cs="Times New Roman" w:eastAsia="Times New Roman" w:hAnsi="Times New Roman"/>
          <w:sz w:val="18"/>
          <w:szCs w:val="18"/>
          <w:u w:val="single" w:color="auto"/>
          <w:color w:val="0000EE"/>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rFonts w:ascii="Times New Roman" w:cs="Times New Roman" w:eastAsia="Times New Roman" w:hAnsi="Times New Roman"/>
          <w:sz w:val="18"/>
          <w:szCs w:val="18"/>
          <w:u w:val="single" w:color="auto"/>
          <w:color w:val="0000EE"/>
        </w:rPr>
      </w:pPr>
    </w:p>
    <w:tbl>
      <w:tblPr>
        <w:tblLayout w:type="fixed"/>
        <w:tblInd w:w="0" w:type="dxa"/>
        <w:tblCellMar>
          <w:top w:w="0" w:type="dxa"/>
          <w:left w:w="0" w:type="dxa"/>
          <w:bottom w:w="0" w:type="dxa"/>
          <w:right w:w="0" w:type="dxa"/>
        </w:tblCellMar>
      </w:tblPr>
      <w:tr>
        <w:trPr>
          <w:trHeight w:val="117"/>
        </w:trPr>
        <w:tc>
          <w:tcPr>
            <w:tcW w:w="9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90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NumberHerewith</w:t>
            </w:r>
          </w:p>
        </w:tc>
        <w:tc>
          <w:tcPr>
            <w:tcW w:w="0" w:type="dxa"/>
            <w:vAlign w:val="bottom"/>
          </w:tcPr>
          <w:p>
            <w:pPr>
              <w:spacing w:after="0"/>
              <w:rPr>
                <w:sz w:val="1"/>
                <w:szCs w:val="1"/>
                <w:color w:val="auto"/>
              </w:rPr>
            </w:pPr>
          </w:p>
        </w:tc>
      </w:tr>
      <w:tr>
        <w:trPr>
          <w:trHeight w:val="426"/>
        </w:trPr>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648"/>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64"/>
        </w:trPr>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5220" w:space="160"/>
            <w:col w:w="3639"/>
          </w:cols>
          <w:pgMar w:left="1440" w:top="513" w:right="1440" w:bottom="1440" w:gutter="0" w:footer="0" w:header="0"/>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Ardelyx, Inc.</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2020</w:t>
            </w:r>
          </w:p>
        </w:tc>
        <w:tc>
          <w:tcPr>
            <w:tcW w:w="58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By:/s/ Justin Renz</w:t>
            </w:r>
          </w:p>
        </w:tc>
      </w:tr>
      <w:tr>
        <w:trPr>
          <w:trHeight w:val="187"/>
        </w:trPr>
        <w:tc>
          <w:tcPr>
            <w:tcW w:w="30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4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Justin Renz</w:t>
            </w:r>
          </w:p>
        </w:tc>
      </w:tr>
      <w:tr>
        <w:trPr>
          <w:trHeight w:val="216"/>
        </w:trPr>
        <w:tc>
          <w:tcPr>
            <w:tcW w:w="3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38"/>
        </w:trPr>
        <w:tc>
          <w:tcPr>
            <w:tcW w:w="30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(Chief Accounting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Raab, certify that:</w:t>
      </w:r>
    </w:p>
    <w:p>
      <w:pPr>
        <w:spacing w:after="0" w:line="212" w:lineRule="exact"/>
        <w:rPr>
          <w:sz w:val="20"/>
          <w:szCs w:val="20"/>
          <w:color w:val="auto"/>
        </w:rPr>
      </w:pPr>
    </w:p>
    <w:p>
      <w:pPr>
        <w:ind w:left="480" w:hanging="43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211" w:lineRule="exact"/>
        <w:rPr>
          <w:rFonts w:ascii="Times New Roman" w:cs="Times New Roman" w:eastAsia="Times New Roman" w:hAnsi="Times New Roman"/>
          <w:sz w:val="18"/>
          <w:szCs w:val="18"/>
          <w:color w:val="auto"/>
        </w:rPr>
      </w:pPr>
    </w:p>
    <w:p>
      <w:pPr>
        <w:ind w:left="480" w:right="119" w:hanging="43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99" w:hanging="43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480" w:right="239" w:hanging="43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139" w:hanging="438"/>
        <w:spacing w:after="0" w:line="245"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920" w:right="119" w:hanging="438"/>
        <w:spacing w:after="0" w:line="245"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920" w:right="299" w:hanging="438"/>
        <w:spacing w:after="0" w:line="250"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20" w:right="219" w:hanging="438"/>
        <w:spacing w:after="0" w:line="245"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right="199" w:hanging="430"/>
        <w:spacing w:after="0" w:line="250" w:lineRule="auto"/>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20" w:right="79" w:hanging="438"/>
        <w:spacing w:after="0" w:line="250"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20" w:right="199" w:hanging="438"/>
        <w:spacing w:after="0" w:line="266" w:lineRule="auto"/>
        <w:tabs>
          <w:tab w:leader="none" w:pos="9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60"/>
        <w:spacing w:after="0"/>
        <w:tabs>
          <w:tab w:leader="none" w:pos="4340" w:val="left"/>
          <w:tab w:leader="none" w:pos="620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8890</wp:posOffset>
            </wp:positionV>
            <wp:extent cx="26917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8"/>
          <w:szCs w:val="18"/>
          <w:b w:val="1"/>
          <w:bCs w:val="1"/>
          <w:color w:val="auto"/>
        </w:rPr>
        <w:t>Michael Raab</w:t>
      </w:r>
    </w:p>
    <w:p>
      <w:pPr>
        <w:jc w:val="center"/>
        <w:ind w:left="4640"/>
        <w:spacing w:after="0" w:line="234"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1" w:lineRule="exact"/>
        <w:rPr>
          <w:sz w:val="20"/>
          <w:szCs w:val="20"/>
          <w:color w:val="auto"/>
        </w:rPr>
      </w:pPr>
    </w:p>
    <w:p>
      <w:pPr>
        <w:jc w:val="center"/>
        <w:ind w:left="46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4" w:name="page75"/>
    <w:bookmarkEnd w:id="7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212" w:lineRule="exact"/>
        <w:rPr>
          <w:sz w:val="20"/>
          <w:szCs w:val="20"/>
          <w:color w:val="auto"/>
        </w:rPr>
      </w:pPr>
    </w:p>
    <w:p>
      <w:pPr>
        <w:ind w:left="480" w:hanging="43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211" w:lineRule="exact"/>
        <w:rPr>
          <w:rFonts w:ascii="Times New Roman" w:cs="Times New Roman" w:eastAsia="Times New Roman" w:hAnsi="Times New Roman"/>
          <w:sz w:val="18"/>
          <w:szCs w:val="18"/>
          <w:color w:val="auto"/>
        </w:rPr>
      </w:pPr>
    </w:p>
    <w:p>
      <w:pPr>
        <w:ind w:left="480" w:right="119" w:hanging="430"/>
        <w:spacing w:after="0" w:line="250"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80" w:right="99" w:hanging="430"/>
        <w:spacing w:after="0" w:line="250"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480" w:right="239" w:hanging="430"/>
        <w:spacing w:after="0" w:line="250"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139" w:hanging="438"/>
        <w:spacing w:after="0" w:line="245"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920" w:right="119" w:hanging="438"/>
        <w:spacing w:after="0" w:line="245"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jc w:val="both"/>
        <w:ind w:left="920" w:right="299" w:hanging="438"/>
        <w:spacing w:after="0" w:line="250"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20" w:right="219" w:hanging="438"/>
        <w:spacing w:after="0" w:line="245"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480" w:right="199" w:hanging="430"/>
        <w:spacing w:after="0" w:line="250" w:lineRule="auto"/>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920" w:right="79" w:hanging="438"/>
        <w:spacing w:after="0" w:line="250"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20" w:right="199" w:hanging="438"/>
        <w:spacing w:after="0" w:line="266"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2" w:lineRule="exact"/>
        <w:rPr>
          <w:sz w:val="20"/>
          <w:szCs w:val="20"/>
          <w:color w:val="auto"/>
        </w:rPr>
      </w:pPr>
    </w:p>
    <w:p>
      <w:pPr>
        <w:ind w:left="60"/>
        <w:spacing w:after="0"/>
        <w:tabs>
          <w:tab w:leader="none" w:pos="4580" w:val="left"/>
          <w:tab w:leader="none" w:pos="638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8890</wp:posOffset>
            </wp:positionV>
            <wp:extent cx="25800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5"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b w:val="1"/>
          <w:bCs w:val="1"/>
          <w:color w:val="auto"/>
        </w:rPr>
        <w:t>Justin Renz</w:t>
      </w:r>
    </w:p>
    <w:p>
      <w:pPr>
        <w:jc w:val="center"/>
        <w:ind w:left="482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5" w:name="page76"/>
    <w:bookmarkEnd w:id="7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160" w:right="2179" w:firstLine="62"/>
        <w:spacing w:after="0" w:line="243"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2"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In connection with the Quarterly Report of Ardelyx, Inc. (the “Company”) on Form 10-Q for the period ending September 30, 2020, as filed with the Securities and Exchange Commission on the date hereof (the “Report”), Michael Raab, President and Chief Executive Officer of the Company, and Justin Renz, Chief Financial Officer of the Company, respectively, do each hereby certify, pursuant to 18 U.S.C. Section 1350, as adopted pursuant to Section 906 of the Sarbanes-Oxley Act of 2002, that:</w:t>
      </w:r>
    </w:p>
    <w:p>
      <w:pPr>
        <w:spacing w:after="0" w:line="185" w:lineRule="exact"/>
        <w:rPr>
          <w:sz w:val="20"/>
          <w:szCs w:val="20"/>
          <w:color w:val="auto"/>
        </w:rPr>
      </w:pPr>
    </w:p>
    <w:p>
      <w:pPr>
        <w:ind w:left="800" w:right="79" w:hanging="426"/>
        <w:spacing w:after="0" w:line="266"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800" w:right="79" w:hanging="426"/>
        <w:spacing w:after="0" w:line="266" w:lineRule="auto"/>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392" w:lineRule="exact"/>
        <w:rPr>
          <w:sz w:val="20"/>
          <w:szCs w:val="20"/>
          <w:color w:val="auto"/>
        </w:rPr>
      </w:pPr>
    </w:p>
    <w:p>
      <w:pPr>
        <w:ind w:left="60"/>
        <w:spacing w:after="0"/>
        <w:tabs>
          <w:tab w:leader="none" w:pos="4580" w:val="left"/>
          <w:tab w:leader="none" w:pos="632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8890</wp:posOffset>
            </wp:positionV>
            <wp:extent cx="25546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Michael Raab</w:t>
      </w:r>
    </w:p>
    <w:p>
      <w:pPr>
        <w:jc w:val="center"/>
        <w:ind w:left="4860"/>
        <w:spacing w:after="0" w:line="234" w:lineRule="auto"/>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1"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81" w:lineRule="exact"/>
        <w:rPr>
          <w:sz w:val="20"/>
          <w:szCs w:val="20"/>
          <w:color w:val="auto"/>
        </w:rPr>
      </w:pPr>
    </w:p>
    <w:p>
      <w:pPr>
        <w:ind w:left="60"/>
        <w:spacing w:after="0"/>
        <w:tabs>
          <w:tab w:leader="none" w:pos="4580" w:val="left"/>
          <w:tab w:leader="none" w:pos="6400" w:val="left"/>
        </w:tabs>
        <w:rPr>
          <w:sz w:val="20"/>
          <w:szCs w:val="20"/>
          <w:color w:val="auto"/>
        </w:rPr>
      </w:pPr>
      <w:r>
        <w:rPr>
          <w:rFonts w:ascii="Times New Roman" w:cs="Times New Roman" w:eastAsia="Times New Roman" w:hAnsi="Times New Roman"/>
          <w:sz w:val="18"/>
          <w:szCs w:val="18"/>
          <w:color w:val="auto"/>
        </w:rPr>
        <w:t>Date: November 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8890</wp:posOffset>
            </wp:positionV>
            <wp:extent cx="25546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5"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Justin Renz</w:t>
      </w:r>
    </w:p>
    <w:p>
      <w:pPr>
        <w:jc w:val="center"/>
        <w:ind w:left="486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 w:lineRule="exact"/>
        <w:rPr>
          <w:sz w:val="20"/>
          <w:szCs w:val="20"/>
          <w:color w:val="auto"/>
        </w:rPr>
      </w:pPr>
    </w:p>
    <w:p>
      <w:pPr>
        <w:jc w:val="center"/>
        <w:ind w:left="486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1"/>
      <w:numFmt w:val="decimal"/>
      <w:start w:val="104"/>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2020-11-05T07:10:37Z</dcterms:created>
  <dcterms:modified xsi:type="dcterms:W3CDTF">2020-11-05T07:10:37Z</dcterms:modified>
</cp:coreProperties>
</file>