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March 1, 2022</w:t>
      </w:r>
    </w:p>
    <w:p>
      <w:pPr>
        <w:spacing w:after="0" w:line="24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142875</wp:posOffset>
            </wp:positionV>
            <wp:extent cx="1019810" cy="916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9810" cy="9169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Ardelyx,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72" w:right="339" w:bottom="1072" w:gutter="0" w:footer="0" w:header="0"/>
        </w:sectPr>
      </w:pPr>
    </w:p>
    <w:p>
      <w:pPr>
        <w:spacing w:after="0" w:line="205"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26-1303944</w:t>
      </w:r>
    </w:p>
    <w:p>
      <w:pPr>
        <w:spacing w:after="0" w:line="200" w:lineRule="exact"/>
        <w:rPr>
          <w:sz w:val="24"/>
          <w:szCs w:val="24"/>
          <w:color w:val="auto"/>
        </w:rPr>
      </w:pPr>
    </w:p>
    <w:p>
      <w:pPr>
        <w:sectPr>
          <w:pgSz w:w="11900" w:h="16838" w:orient="portrait"/>
          <w:cols w:equalWidth="0" w:num="2">
            <w:col w:w="7280" w:space="720"/>
            <w:col w:w="3240"/>
          </w:cols>
          <w:pgMar w:left="320" w:top="472" w:right="339" w:bottom="1072" w:gutter="0" w:footer="0" w:header="0"/>
          <w:type w:val="continuous"/>
        </w:sectPr>
      </w:pPr>
    </w:p>
    <w:p>
      <w:pPr>
        <w:spacing w:after="0" w:line="5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6240" w:space="720"/>
            <w:col w:w="4280"/>
          </w:cols>
          <w:pgMar w:left="320" w:top="472" w:right="339" w:bottom="1072" w:gutter="0" w:footer="0" w:header="0"/>
          <w:type w:val="continuous"/>
        </w:sectPr>
      </w:pP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231F20"/>
        </w:rPr>
        <w:t>400 Fifth Ave., Suite 210, Waltham, Massachusetts 02451</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(510) 745-1700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2014 Equity Incentive Award Plan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2016 Employee Commencement Incentive Plan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Elizabeth Grammer</w:t>
      </w:r>
    </w:p>
    <w:p>
      <w:pPr>
        <w:spacing w:after="0" w:line="27"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Chief Legal and Administrative Officer</w:t>
      </w:r>
    </w:p>
    <w:p>
      <w:pPr>
        <w:spacing w:after="0" w:line="9"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Ardelyx, Inc.</w:t>
      </w:r>
    </w:p>
    <w:p>
      <w:pPr>
        <w:spacing w:after="0" w:line="9"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400 Fifth Avenue, Suite 210</w:t>
      </w:r>
    </w:p>
    <w:p>
      <w:pPr>
        <w:spacing w:after="0" w:line="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Waltham, MA 02451</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(510) 745-1700</w:t>
      </w:r>
    </w:p>
    <w:p>
      <w:pPr>
        <w:spacing w:after="0" w:line="9"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Mark V. Roeder, Esq.</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140 Scott Drive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Telephone: (650) 328-4600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Facsimile: (650) 463-2600</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6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2040" w:type="dxa"/>
            <w:vAlign w:val="bottom"/>
          </w:tcPr>
          <w:p>
            <w:pPr>
              <w:ind w:left="1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Non-accelerated filer</w:t>
            </w:r>
          </w:p>
        </w:tc>
        <w:tc>
          <w:tcPr>
            <w:tcW w:w="186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2040" w:type="dxa"/>
            <w:vAlign w:val="bottom"/>
          </w:tcPr>
          <w:p>
            <w:pPr>
              <w:ind w:left="1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60" w:type="dxa"/>
            <w:vAlign w:val="bottom"/>
          </w:tcPr>
          <w:p>
            <w:pPr>
              <w:ind w:left="220"/>
              <w:spacing w:after="0"/>
              <w:rPr>
                <w:sz w:val="20"/>
                <w:szCs w:val="20"/>
                <w:color w:val="auto"/>
              </w:rPr>
            </w:pPr>
            <w:r>
              <w:rPr>
                <w:rFonts w:ascii="Arial" w:cs="Arial" w:eastAsia="Arial" w:hAnsi="Arial"/>
                <w:sz w:val="18"/>
                <w:szCs w:val="18"/>
                <w:color w:val="auto"/>
              </w:rPr>
              <w:t>Emerging growth company</w:t>
            </w:r>
          </w:p>
        </w:tc>
        <w:tc>
          <w:tcPr>
            <w:tcW w:w="2040" w:type="dxa"/>
            <w:vAlign w:val="bottom"/>
          </w:tcPr>
          <w:p>
            <w:pPr>
              <w:ind w:left="18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 w:firstLine="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This registration statement will become effective upon filing in accordance with Rule 462 under the Securities Act. Proposed sale to take place as soon after the effective date of the registration statement as awards under the plans are exercised and/or vest.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07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REGISTRATION OF ADDITIONAL SECURITIES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By a registration statement on Form S-8 filed with the Securities and Exchange Commission (the “SEC”) on July 14, 2014, File No. 333-197408 (the “Original Registration Statement”), Ardelyx, Inc. (the “Registrant”) registered 1,646,134 shares of common stock, par value $0.0001 per share (the “Common Stock”) issuable under the Ardelyx, Inc. 2014 Equity Incentive Award Plan (the “2014 Plan”) and 202,762 shares of Common Stock issuable under the Ardelyx, Inc. 2014 Employee Stock Purchase Plan (the “ESPP”). The Original Registration Statement also registered 880,497 shares of Common Stock issuable under the Ardelyx, Inc. 2008 Stock Incentive Plan, as amended (the “2008 Plan”), which shares become available for issuance under the 2014 Plan to the extent awards under the 2008 Plan are forfeited or lapse unexercised and are not issued under the 2008 Plan.</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a registration statement on Form S-8 filed with the Securities and Exchange Commission (the “SEC”) on November 10, 2016, File No. 333-214538 (the “2016 Original Registration Statement”), the Registrant registered 1,000,000 shares of common stock, par value $0.0001 per share (the “Common Stock”) issuable under the Ardelyx, Inc. 2016 Employment Commencement Incentive Plan (the “2016 Plan”).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By the registration statements on Form S-8 listed in the table below filed with the SEC, the Registrant registered the following additional shares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Common Stock issuable under the 2014 Plan, the ESPP and the 2016 Plan: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Borders>
              <w:bottom w:val="single" w:sz="8" w:color="auto"/>
            </w:tcBorders>
            <w:gridSpan w:val="5"/>
          </w:tcPr>
          <w:p>
            <w:pPr>
              <w:jc w:val="center"/>
              <w:ind w:left="1090"/>
              <w:spacing w:after="0"/>
              <w:rPr>
                <w:sz w:val="20"/>
                <w:szCs w:val="20"/>
                <w:color w:val="auto"/>
              </w:rPr>
            </w:pPr>
            <w:r>
              <w:rPr>
                <w:rFonts w:ascii="Arial" w:cs="Arial" w:eastAsia="Arial" w:hAnsi="Arial"/>
                <w:sz w:val="18"/>
                <w:szCs w:val="18"/>
                <w:b w:val="1"/>
                <w:bCs w:val="1"/>
                <w:color w:val="auto"/>
                <w:w w:val="89"/>
              </w:rPr>
              <w:t>Additional Shares Registered</w:t>
            </w:r>
          </w:p>
        </w:tc>
        <w:tc>
          <w:tcPr>
            <w:tcW w:w="11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Filing Date</w:t>
            </w:r>
          </w:p>
        </w:tc>
        <w:tc>
          <w:tcPr>
            <w:tcW w:w="1920" w:type="dxa"/>
            <w:vAlign w:val="bottom"/>
          </w:tcPr>
          <w:p>
            <w:pPr>
              <w:spacing w:after="0"/>
              <w:rPr>
                <w:sz w:val="20"/>
                <w:szCs w:val="20"/>
                <w:color w:val="auto"/>
              </w:rPr>
            </w:pPr>
            <w:r>
              <w:rPr>
                <w:rFonts w:ascii="Arial" w:cs="Arial" w:eastAsia="Arial" w:hAnsi="Arial"/>
                <w:sz w:val="18"/>
                <w:szCs w:val="18"/>
                <w:b w:val="1"/>
                <w:bCs w:val="1"/>
                <w:color w:val="auto"/>
              </w:rPr>
              <w:t>SEC File Number</w:t>
            </w:r>
          </w:p>
        </w:tc>
        <w:tc>
          <w:tcPr>
            <w:tcW w:w="2820" w:type="dxa"/>
            <w:vAlign w:val="bottom"/>
            <w:gridSpan w:val="3"/>
          </w:tcPr>
          <w:p>
            <w:pPr>
              <w:ind w:left="120"/>
              <w:spacing w:after="0"/>
              <w:rPr>
                <w:sz w:val="20"/>
                <w:szCs w:val="20"/>
                <w:color w:val="auto"/>
              </w:rPr>
            </w:pPr>
            <w:r>
              <w:rPr>
                <w:rFonts w:ascii="Arial" w:cs="Arial" w:eastAsia="Arial" w:hAnsi="Arial"/>
                <w:sz w:val="18"/>
                <w:szCs w:val="18"/>
                <w:b w:val="1"/>
                <w:bCs w:val="1"/>
                <w:color w:val="auto"/>
              </w:rPr>
              <w:t>Description</w:t>
            </w:r>
          </w:p>
        </w:tc>
        <w:tc>
          <w:tcPr>
            <w:tcW w:w="1660" w:type="dxa"/>
            <w:vAlign w:val="bottom"/>
            <w:gridSpan w:val="2"/>
          </w:tcPr>
          <w:p>
            <w:pPr>
              <w:ind w:left="340"/>
              <w:spacing w:after="0"/>
              <w:rPr>
                <w:sz w:val="20"/>
                <w:szCs w:val="20"/>
                <w:color w:val="auto"/>
              </w:rPr>
            </w:pPr>
            <w:r>
              <w:rPr>
                <w:rFonts w:ascii="Arial" w:cs="Arial" w:eastAsia="Arial" w:hAnsi="Arial"/>
                <w:sz w:val="18"/>
                <w:szCs w:val="18"/>
                <w:b w:val="1"/>
                <w:bCs w:val="1"/>
                <w:color w:val="auto"/>
              </w:rPr>
              <w:t>2014 Plan</w:t>
            </w:r>
          </w:p>
        </w:tc>
        <w:tc>
          <w:tcPr>
            <w:tcW w:w="19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1"/>
              </w:rPr>
              <w:t>ESPP</w:t>
            </w: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2016 Plan</w:t>
            </w:r>
          </w:p>
        </w:tc>
        <w:tc>
          <w:tcPr>
            <w:tcW w:w="140" w:type="dxa"/>
            <w:vAlign w:val="bottom"/>
          </w:tcPr>
          <w:p>
            <w:pPr>
              <w:spacing w:after="0"/>
              <w:rPr>
                <w:sz w:val="19"/>
                <w:szCs w:val="19"/>
                <w:color w:val="auto"/>
              </w:rPr>
            </w:pPr>
          </w:p>
        </w:tc>
      </w:tr>
      <w:tr>
        <w:trPr>
          <w:trHeight w:val="223"/>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11, 2015</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333-202663</w:t>
            </w:r>
          </w:p>
        </w:tc>
        <w:tc>
          <w:tcPr>
            <w:tcW w:w="12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 Registration Statement”</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743,569</w:t>
            </w:r>
          </w:p>
        </w:tc>
        <w:tc>
          <w:tcPr>
            <w:tcW w:w="2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185,892</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r>
      <w:tr>
        <w:trPr>
          <w:trHeight w:val="229"/>
        </w:trPr>
        <w:tc>
          <w:tcPr>
            <w:tcW w:w="1620" w:type="dxa"/>
            <w:vAlign w:val="bottom"/>
            <w:gridSpan w:val="2"/>
          </w:tcPr>
          <w:p>
            <w:pPr>
              <w:spacing w:after="0"/>
              <w:rPr>
                <w:sz w:val="20"/>
                <w:szCs w:val="20"/>
                <w:color w:val="auto"/>
              </w:rPr>
            </w:pPr>
            <w:r>
              <w:rPr>
                <w:rFonts w:ascii="Arial" w:cs="Arial" w:eastAsia="Arial" w:hAnsi="Arial"/>
                <w:sz w:val="18"/>
                <w:szCs w:val="18"/>
                <w:color w:val="auto"/>
              </w:rPr>
              <w:t>March 10, 2016</w:t>
            </w:r>
          </w:p>
        </w:tc>
        <w:tc>
          <w:tcPr>
            <w:tcW w:w="1920" w:type="dxa"/>
            <w:vAlign w:val="bottom"/>
          </w:tcPr>
          <w:p>
            <w:pPr>
              <w:spacing w:after="0"/>
              <w:rPr>
                <w:sz w:val="20"/>
                <w:szCs w:val="20"/>
                <w:color w:val="auto"/>
              </w:rPr>
            </w:pPr>
            <w:r>
              <w:rPr>
                <w:rFonts w:ascii="Arial" w:cs="Arial" w:eastAsia="Arial" w:hAnsi="Arial"/>
                <w:sz w:val="18"/>
                <w:szCs w:val="18"/>
                <w:color w:val="auto"/>
              </w:rPr>
              <w:t>333-210079</w:t>
            </w:r>
          </w:p>
        </w:tc>
        <w:tc>
          <w:tcPr>
            <w:tcW w:w="2820" w:type="dxa"/>
            <w:vAlign w:val="bottom"/>
            <w:gridSpan w:val="3"/>
          </w:tcPr>
          <w:p>
            <w:pPr>
              <w:ind w:left="120"/>
              <w:spacing w:after="0"/>
              <w:rPr>
                <w:sz w:val="20"/>
                <w:szCs w:val="20"/>
                <w:color w:val="auto"/>
              </w:rPr>
            </w:pPr>
            <w:r>
              <w:rPr>
                <w:rFonts w:ascii="Arial" w:cs="Arial" w:eastAsia="Arial" w:hAnsi="Arial"/>
                <w:sz w:val="18"/>
                <w:szCs w:val="18"/>
                <w:color w:val="auto"/>
              </w:rPr>
              <w:t>“2016 Registration Statement”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1,038,595</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21, 2017</w:t>
            </w: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333-216154</w:t>
            </w:r>
          </w:p>
        </w:tc>
        <w:tc>
          <w:tcPr>
            <w:tcW w:w="2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“2017 Registration Statement”</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1,892,376</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1620" w:type="dxa"/>
            <w:vAlign w:val="bottom"/>
            <w:gridSpan w:val="2"/>
          </w:tcPr>
          <w:p>
            <w:pPr>
              <w:spacing w:after="0"/>
              <w:rPr>
                <w:sz w:val="20"/>
                <w:szCs w:val="20"/>
                <w:color w:val="auto"/>
              </w:rPr>
            </w:pPr>
            <w:r>
              <w:rPr>
                <w:rFonts w:ascii="Arial" w:cs="Arial" w:eastAsia="Arial" w:hAnsi="Arial"/>
                <w:sz w:val="18"/>
                <w:szCs w:val="18"/>
                <w:color w:val="auto"/>
              </w:rPr>
              <w:t>March 16, 2018</w:t>
            </w:r>
          </w:p>
        </w:tc>
        <w:tc>
          <w:tcPr>
            <w:tcW w:w="1920" w:type="dxa"/>
            <w:vAlign w:val="bottom"/>
          </w:tcPr>
          <w:p>
            <w:pPr>
              <w:spacing w:after="0"/>
              <w:rPr>
                <w:sz w:val="20"/>
                <w:szCs w:val="20"/>
                <w:color w:val="auto"/>
              </w:rPr>
            </w:pPr>
            <w:r>
              <w:rPr>
                <w:rFonts w:ascii="Arial" w:cs="Arial" w:eastAsia="Arial" w:hAnsi="Arial"/>
                <w:sz w:val="18"/>
                <w:szCs w:val="18"/>
                <w:color w:val="auto"/>
              </w:rPr>
              <w:t>333-223694</w:t>
            </w:r>
          </w:p>
        </w:tc>
        <w:tc>
          <w:tcPr>
            <w:tcW w:w="2820" w:type="dxa"/>
            <w:vAlign w:val="bottom"/>
            <w:gridSpan w:val="3"/>
          </w:tcPr>
          <w:p>
            <w:pPr>
              <w:ind w:left="120"/>
              <w:spacing w:after="0"/>
              <w:rPr>
                <w:sz w:val="20"/>
                <w:szCs w:val="20"/>
                <w:color w:val="auto"/>
              </w:rPr>
            </w:pPr>
            <w:r>
              <w:rPr>
                <w:rFonts w:ascii="Arial" w:cs="Arial" w:eastAsia="Arial" w:hAnsi="Arial"/>
                <w:sz w:val="18"/>
                <w:szCs w:val="18"/>
                <w:color w:val="auto"/>
              </w:rPr>
              <w:t>“2018 Registration Statement”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1,901,339</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8, 2019</w:t>
            </w: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333-230156</w:t>
            </w:r>
          </w:p>
        </w:tc>
        <w:tc>
          <w:tcPr>
            <w:tcW w:w="2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“2019 Registration Statement”</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2,490,417</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622,604</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rPr>
              <w:t>March 10, 2020</w:t>
            </w:r>
          </w:p>
        </w:tc>
        <w:tc>
          <w:tcPr>
            <w:tcW w:w="1920" w:type="dxa"/>
            <w:vAlign w:val="bottom"/>
          </w:tcPr>
          <w:p>
            <w:pPr>
              <w:spacing w:after="0"/>
              <w:rPr>
                <w:sz w:val="20"/>
                <w:szCs w:val="20"/>
                <w:color w:val="auto"/>
              </w:rPr>
            </w:pPr>
            <w:r>
              <w:rPr>
                <w:rFonts w:ascii="Arial" w:cs="Arial" w:eastAsia="Arial" w:hAnsi="Arial"/>
                <w:sz w:val="18"/>
                <w:szCs w:val="18"/>
                <w:color w:val="auto"/>
              </w:rPr>
              <w:t>333-237057</w:t>
            </w:r>
          </w:p>
        </w:tc>
        <w:tc>
          <w:tcPr>
            <w:tcW w:w="2820" w:type="dxa"/>
            <w:vAlign w:val="bottom"/>
            <w:gridSpan w:val="3"/>
          </w:tcPr>
          <w:p>
            <w:pPr>
              <w:ind w:left="120"/>
              <w:spacing w:after="0"/>
              <w:rPr>
                <w:sz w:val="20"/>
                <w:szCs w:val="20"/>
                <w:color w:val="auto"/>
              </w:rPr>
            </w:pPr>
            <w:r>
              <w:rPr>
                <w:rFonts w:ascii="Arial" w:cs="Arial" w:eastAsia="Arial" w:hAnsi="Arial"/>
                <w:sz w:val="18"/>
                <w:szCs w:val="18"/>
                <w:color w:val="auto"/>
              </w:rPr>
              <w:t>"2020 Registration Statement"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3,552,709</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2021</w:t>
            </w: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333-254187</w:t>
            </w:r>
          </w:p>
        </w:tc>
        <w:tc>
          <w:tcPr>
            <w:tcW w:w="2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"2021 Registration Statement"</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3,743,999</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935,999</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457,767</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Registrant is hereby registering an additional 5,207,301 shares of Common Stock issuable under the 2014 Plan, which shares are now available for grant due to automatic annual increase provision in the plan. The Registrant is also hereby registering an additional 2,000,000 shares of Common Stock issuable under the 2016 Plan, which shares are now available for grant following the action of the Board of Directors on January 6, 2022.</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Instruction E of Form S-8, the contents of the Original Registration Statement, the 2015 Registration Statement, the 2016 Registration Statement, the 2017 Registration Statement, the 2018 Registration Statement the 2019 Registration Statement, the 2020 Registration Statement and the 2021 Registration Statement are incorporated by reference in this registration statement on Form S-8.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in Part I of Form S-8 is not being filed with or included in this Form S-8 (by incorporation by reference or otherwise) in accordance with the rules and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9"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In this registration statement, Ardelyx, Inc. is sometimes referred to as “Registrant,” “we,” “us” or “our.”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Incorporation of Documents by Reference</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to those documents. The information incorporated by reference is considered to be part of this registration statement, and later information filed with the SEC will update and supersede this information. We hereby incorporate by reference into this registration statement the following documents previously filed with the SEC:</w:t>
      </w:r>
    </w:p>
    <w:p>
      <w:pPr>
        <w:spacing w:after="0" w:line="187" w:lineRule="exact"/>
        <w:rPr>
          <w:sz w:val="20"/>
          <w:szCs w:val="20"/>
          <w:color w:val="auto"/>
        </w:rPr>
      </w:pPr>
    </w:p>
    <w:p>
      <w:pPr>
        <w:ind w:left="620" w:right="60" w:hanging="564"/>
        <w:spacing w:after="0" w:line="277" w:lineRule="auto"/>
        <w:tabs>
          <w:tab w:leader="none" w:pos="620" w:val="left"/>
        </w:tabs>
        <w:numPr>
          <w:ilvl w:val="0"/>
          <w:numId w:val="1"/>
        </w:numPr>
        <w:rPr>
          <w:rFonts w:ascii="Arial" w:cs="Arial" w:eastAsia="Arial" w:hAnsi="Arial"/>
          <w:sz w:val="18"/>
          <w:szCs w:val="18"/>
          <w:u w:val="single" w:color="auto"/>
          <w:color w:val="0000EE"/>
        </w:rPr>
      </w:pPr>
      <w:hyperlink r:id="rId15">
        <w:r>
          <w:rPr>
            <w:rFonts w:ascii="Arial" w:cs="Arial" w:eastAsia="Arial" w:hAnsi="Arial"/>
            <w:sz w:val="18"/>
            <w:szCs w:val="18"/>
            <w:u w:val="single" w:color="auto"/>
            <w:color w:val="0000EE"/>
          </w:rPr>
          <w:t>The Registrant’s Annual Report on Form 10-K for the fiscal year ended December 31, 2021, as filed with the SEC on February 28, 2022 (File</w:t>
        </w:r>
      </w:hyperlink>
      <w:r>
        <w:rPr>
          <w:rFonts w:ascii="Arial" w:cs="Arial" w:eastAsia="Arial" w:hAnsi="Arial"/>
          <w:sz w:val="18"/>
          <w:szCs w:val="18"/>
          <w:u w:val="single" w:color="auto"/>
          <w:color w:val="0000EE"/>
        </w:rPr>
        <w:t xml:space="preserve"> </w:t>
      </w:r>
      <w:hyperlink r:id="rId15">
        <w:r>
          <w:rPr>
            <w:rFonts w:ascii="Arial" w:cs="Arial" w:eastAsia="Arial" w:hAnsi="Arial"/>
            <w:sz w:val="18"/>
            <w:szCs w:val="18"/>
            <w:u w:val="single" w:color="auto"/>
            <w:color w:val="0000EE"/>
          </w:rPr>
          <w:t xml:space="preserve">No. </w:t>
        </w:r>
        <w:r>
          <w:rPr>
            <w:rFonts w:ascii="Arial" w:cs="Arial" w:eastAsia="Arial" w:hAnsi="Arial"/>
            <w:sz w:val="18"/>
            <w:szCs w:val="18"/>
            <w:u w:val="single" w:color="auto"/>
            <w:color w:val="0000EE"/>
            <w:highlight w:val="white"/>
          </w:rPr>
          <w:t>001-36485);</w:t>
        </w:r>
        <w:r>
          <w:rPr>
            <w:rFonts w:ascii="Arial" w:cs="Arial" w:eastAsia="Arial" w:hAnsi="Arial"/>
            <w:sz w:val="18"/>
            <w:szCs w:val="18"/>
            <w:u w:val="single" w:color="auto"/>
            <w:color w:val="0000EE"/>
          </w:rPr>
          <w:t xml:space="preserve"> and</w:t>
        </w:r>
      </w:hyperlink>
    </w:p>
    <w:p>
      <w:pPr>
        <w:spacing w:after="0" w:line="170" w:lineRule="exact"/>
        <w:rPr>
          <w:rFonts w:ascii="Arial" w:cs="Arial" w:eastAsia="Arial" w:hAnsi="Arial"/>
          <w:sz w:val="18"/>
          <w:szCs w:val="18"/>
          <w:u w:val="single" w:color="auto"/>
          <w:color w:val="0000EE"/>
        </w:rPr>
      </w:pPr>
    </w:p>
    <w:p>
      <w:pPr>
        <w:jc w:val="both"/>
        <w:ind w:left="620" w:right="60" w:hanging="564"/>
        <w:spacing w:after="0" w:line="263" w:lineRule="auto"/>
        <w:tabs>
          <w:tab w:leader="none" w:pos="620" w:val="left"/>
        </w:tabs>
        <w:numPr>
          <w:ilvl w:val="0"/>
          <w:numId w:val="1"/>
        </w:numPr>
        <w:rPr>
          <w:rFonts w:ascii="Arial" w:cs="Arial" w:eastAsia="Arial" w:hAnsi="Arial"/>
          <w:sz w:val="18"/>
          <w:szCs w:val="18"/>
          <w:color w:val="0000EE"/>
        </w:rPr>
      </w:pPr>
      <w:hyperlink r:id="rId16">
        <w:r>
          <w:rPr>
            <w:rFonts w:ascii="Arial" w:cs="Arial" w:eastAsia="Arial" w:hAnsi="Arial"/>
            <w:sz w:val="18"/>
            <w:szCs w:val="18"/>
            <w:u w:val="single" w:color="auto"/>
            <w:color w:val="0000EE"/>
          </w:rPr>
          <w:t>The description of the Registrant’s Common Stock contained in the Registrant’s registration statement on Form 8-A (File No. 001-36485), filed by</w:t>
        </w:r>
      </w:hyperlink>
      <w:r>
        <w:rPr>
          <w:rFonts w:ascii="Arial" w:cs="Arial" w:eastAsia="Arial" w:hAnsi="Arial"/>
          <w:sz w:val="18"/>
          <w:szCs w:val="18"/>
          <w:u w:val="single" w:color="auto"/>
          <w:color w:val="0000EE"/>
        </w:rPr>
        <w:t xml:space="preserve"> </w:t>
      </w:r>
      <w:hyperlink r:id="rId16">
        <w:r>
          <w:rPr>
            <w:rFonts w:ascii="Arial" w:cs="Arial" w:eastAsia="Arial" w:hAnsi="Arial"/>
            <w:sz w:val="18"/>
            <w:szCs w:val="18"/>
            <w:u w:val="single" w:color="auto"/>
            <w:color w:val="0000EE"/>
          </w:rPr>
          <w:t>the Registrant with the SEC under Section 12(b) of the Securities Exchange Act of 1934, as amended (the “Exchange Act”), on June 9, 2014</w:t>
        </w:r>
        <w:r>
          <w:rPr>
            <w:rFonts w:ascii="Arial" w:cs="Arial" w:eastAsia="Arial" w:hAnsi="Arial"/>
            <w:sz w:val="18"/>
            <w:szCs w:val="18"/>
            <w:color w:val="000000"/>
          </w:rPr>
          <w:t>,</w:t>
        </w:r>
      </w:hyperlink>
      <w:r>
        <w:rPr>
          <w:rFonts w:ascii="Arial" w:cs="Arial" w:eastAsia="Arial" w:hAnsi="Arial"/>
          <w:sz w:val="18"/>
          <w:szCs w:val="18"/>
          <w:color w:val="0000EE"/>
        </w:rPr>
        <w:t xml:space="preserve"> </w:t>
      </w:r>
      <w:r>
        <w:rPr>
          <w:rFonts w:ascii="Arial" w:cs="Arial" w:eastAsia="Arial" w:hAnsi="Arial"/>
          <w:sz w:val="18"/>
          <w:szCs w:val="18"/>
          <w:color w:val="000000"/>
        </w:rPr>
        <w:t>including any amendments or reports filed for the purpose of updating such description</w:t>
      </w:r>
    </w:p>
    <w:p>
      <w:pPr>
        <w:spacing w:after="0" w:line="184" w:lineRule="exact"/>
        <w:rPr>
          <w:rFonts w:ascii="Arial" w:cs="Arial" w:eastAsia="Arial" w:hAnsi="Arial"/>
          <w:sz w:val="18"/>
          <w:szCs w:val="18"/>
          <w:color w:val="auto"/>
        </w:rPr>
      </w:pPr>
    </w:p>
    <w:p>
      <w:pPr>
        <w:jc w:val="both"/>
        <w:spacing w:after="0" w:line="289" w:lineRule="auto"/>
        <w:rPr>
          <w:sz w:val="20"/>
          <w:szCs w:val="20"/>
          <w:color w:val="auto"/>
        </w:rPr>
      </w:pPr>
      <w:r>
        <w:rPr>
          <w:rFonts w:ascii="Arial" w:cs="Arial" w:eastAsia="Arial" w:hAnsi="Arial"/>
          <w:sz w:val="16"/>
          <w:szCs w:val="16"/>
          <w:color w:val="auto"/>
        </w:rPr>
        <w:t>All documents that the Registrant subsequently files pursuant to Sections 13(a), 13(c), 14 and 15(d) of the Exchange Act prior to the filing of a post-effective amendment to the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 except as to any portion of any future annual or quarterly report to stockholders, or document or current report furnished under any current or future items of Form 8-K (including current Items 2.02 and 7.01, and exhibits furnished on such form that relate to such items), in each case, that is not deemed filed under such provisions.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66" w:lineRule="exact"/>
        <w:rPr>
          <w:rFonts w:ascii="Arial" w:cs="Arial" w:eastAsia="Arial" w:hAnsi="Arial"/>
          <w:sz w:val="18"/>
          <w:szCs w:val="18"/>
          <w:color w:val="auto"/>
        </w:rPr>
      </w:pPr>
    </w:p>
    <w:p>
      <w:pPr>
        <w:jc w:val="both"/>
        <w:ind w:right="20"/>
        <w:spacing w:after="0" w:line="277" w:lineRule="auto"/>
        <w:rPr>
          <w:sz w:val="20"/>
          <w:szCs w:val="20"/>
          <w:color w:val="auto"/>
        </w:rPr>
      </w:pPr>
      <w:r>
        <w:rPr>
          <w:rFonts w:ascii="Arial" w:cs="Arial" w:eastAsia="Arial" w:hAnsi="Arial"/>
          <w:sz w:val="18"/>
          <w:szCs w:val="18"/>
          <w:color w:val="auto"/>
        </w:rPr>
        <w:t>Under no circumstances will any information filed under current Items 2.02 or 7.01 of Form 8-K, and exhibits furnished on such form that relate to such items, be deemed incorporated herein by reference unless such Form 8-K expressly provides to the contrary.</w:t>
      </w:r>
    </w:p>
    <w:p>
      <w:pPr>
        <w:spacing w:after="0" w:line="16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Description of Securities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Interests of Named Experts and Counsel</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Indemnification of Directors and Officers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spacing w:after="0" w:line="257" w:lineRule="auto"/>
        <w:rPr>
          <w:sz w:val="20"/>
          <w:szCs w:val="20"/>
          <w:color w:val="auto"/>
        </w:rPr>
      </w:pPr>
      <w:r>
        <w:rPr>
          <w:rFonts w:ascii="Arial" w:cs="Arial" w:eastAsia="Arial" w:hAnsi="Arial"/>
          <w:sz w:val="18"/>
          <w:szCs w:val="18"/>
          <w:color w:val="auto"/>
        </w:rPr>
        <w:t>As permitted by Section 102 of the Delaware General Corporation Law, we have adopted provisions in our amended and restated certificate of incorporation and bylaws that limit or eliminate the personal liability of our directors for a breach of their fiduciary duties of care as directors.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permitted by Section 145 of the Delaware General Corporation Law, our amended and restated bylaws provide that:</w:t>
      </w:r>
    </w:p>
    <w:p>
      <w:pPr>
        <w:spacing w:after="0" w:line="225"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Delaware General Corporation Law, subject to limited exceptions;</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amended and restated certificate of incorporation and our amended and restated bylaws provide for the indemnification provisions described above and elsewhere herein. We have also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Exemption from Registration Claimed</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120" w:type="dxa"/>
            <w:vAlign w:val="bottom"/>
            <w:gridSpan w:val="26"/>
          </w:tcPr>
          <w:p>
            <w:pPr>
              <w:spacing w:after="0"/>
              <w:rPr>
                <w:sz w:val="20"/>
                <w:szCs w:val="20"/>
                <w:color w:val="auto"/>
              </w:rPr>
            </w:pPr>
            <w:r>
              <w:rPr>
                <w:rFonts w:ascii="Arial" w:cs="Arial" w:eastAsia="Arial" w:hAnsi="Arial"/>
                <w:sz w:val="18"/>
                <w:szCs w:val="18"/>
                <w:b w:val="1"/>
                <w:bCs w:val="1"/>
                <w:color w:val="auto"/>
              </w:rPr>
              <w:t>Item 8. Exhibits.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0"/>
              </w:rPr>
              <w:t>Incorporated by Reference</w:t>
            </w: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40" w:type="dxa"/>
            <w:vAlign w:val="bottom"/>
          </w:tcPr>
          <w:p>
            <w:pPr>
              <w:spacing w:after="0"/>
              <w:rPr>
                <w:sz w:val="24"/>
                <w:szCs w:val="24"/>
                <w:color w:val="auto"/>
              </w:rPr>
            </w:pPr>
          </w:p>
        </w:tc>
        <w:tc>
          <w:tcPr>
            <w:tcW w:w="1000" w:type="dxa"/>
            <w:vAlign w:val="bottom"/>
            <w:gridSpan w:val="6"/>
            <w:vMerge w:val="restart"/>
          </w:tcPr>
          <w:p>
            <w:pPr>
              <w:jc w:val="center"/>
              <w:ind w:right="280"/>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100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Exhibit</w:t>
            </w:r>
          </w:p>
        </w:tc>
        <w:tc>
          <w:tcPr>
            <w:tcW w:w="1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00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00" w:type="dxa"/>
            <w:vAlign w:val="bottom"/>
            <w:gridSpan w:val="16"/>
          </w:tcPr>
          <w:p>
            <w:pPr>
              <w:ind w:left="360"/>
              <w:spacing w:after="0"/>
              <w:rPr>
                <w:sz w:val="20"/>
                <w:szCs w:val="20"/>
                <w:color w:val="auto"/>
              </w:rPr>
            </w:pPr>
            <w:r>
              <w:rPr>
                <w:rFonts w:ascii="Arial" w:cs="Arial" w:eastAsia="Arial" w:hAnsi="Arial"/>
                <w:sz w:val="18"/>
                <w:szCs w:val="18"/>
                <w:b w:val="1"/>
                <w:bCs w:val="1"/>
                <w:color w:val="auto"/>
              </w:rPr>
              <w:t>Exhibit Description</w:t>
            </w: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Form</w:t>
            </w:r>
          </w:p>
        </w:tc>
        <w:tc>
          <w:tcPr>
            <w:tcW w:w="2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360" w:type="dxa"/>
            <w:vAlign w:val="bottom"/>
            <w:tcBorders>
              <w:top w:val="single" w:sz="8" w:color="auto"/>
            </w:tcBorders>
            <w:gridSpan w:val="2"/>
          </w:tcPr>
          <w:p>
            <w:pPr>
              <w:ind w:left="140"/>
              <w:spacing w:after="0" w:line="169" w:lineRule="exact"/>
              <w:rPr>
                <w:sz w:val="20"/>
                <w:szCs w:val="20"/>
                <w:color w:val="auto"/>
              </w:rPr>
            </w:pPr>
            <w:r>
              <w:rPr>
                <w:rFonts w:ascii="Arial" w:cs="Arial" w:eastAsia="Arial" w:hAnsi="Arial"/>
                <w:sz w:val="18"/>
                <w:szCs w:val="18"/>
                <w:color w:val="auto"/>
                <w:w w:val="79"/>
              </w:rPr>
              <w:t>4.1</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60" w:type="dxa"/>
            <w:vAlign w:val="bottom"/>
            <w:tcBorders>
              <w:top w:val="single" w:sz="8" w:color="auto"/>
            </w:tcBorders>
            <w:gridSpan w:val="17"/>
          </w:tcPr>
          <w:p>
            <w:pPr>
              <w:spacing w:after="0" w:line="169" w:lineRule="exact"/>
              <w:rPr>
                <w:rFonts w:ascii="Arial" w:cs="Arial" w:eastAsia="Arial" w:hAnsi="Arial"/>
                <w:sz w:val="18"/>
                <w:szCs w:val="18"/>
                <w:color w:val="0000EE"/>
              </w:rPr>
            </w:pPr>
            <w:hyperlink r:id="rId19">
              <w:r>
                <w:rPr>
                  <w:rFonts w:ascii="Arial" w:cs="Arial" w:eastAsia="Arial" w:hAnsi="Arial"/>
                  <w:sz w:val="18"/>
                  <w:szCs w:val="18"/>
                  <w:color w:val="0000EE"/>
                </w:rPr>
                <w:t>Amended and Restated Certificate of Incorporation.</w:t>
              </w:r>
            </w:hyperlink>
          </w:p>
        </w:tc>
        <w:tc>
          <w:tcPr>
            <w:tcW w:w="220" w:type="dxa"/>
            <w:vAlign w:val="bottom"/>
          </w:tcPr>
          <w:p>
            <w:pPr>
              <w:spacing w:after="0"/>
              <w:rPr>
                <w:sz w:val="14"/>
                <w:szCs w:val="14"/>
                <w:color w:val="auto"/>
              </w:rPr>
            </w:pPr>
          </w:p>
        </w:tc>
        <w:tc>
          <w:tcPr>
            <w:tcW w:w="7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60" w:type="dxa"/>
            <w:vAlign w:val="bottom"/>
          </w:tcPr>
          <w:p>
            <w:pPr>
              <w:spacing w:after="0"/>
              <w:rPr>
                <w:sz w:val="14"/>
                <w:szCs w:val="14"/>
                <w:color w:val="auto"/>
              </w:rPr>
            </w:pPr>
          </w:p>
        </w:tc>
        <w:tc>
          <w:tcPr>
            <w:tcW w:w="20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June 24, 2014</w:t>
            </w:r>
          </w:p>
        </w:tc>
        <w:tc>
          <w:tcPr>
            <w:tcW w:w="140" w:type="dxa"/>
            <w:vAlign w:val="bottom"/>
          </w:tcPr>
          <w:p>
            <w:pPr>
              <w:spacing w:after="0"/>
              <w:rPr>
                <w:sz w:val="14"/>
                <w:szCs w:val="14"/>
                <w:color w:val="auto"/>
              </w:rPr>
            </w:pPr>
          </w:p>
        </w:tc>
        <w:tc>
          <w:tcPr>
            <w:tcW w:w="10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79"/>
              </w:rPr>
              <w:t>4.2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Amended and Restated Bylaws.</w:t>
              </w:r>
            </w:hyperlink>
          </w:p>
        </w:tc>
        <w:tc>
          <w:tcPr>
            <w:tcW w:w="1200" w:type="dxa"/>
            <w:vAlign w:val="bottom"/>
            <w:gridSpan w:val="10"/>
          </w:tcPr>
          <w:p>
            <w:pPr>
              <w:spacing w:after="0"/>
              <w:rPr>
                <w:sz w:val="17"/>
                <w:szCs w:val="17"/>
                <w:color w:val="auto"/>
              </w:rPr>
            </w:pPr>
          </w:p>
        </w:tc>
        <w:tc>
          <w:tcPr>
            <w:tcW w:w="94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214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87"/>
              </w:rPr>
              <w:t>June 24, 2014</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5"/>
              </w:rPr>
              <w:t>3.2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79"/>
              </w:rPr>
              <w:t>4.3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Form of Common Stock Certificate.</w:t>
              </w:r>
            </w:hyperlink>
          </w:p>
        </w:tc>
        <w:tc>
          <w:tcPr>
            <w:tcW w:w="2320" w:type="dxa"/>
            <w:vAlign w:val="bottom"/>
            <w:gridSpan w:val="12"/>
          </w:tcPr>
          <w:p>
            <w:pPr>
              <w:spacing w:after="0"/>
              <w:rPr>
                <w:sz w:val="17"/>
                <w:szCs w:val="17"/>
                <w:color w:val="auto"/>
              </w:rPr>
            </w:pPr>
          </w:p>
        </w:tc>
        <w:tc>
          <w:tcPr>
            <w:tcW w:w="94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7"/>
              </w:rPr>
              <w:t>S-1/A</w:t>
            </w:r>
          </w:p>
        </w:tc>
        <w:tc>
          <w:tcPr>
            <w:tcW w:w="214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87"/>
              </w:rPr>
              <w:t>June 18, 2014</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5"/>
              </w:rPr>
              <w:t>4.2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5.</w:t>
              </w:r>
              <w:r>
                <w:rPr>
                  <w:rFonts w:ascii="Arial" w:cs="Arial" w:eastAsia="Arial" w:hAnsi="Arial"/>
                  <w:sz w:val="18"/>
                  <w:szCs w:val="18"/>
                  <w:u w:val="single" w:color="auto"/>
                  <w:color w:val="0000EE"/>
                  <w:w w:val="79"/>
                </w:rPr>
                <w:t>1</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80" w:type="dxa"/>
            <w:vAlign w:val="bottom"/>
            <w:gridSpan w:val="1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Opinion of Latham &amp; Watkins LLP.</w:t>
              </w:r>
            </w:hyperlink>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tcPr>
          <w:p>
            <w:pPr>
              <w:jc w:val="center"/>
              <w:ind w:right="38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X</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gridSpan w:val="3"/>
          </w:tcPr>
          <w:p>
            <w:pPr>
              <w:ind w:left="140"/>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Consent of Independent Registered Public Accounting Firm.</w:t>
              </w:r>
            </w:hyperlink>
          </w:p>
        </w:tc>
        <w:tc>
          <w:tcPr>
            <w:tcW w:w="56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Borders>
              <w:bottom w:val="single" w:sz="8" w:color="0000EE"/>
            </w:tcBorders>
            <w:gridSpan w:val="2"/>
          </w:tcPr>
          <w:p>
            <w:pPr>
              <w:jc w:val="center"/>
              <w:ind w:right="380"/>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X</w:t>
              </w:r>
            </w:hyperlink>
          </w:p>
        </w:tc>
        <w:tc>
          <w:tcPr>
            <w:tcW w:w="0" w:type="dxa"/>
            <w:vAlign w:val="bottom"/>
          </w:tcPr>
          <w:p>
            <w:pPr>
              <w:spacing w:after="0"/>
              <w:rPr>
                <w:sz w:val="1"/>
                <w:szCs w:val="1"/>
                <w:color w:val="auto"/>
              </w:rPr>
            </w:pPr>
          </w:p>
        </w:tc>
      </w:tr>
      <w:tr>
        <w:trPr>
          <w:trHeight w:val="196"/>
        </w:trPr>
        <w:tc>
          <w:tcPr>
            <w:tcW w:w="460" w:type="dxa"/>
            <w:vAlign w:val="bottom"/>
            <w:gridSpan w:val="3"/>
          </w:tcPr>
          <w:p>
            <w:pPr>
              <w:ind w:left="140"/>
              <w:spacing w:after="0" w:line="19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80" w:type="dxa"/>
            <w:vAlign w:val="bottom"/>
            <w:gridSpan w:val="1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Consent of Latham &amp; Watkins LLP (included in Exhibit 5.1).</w:t>
              </w:r>
            </w:hyperlink>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tcPr>
          <w:p>
            <w:pPr>
              <w:jc w:val="center"/>
              <w:ind w:right="38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X</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gridSpan w:val="3"/>
          </w:tcPr>
          <w:p>
            <w:pPr>
              <w:ind w:left="140"/>
              <w:spacing w:after="0" w:line="196" w:lineRule="exact"/>
              <w:rPr>
                <w:sz w:val="20"/>
                <w:szCs w:val="20"/>
                <w:color w:val="auto"/>
              </w:rPr>
            </w:pPr>
            <w:r>
              <w:rPr>
                <w:rFonts w:ascii="Arial" w:cs="Arial" w:eastAsia="Arial" w:hAnsi="Arial"/>
                <w:sz w:val="18"/>
                <w:szCs w:val="18"/>
                <w:color w:val="auto"/>
                <w:w w:val="85"/>
              </w:rPr>
              <w:t>24.1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8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Power of Attorney (included on signature page hereto)</w:t>
              </w:r>
            </w:hyperlink>
            <w:r>
              <w:rPr>
                <w:rFonts w:ascii="Arial" w:cs="Arial" w:eastAsia="Arial" w:hAnsi="Arial"/>
                <w:sz w:val="18"/>
                <w:szCs w:val="18"/>
                <w:color w:val="000000"/>
              </w:rPr>
              <w:t>.</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tcPr>
          <w:p>
            <w:pPr>
              <w:jc w:val="center"/>
              <w:ind w:right="380"/>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0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99.1(#)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Ardelyx, Inc. 2014 Equity Incentive Award Plan</w:t>
              </w:r>
            </w:hyperlink>
          </w:p>
        </w:tc>
        <w:tc>
          <w:tcPr>
            <w:tcW w:w="440" w:type="dxa"/>
            <w:vAlign w:val="bottom"/>
            <w:tcBorders>
              <w:top w:val="single" w:sz="8" w:color="0000EE"/>
            </w:tcBorders>
            <w:gridSpan w:val="3"/>
          </w:tcPr>
          <w:p>
            <w:pPr>
              <w:spacing w:after="0"/>
              <w:rPr>
                <w:sz w:val="17"/>
                <w:szCs w:val="17"/>
                <w:color w:val="auto"/>
              </w:rPr>
            </w:pPr>
          </w:p>
        </w:tc>
        <w:tc>
          <w:tcPr>
            <w:tcW w:w="1000" w:type="dxa"/>
            <w:vAlign w:val="bottom"/>
            <w:gridSpan w:val="8"/>
          </w:tcPr>
          <w:p>
            <w:pPr>
              <w:spacing w:after="0"/>
              <w:rPr>
                <w:sz w:val="17"/>
                <w:szCs w:val="17"/>
                <w:color w:val="auto"/>
              </w:rPr>
            </w:pPr>
          </w:p>
        </w:tc>
        <w:tc>
          <w:tcPr>
            <w:tcW w:w="94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85"/>
              </w:rPr>
              <w:t>S-8</w:t>
            </w:r>
          </w:p>
        </w:tc>
        <w:tc>
          <w:tcPr>
            <w:tcW w:w="214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1"/>
              </w:rPr>
              <w:t>July 14, 2014</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1"/>
              </w:rPr>
              <w:t>99.3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99.2(#)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80" w:type="dxa"/>
            <w:vAlign w:val="bottom"/>
            <w:gridSpan w:val="18"/>
          </w:tcPr>
          <w:p>
            <w:pPr>
              <w:spacing w:after="0" w:line="196" w:lineRule="exact"/>
              <w:rPr>
                <w:rFonts w:ascii="Arial" w:cs="Arial" w:eastAsia="Arial" w:hAnsi="Arial"/>
                <w:sz w:val="18"/>
                <w:szCs w:val="18"/>
                <w:color w:val="0000EE"/>
                <w:w w:val="96"/>
              </w:rPr>
            </w:pPr>
            <w:hyperlink r:id="rId23">
              <w:r>
                <w:rPr>
                  <w:rFonts w:ascii="Arial" w:cs="Arial" w:eastAsia="Arial" w:hAnsi="Arial"/>
                  <w:sz w:val="18"/>
                  <w:szCs w:val="18"/>
                  <w:color w:val="0000EE"/>
                  <w:w w:val="96"/>
                </w:rPr>
                <w:t>Ardelyx, Inc. 2016 Employment Commencement Incentive Plan</w:t>
              </w:r>
            </w:hyperlink>
          </w:p>
        </w:tc>
        <w:tc>
          <w:tcPr>
            <w:tcW w:w="94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85"/>
              </w:rPr>
              <w:t>S-8</w:t>
            </w:r>
          </w:p>
        </w:tc>
        <w:tc>
          <w:tcPr>
            <w:tcW w:w="214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1"/>
              </w:rPr>
              <w:t>November 10, 2016</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99.3(#)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24">
              <w:r>
                <w:rPr>
                  <w:rFonts w:ascii="Arial" w:cs="Arial" w:eastAsia="Arial" w:hAnsi="Arial"/>
                  <w:sz w:val="18"/>
                  <w:szCs w:val="18"/>
                  <w:color w:val="0000EE"/>
                  <w:w w:val="90"/>
                </w:rPr>
                <w:t>Form of Stock Option Grant Notice and Stock Option</w:t>
              </w:r>
            </w:hyperlink>
          </w:p>
        </w:tc>
        <w:tc>
          <w:tcPr>
            <w:tcW w:w="760" w:type="dxa"/>
            <w:vAlign w:val="bottom"/>
            <w:tcBorders>
              <w:top w:val="single" w:sz="8" w:color="0000EE"/>
            </w:tcBorders>
            <w:gridSpan w:val="7"/>
          </w:tcPr>
          <w:p>
            <w:pPr>
              <w:spacing w:after="0"/>
              <w:rPr>
                <w:sz w:val="17"/>
                <w:szCs w:val="17"/>
                <w:color w:val="auto"/>
              </w:rPr>
            </w:pPr>
          </w:p>
        </w:tc>
        <w:tc>
          <w:tcPr>
            <w:tcW w:w="300" w:type="dxa"/>
            <w:vAlign w:val="bottom"/>
            <w:gridSpan w:val="2"/>
          </w:tcPr>
          <w:p>
            <w:pPr>
              <w:spacing w:after="0"/>
              <w:rPr>
                <w:sz w:val="17"/>
                <w:szCs w:val="17"/>
                <w:color w:val="auto"/>
              </w:rPr>
            </w:pPr>
          </w:p>
        </w:tc>
        <w:tc>
          <w:tcPr>
            <w:tcW w:w="94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7"/>
              </w:rPr>
              <w:t>S-1/A</w:t>
            </w:r>
          </w:p>
        </w:tc>
        <w:tc>
          <w:tcPr>
            <w:tcW w:w="214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88"/>
              </w:rPr>
              <w:t>June 9, 2014</w:t>
            </w:r>
          </w:p>
        </w:tc>
        <w:tc>
          <w:tcPr>
            <w:tcW w:w="114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1"/>
              </w:rPr>
              <w:t>10.6(b)</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Agreement under the Ardelyx, Inc. 2014 Equity Incentive</w:t>
              </w:r>
            </w:hyperlink>
          </w:p>
        </w:tc>
        <w:tc>
          <w:tcPr>
            <w:tcW w:w="76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80" w:type="dxa"/>
            <w:vAlign w:val="bottom"/>
            <w:gridSpan w:val="18"/>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Award Plan</w:t>
              </w:r>
            </w:hyperlink>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99.4(#)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80" w:type="dxa"/>
            <w:vAlign w:val="bottom"/>
            <w:gridSpan w:val="18"/>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Form of Restricted Stock Award Agreement and Restricted</w:t>
              </w:r>
            </w:hyperlink>
          </w:p>
        </w:tc>
        <w:tc>
          <w:tcPr>
            <w:tcW w:w="94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7"/>
              </w:rPr>
              <w:t>S-1/A</w:t>
            </w:r>
          </w:p>
        </w:tc>
        <w:tc>
          <w:tcPr>
            <w:tcW w:w="214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88"/>
              </w:rPr>
              <w:t>June 9, 2014</w:t>
            </w:r>
          </w:p>
        </w:tc>
        <w:tc>
          <w:tcPr>
            <w:tcW w:w="114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2"/>
              </w:rPr>
              <w:t>10.6(c)</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18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Stock Unit Award Agreement under the Ardelyx, Inc. 2014</w:t>
              </w:r>
            </w:hyperlink>
          </w:p>
        </w:tc>
        <w:tc>
          <w:tcPr>
            <w:tcW w:w="66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80" w:type="dxa"/>
            <w:vAlign w:val="bottom"/>
            <w:gridSpan w:val="18"/>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Equity Incentive Award Plan</w:t>
              </w:r>
            </w:hyperlink>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gridSpan w:val="4"/>
          </w:tcPr>
          <w:p>
            <w:pPr>
              <w:ind w:left="140"/>
              <w:spacing w:after="0" w:line="196" w:lineRule="exact"/>
              <w:rPr>
                <w:rFonts w:ascii="Arial" w:cs="Arial" w:eastAsia="Arial" w:hAnsi="Arial"/>
                <w:sz w:val="18"/>
                <w:szCs w:val="18"/>
                <w:color w:val="0000EE"/>
                <w:w w:val="84"/>
              </w:rPr>
            </w:pPr>
            <w:hyperlink w:anchor="page12">
              <w:r>
                <w:rPr>
                  <w:rFonts w:ascii="Arial" w:cs="Arial" w:eastAsia="Arial" w:hAnsi="Arial"/>
                  <w:sz w:val="18"/>
                  <w:szCs w:val="18"/>
                  <w:color w:val="0000EE"/>
                  <w:w w:val="84"/>
                </w:rPr>
                <w:t>107.</w:t>
              </w:r>
              <w:r>
                <w:rPr>
                  <w:rFonts w:ascii="Arial" w:cs="Arial" w:eastAsia="Arial" w:hAnsi="Arial"/>
                  <w:sz w:val="18"/>
                  <w:szCs w:val="18"/>
                  <w:u w:val="single" w:color="auto"/>
                  <w:color w:val="0000EE"/>
                  <w:w w:val="84"/>
                </w:rPr>
                <w:t>1</w:t>
              </w:r>
            </w:hyperlink>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Filing Fee Table.</w:t>
              </w:r>
            </w:hyperlink>
          </w:p>
        </w:tc>
        <w:tc>
          <w:tcPr>
            <w:tcW w:w="2860" w:type="dxa"/>
            <w:vAlign w:val="bottom"/>
            <w:gridSpan w:val="15"/>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tcPr>
          <w:p>
            <w:pPr>
              <w:jc w:val="center"/>
              <w:ind w:right="380"/>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X</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#Indicates management contract or compensatory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Undertakings</w:t>
      </w:r>
      <w:r>
        <w:rPr>
          <w:rFonts w:ascii="Arial" w:cs="Arial" w:eastAsia="Arial" w:hAnsi="Arial"/>
          <w:sz w:val="18"/>
          <w:szCs w:val="18"/>
          <w:b w:val="1"/>
          <w:bCs w:val="1"/>
          <w:color w:val="auto"/>
        </w:rPr>
        <w:t>.</w:t>
      </w:r>
    </w:p>
    <w:p>
      <w:pPr>
        <w:spacing w:after="0" w:line="229"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660" w:firstLine="644"/>
        <w:spacing w:after="0" w:line="254" w:lineRule="auto"/>
        <w:tabs>
          <w:tab w:leader="none" w:pos="1581"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94" w:lineRule="exact"/>
        <w:rPr>
          <w:rFonts w:ascii="Arial" w:cs="Arial" w:eastAsia="Arial" w:hAnsi="Arial"/>
          <w:sz w:val="18"/>
          <w:szCs w:val="18"/>
          <w:color w:val="auto"/>
        </w:rPr>
      </w:pPr>
    </w:p>
    <w:p>
      <w:pPr>
        <w:ind w:left="1300" w:firstLine="4"/>
        <w:spacing w:after="0" w:line="277" w:lineRule="auto"/>
        <w:tabs>
          <w:tab w:leader="none" w:pos="1621"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Provided, however, that paragraphs (a)(1)(i) and (a)(1)(ii) do not apply if the registration statement is on Form S-8 and the information required to be included in a post-effective amendment by those paragraphs is contained in periodic reports filed with or furnished to the SEC by the Registrant pursuant to Section 13 or 15(d) of the Exchange Act that are incorporated by reference in the registration statement.</w:t>
      </w:r>
    </w:p>
    <w:p>
      <w:pPr>
        <w:spacing w:after="0" w:line="184" w:lineRule="exact"/>
        <w:rPr>
          <w:sz w:val="20"/>
          <w:szCs w:val="20"/>
          <w:color w:val="auto"/>
        </w:rPr>
      </w:pPr>
    </w:p>
    <w:p>
      <w:pPr>
        <w:jc w:val="both"/>
        <w:ind w:firstLine="656"/>
        <w:spacing w:after="0" w:line="263" w:lineRule="auto"/>
        <w:tabs>
          <w:tab w:leader="none" w:pos="91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firstLine="656"/>
        <w:spacing w:after="0" w:line="277" w:lineRule="auto"/>
        <w:tabs>
          <w:tab w:leader="none" w:pos="93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8"/>
        <w:spacing w:after="0" w:line="301" w:lineRule="auto"/>
        <w:tabs>
          <w:tab w:leader="none" w:pos="26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7" w:lineRule="exact"/>
        <w:rPr>
          <w:sz w:val="20"/>
          <w:szCs w:val="20"/>
          <w:color w:val="auto"/>
        </w:rPr>
      </w:pPr>
    </w:p>
    <w:p>
      <w:pPr>
        <w:jc w:val="both"/>
        <w:ind w:firstLine="8"/>
        <w:spacing w:after="0" w:line="291" w:lineRule="auto"/>
        <w:tabs>
          <w:tab w:leader="none" w:pos="256"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Fremont, California, on February 28, 2022.</w:t>
      </w:r>
    </w:p>
    <w:p>
      <w:pPr>
        <w:spacing w:after="0" w:line="18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ARDELYX, INC.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Raab</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Michael Raab</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Michael Raab and Justin Renz, and each of them, as attorneys-in-fact, each with the power of substitution, for him and in his name, place and stead, in any and all capacities, to sign any and all amendments (including post-effective amendments) to this Registration Statement, and to file the same, with all exhibits thereto and all documents in connection therewith, with the SEC,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such attorneys-in-fact and agents or any of them, or their substitute or substitutes, may lawfully do or cause to be done by virtue hereof.</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600"/>
        <w:spacing w:after="0"/>
        <w:tabs>
          <w:tab w:leader="none" w:pos="5440" w:val="left"/>
          <w:tab w:leader="none" w:pos="896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40"/>
          </w:cols>
          <w:pgMar w:left="1440" w:top="337" w:right="619" w:bottom="1440" w:gutter="0" w:footer="0" w:header="0"/>
        </w:sectPr>
      </w:pPr>
    </w:p>
    <w:p>
      <w:pPr>
        <w:spacing w:after="0" w:line="283"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26403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11"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Michael Raab</w:t>
      </w:r>
    </w:p>
    <w:p>
      <w:pPr>
        <w:spacing w:after="0" w:line="320"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/s/ Justin Renz</w:t>
      </w:r>
    </w:p>
    <w:p>
      <w:pPr>
        <w:spacing w:after="0" w:line="77"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-130175</wp:posOffset>
            </wp:positionV>
            <wp:extent cx="26403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13"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/s/ David 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26403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David Mott</w:t>
      </w:r>
    </w:p>
    <w:p>
      <w:pPr>
        <w:spacing w:after="0" w:line="224"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/s/ Robert Bazemore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26403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Robert Bazemore</w:t>
      </w:r>
    </w:p>
    <w:p>
      <w:pPr>
        <w:spacing w:after="0" w:line="224"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/s/ William Bertrand,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2640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3"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William Bertrand, Jr.</w:t>
      </w:r>
    </w:p>
    <w:p>
      <w:pPr>
        <w:spacing w:after="0" w:line="224"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/s/ Muna Bhanji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26403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Muna Bhanji</w:t>
      </w:r>
    </w:p>
    <w:p>
      <w:pPr>
        <w:spacing w:after="0" w:line="224"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/s/ Geoffrey A.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26403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Geoffrey A. Block</w:t>
      </w:r>
    </w:p>
    <w:p>
      <w:pPr>
        <w:spacing w:after="0" w:line="224" w:lineRule="exact"/>
        <w:rPr>
          <w:sz w:val="20"/>
          <w:szCs w:val="20"/>
          <w:color w:val="auto"/>
        </w:rPr>
      </w:pPr>
    </w:p>
    <w:p>
      <w:pPr>
        <w:jc w:val="center"/>
        <w:ind w:right="1500"/>
        <w:spacing w:after="0"/>
        <w:rPr>
          <w:sz w:val="20"/>
          <w:szCs w:val="20"/>
          <w:color w:val="auto"/>
        </w:rPr>
      </w:pPr>
      <w:r>
        <w:rPr>
          <w:rFonts w:ascii="Arial" w:cs="Arial" w:eastAsia="Arial" w:hAnsi="Arial"/>
          <w:sz w:val="16"/>
          <w:szCs w:val="16"/>
          <w:color w:val="auto"/>
        </w:rPr>
        <w:t>/s/ Onaiza Cadoret-Manier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26403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6"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Onaiza Cadoret-Manier</w:t>
      </w:r>
    </w:p>
    <w:p>
      <w:pPr>
        <w:spacing w:after="0" w:line="224"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/s/ Jan M. Lundberg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26403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Jan M. Lundberg, Ph.D.</w:t>
      </w:r>
    </w:p>
    <w:p>
      <w:pPr>
        <w:spacing w:after="0" w:line="224"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/s/ Richard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26403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3"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Richard Rodgers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jc w:val="center"/>
              <w:ind w:right="610"/>
              <w:spacing w:after="0"/>
              <w:rPr>
                <w:sz w:val="20"/>
                <w:szCs w:val="20"/>
                <w:color w:val="auto"/>
              </w:rPr>
            </w:pPr>
            <w:r>
              <w:rPr>
                <w:rFonts w:ascii="Arial" w:cs="Arial" w:eastAsia="Arial" w:hAnsi="Arial"/>
                <w:sz w:val="18"/>
                <w:szCs w:val="18"/>
                <w:color w:val="auto"/>
                <w:w w:val="92"/>
              </w:rPr>
              <w:t>President, Chief Executive Officer and</w:t>
            </w:r>
          </w:p>
        </w:tc>
        <w:tc>
          <w:tcPr>
            <w:tcW w:w="2040" w:type="dxa"/>
            <w:vAlign w:val="bottom"/>
          </w:tcPr>
          <w:p>
            <w:pPr>
              <w:ind w:left="700"/>
              <w:spacing w:after="0"/>
              <w:rPr>
                <w:sz w:val="20"/>
                <w:szCs w:val="20"/>
                <w:color w:val="auto"/>
              </w:rPr>
            </w:pPr>
            <w:r>
              <w:rPr>
                <w:rFonts w:ascii="Arial" w:cs="Arial" w:eastAsia="Arial" w:hAnsi="Arial"/>
                <w:sz w:val="18"/>
                <w:szCs w:val="18"/>
                <w:color w:val="auto"/>
                <w:w w:val="89"/>
              </w:rPr>
              <w:t>February 28, 2022</w:t>
            </w:r>
          </w:p>
        </w:tc>
      </w:tr>
      <w:tr>
        <w:trPr>
          <w:trHeight w:val="216"/>
        </w:trPr>
        <w:tc>
          <w:tcPr>
            <w:tcW w:w="3660" w:type="dxa"/>
            <w:vAlign w:val="bottom"/>
          </w:tcPr>
          <w:p>
            <w:pPr>
              <w:jc w:val="center"/>
              <w:ind w:right="610"/>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spacing w:after="0"/>
              <w:rPr>
                <w:sz w:val="18"/>
                <w:szCs w:val="18"/>
                <w:color w:val="auto"/>
              </w:rPr>
            </w:pPr>
          </w:p>
        </w:tc>
      </w:tr>
      <w:tr>
        <w:trPr>
          <w:trHeight w:val="230"/>
        </w:trPr>
        <w:tc>
          <w:tcPr>
            <w:tcW w:w="3660" w:type="dxa"/>
            <w:vAlign w:val="bottom"/>
          </w:tcPr>
          <w:p>
            <w:pPr>
              <w:jc w:val="center"/>
              <w:ind w:right="57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c>
          <w:tcPr>
            <w:tcW w:w="2040" w:type="dxa"/>
            <w:vAlign w:val="bottom"/>
          </w:tcPr>
          <w:p>
            <w:pPr>
              <w:spacing w:after="0"/>
              <w:rPr>
                <w:sz w:val="20"/>
                <w:szCs w:val="20"/>
                <w:color w:val="auto"/>
              </w:rPr>
            </w:pPr>
          </w:p>
        </w:tc>
      </w:tr>
      <w:tr>
        <w:trPr>
          <w:trHeight w:val="418"/>
        </w:trPr>
        <w:tc>
          <w:tcPr>
            <w:tcW w:w="3660" w:type="dxa"/>
            <w:vAlign w:val="bottom"/>
          </w:tcPr>
          <w:p>
            <w:pPr>
              <w:ind w:left="660"/>
              <w:spacing w:after="0"/>
              <w:rPr>
                <w:sz w:val="20"/>
                <w:szCs w:val="20"/>
                <w:color w:val="auto"/>
              </w:rPr>
            </w:pPr>
            <w:r>
              <w:rPr>
                <w:rFonts w:ascii="Arial" w:cs="Arial" w:eastAsia="Arial" w:hAnsi="Arial"/>
                <w:sz w:val="18"/>
                <w:szCs w:val="18"/>
                <w:color w:val="auto"/>
              </w:rPr>
              <w:t>Chief Financial Officer</w:t>
            </w:r>
          </w:p>
        </w:tc>
        <w:tc>
          <w:tcPr>
            <w:tcW w:w="2040" w:type="dxa"/>
            <w:vAlign w:val="bottom"/>
          </w:tcPr>
          <w:p>
            <w:pPr>
              <w:ind w:left="700"/>
              <w:spacing w:after="0"/>
              <w:rPr>
                <w:sz w:val="20"/>
                <w:szCs w:val="20"/>
                <w:color w:val="auto"/>
              </w:rPr>
            </w:pPr>
            <w:r>
              <w:rPr>
                <w:rFonts w:ascii="Arial" w:cs="Arial" w:eastAsia="Arial" w:hAnsi="Arial"/>
                <w:sz w:val="18"/>
                <w:szCs w:val="18"/>
                <w:color w:val="auto"/>
                <w:w w:val="89"/>
              </w:rPr>
              <w:t>February 28, 2022</w:t>
            </w:r>
          </w:p>
        </w:tc>
      </w:tr>
      <w:tr>
        <w:trPr>
          <w:trHeight w:val="216"/>
        </w:trPr>
        <w:tc>
          <w:tcPr>
            <w:tcW w:w="3660" w:type="dxa"/>
            <w:vAlign w:val="bottom"/>
          </w:tcPr>
          <w:p>
            <w:pPr>
              <w:jc w:val="center"/>
              <w:ind w:right="63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i w:val="1"/>
                <w:iCs w:val="1"/>
                <w:color w:val="auto"/>
                <w:w w:val="96"/>
              </w:rPr>
              <w:t>principal financial officer and principal</w:t>
            </w:r>
          </w:p>
        </w:tc>
        <w:tc>
          <w:tcPr>
            <w:tcW w:w="2040" w:type="dxa"/>
            <w:vAlign w:val="bottom"/>
          </w:tcPr>
          <w:p>
            <w:pPr>
              <w:spacing w:after="0"/>
              <w:rPr>
                <w:sz w:val="18"/>
                <w:szCs w:val="18"/>
                <w:color w:val="auto"/>
              </w:rPr>
            </w:pPr>
          </w:p>
        </w:tc>
      </w:tr>
      <w:tr>
        <w:trPr>
          <w:trHeight w:val="230"/>
        </w:trPr>
        <w:tc>
          <w:tcPr>
            <w:tcW w:w="3660" w:type="dxa"/>
            <w:vAlign w:val="bottom"/>
          </w:tcPr>
          <w:p>
            <w:pPr>
              <w:jc w:val="center"/>
              <w:ind w:right="570"/>
              <w:spacing w:after="0"/>
              <w:rPr>
                <w:sz w:val="20"/>
                <w:szCs w:val="20"/>
                <w:color w:val="auto"/>
              </w:rPr>
            </w:pPr>
            <w:r>
              <w:rPr>
                <w:rFonts w:ascii="Arial" w:cs="Arial" w:eastAsia="Arial" w:hAnsi="Arial"/>
                <w:sz w:val="18"/>
                <w:szCs w:val="18"/>
                <w:i w:val="1"/>
                <w:iCs w:val="1"/>
                <w:color w:val="auto"/>
                <w:w w:val="92"/>
              </w:rPr>
              <w:t>accounting officer</w:t>
            </w:r>
            <w:r>
              <w:rPr>
                <w:rFonts w:ascii="Arial" w:cs="Arial" w:eastAsia="Arial" w:hAnsi="Arial"/>
                <w:sz w:val="18"/>
                <w:szCs w:val="18"/>
                <w:color w:val="auto"/>
                <w:w w:val="92"/>
              </w:rPr>
              <w:t>)</w:t>
            </w:r>
          </w:p>
        </w:tc>
        <w:tc>
          <w:tcPr>
            <w:tcW w:w="2040" w:type="dxa"/>
            <w:vAlign w:val="bottom"/>
          </w:tcPr>
          <w:p>
            <w:pPr>
              <w:spacing w:after="0"/>
              <w:rPr>
                <w:sz w:val="20"/>
                <w:szCs w:val="20"/>
                <w:color w:val="auto"/>
              </w:rPr>
            </w:pPr>
          </w:p>
        </w:tc>
      </w:tr>
      <w:tr>
        <w:trPr>
          <w:trHeight w:val="432"/>
        </w:trPr>
        <w:tc>
          <w:tcPr>
            <w:tcW w:w="3660" w:type="dxa"/>
            <w:vAlign w:val="bottom"/>
          </w:tcPr>
          <w:p>
            <w:pPr>
              <w:jc w:val="center"/>
              <w:ind w:right="570"/>
              <w:spacing w:after="0"/>
              <w:rPr>
                <w:sz w:val="20"/>
                <w:szCs w:val="20"/>
                <w:color w:val="auto"/>
              </w:rPr>
            </w:pPr>
            <w:r>
              <w:rPr>
                <w:rFonts w:ascii="Arial" w:cs="Arial" w:eastAsia="Arial" w:hAnsi="Arial"/>
                <w:sz w:val="18"/>
                <w:szCs w:val="18"/>
                <w:color w:val="auto"/>
                <w:w w:val="92"/>
              </w:rPr>
              <w:t>Chairman of the Board of Directors</w:t>
            </w:r>
          </w:p>
        </w:tc>
        <w:tc>
          <w:tcPr>
            <w:tcW w:w="2040" w:type="dxa"/>
            <w:vAlign w:val="bottom"/>
          </w:tcPr>
          <w:p>
            <w:pPr>
              <w:ind w:left="700"/>
              <w:spacing w:after="0"/>
              <w:rPr>
                <w:sz w:val="20"/>
                <w:szCs w:val="20"/>
                <w:color w:val="auto"/>
              </w:rPr>
            </w:pPr>
            <w:r>
              <w:rPr>
                <w:rFonts w:ascii="Arial" w:cs="Arial" w:eastAsia="Arial" w:hAnsi="Arial"/>
                <w:sz w:val="18"/>
                <w:szCs w:val="18"/>
                <w:color w:val="auto"/>
                <w:w w:val="89"/>
              </w:rPr>
              <w:t>February 28, 2022</w:t>
            </w:r>
          </w:p>
        </w:tc>
      </w:tr>
      <w:tr>
        <w:trPr>
          <w:trHeight w:val="662"/>
        </w:trPr>
        <w:tc>
          <w:tcPr>
            <w:tcW w:w="3660" w:type="dxa"/>
            <w:vAlign w:val="bottom"/>
          </w:tcPr>
          <w:p>
            <w:pPr>
              <w:jc w:val="center"/>
              <w:ind w:right="570"/>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ind w:left="700"/>
              <w:spacing w:after="0"/>
              <w:rPr>
                <w:sz w:val="20"/>
                <w:szCs w:val="20"/>
                <w:color w:val="auto"/>
              </w:rPr>
            </w:pPr>
            <w:r>
              <w:rPr>
                <w:rFonts w:ascii="Arial" w:cs="Arial" w:eastAsia="Arial" w:hAnsi="Arial"/>
                <w:sz w:val="18"/>
                <w:szCs w:val="18"/>
                <w:color w:val="auto"/>
                <w:w w:val="89"/>
              </w:rPr>
              <w:t>February 28, 2022</w:t>
            </w:r>
          </w:p>
        </w:tc>
      </w:tr>
      <w:tr>
        <w:trPr>
          <w:trHeight w:val="662"/>
        </w:trPr>
        <w:tc>
          <w:tcPr>
            <w:tcW w:w="3660" w:type="dxa"/>
            <w:vAlign w:val="bottom"/>
          </w:tcPr>
          <w:p>
            <w:pPr>
              <w:jc w:val="center"/>
              <w:ind w:right="570"/>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ind w:left="700"/>
              <w:spacing w:after="0"/>
              <w:rPr>
                <w:sz w:val="20"/>
                <w:szCs w:val="20"/>
                <w:color w:val="auto"/>
              </w:rPr>
            </w:pPr>
            <w:r>
              <w:rPr>
                <w:rFonts w:ascii="Arial" w:cs="Arial" w:eastAsia="Arial" w:hAnsi="Arial"/>
                <w:sz w:val="18"/>
                <w:szCs w:val="18"/>
                <w:color w:val="auto"/>
                <w:w w:val="89"/>
              </w:rPr>
              <w:t>February 28, 2022</w:t>
            </w:r>
          </w:p>
        </w:tc>
      </w:tr>
      <w:tr>
        <w:trPr>
          <w:trHeight w:val="661"/>
        </w:trPr>
        <w:tc>
          <w:tcPr>
            <w:tcW w:w="3660" w:type="dxa"/>
            <w:vAlign w:val="bottom"/>
          </w:tcPr>
          <w:p>
            <w:pPr>
              <w:jc w:val="center"/>
              <w:ind w:right="570"/>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ind w:left="700"/>
              <w:spacing w:after="0"/>
              <w:rPr>
                <w:sz w:val="20"/>
                <w:szCs w:val="20"/>
                <w:color w:val="auto"/>
              </w:rPr>
            </w:pPr>
            <w:r>
              <w:rPr>
                <w:rFonts w:ascii="Arial" w:cs="Arial" w:eastAsia="Arial" w:hAnsi="Arial"/>
                <w:sz w:val="18"/>
                <w:szCs w:val="18"/>
                <w:color w:val="auto"/>
                <w:w w:val="89"/>
              </w:rPr>
              <w:t>February 28, 2022</w:t>
            </w:r>
          </w:p>
        </w:tc>
      </w:tr>
      <w:tr>
        <w:trPr>
          <w:trHeight w:val="662"/>
        </w:trPr>
        <w:tc>
          <w:tcPr>
            <w:tcW w:w="3660" w:type="dxa"/>
            <w:vAlign w:val="bottom"/>
          </w:tcPr>
          <w:p>
            <w:pPr>
              <w:jc w:val="center"/>
              <w:ind w:right="570"/>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ind w:left="700"/>
              <w:spacing w:after="0"/>
              <w:rPr>
                <w:sz w:val="20"/>
                <w:szCs w:val="20"/>
                <w:color w:val="auto"/>
              </w:rPr>
            </w:pPr>
            <w:r>
              <w:rPr>
                <w:rFonts w:ascii="Arial" w:cs="Arial" w:eastAsia="Arial" w:hAnsi="Arial"/>
                <w:sz w:val="18"/>
                <w:szCs w:val="18"/>
                <w:color w:val="auto"/>
                <w:w w:val="89"/>
              </w:rPr>
              <w:t>February 28, 2022</w:t>
            </w:r>
          </w:p>
        </w:tc>
      </w:tr>
      <w:tr>
        <w:trPr>
          <w:trHeight w:val="662"/>
        </w:trPr>
        <w:tc>
          <w:tcPr>
            <w:tcW w:w="3660" w:type="dxa"/>
            <w:vAlign w:val="bottom"/>
          </w:tcPr>
          <w:p>
            <w:pPr>
              <w:jc w:val="center"/>
              <w:ind w:right="570"/>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ind w:left="700"/>
              <w:spacing w:after="0"/>
              <w:rPr>
                <w:sz w:val="20"/>
                <w:szCs w:val="20"/>
                <w:color w:val="auto"/>
              </w:rPr>
            </w:pPr>
            <w:r>
              <w:rPr>
                <w:rFonts w:ascii="Arial" w:cs="Arial" w:eastAsia="Arial" w:hAnsi="Arial"/>
                <w:sz w:val="18"/>
                <w:szCs w:val="18"/>
                <w:color w:val="auto"/>
                <w:w w:val="89"/>
              </w:rPr>
              <w:t>February 28, 2022</w:t>
            </w:r>
          </w:p>
        </w:tc>
      </w:tr>
      <w:tr>
        <w:trPr>
          <w:trHeight w:val="661"/>
        </w:trPr>
        <w:tc>
          <w:tcPr>
            <w:tcW w:w="3660" w:type="dxa"/>
            <w:vAlign w:val="bottom"/>
          </w:tcPr>
          <w:p>
            <w:pPr>
              <w:jc w:val="center"/>
              <w:ind w:right="570"/>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ind w:left="700"/>
              <w:spacing w:after="0"/>
              <w:rPr>
                <w:sz w:val="20"/>
                <w:szCs w:val="20"/>
                <w:color w:val="auto"/>
              </w:rPr>
            </w:pPr>
            <w:r>
              <w:rPr>
                <w:rFonts w:ascii="Arial" w:cs="Arial" w:eastAsia="Arial" w:hAnsi="Arial"/>
                <w:sz w:val="18"/>
                <w:szCs w:val="18"/>
                <w:color w:val="auto"/>
                <w:w w:val="89"/>
              </w:rPr>
              <w:t>February 28, 2022</w:t>
            </w:r>
          </w:p>
        </w:tc>
      </w:tr>
      <w:tr>
        <w:trPr>
          <w:trHeight w:val="662"/>
        </w:trPr>
        <w:tc>
          <w:tcPr>
            <w:tcW w:w="3660" w:type="dxa"/>
            <w:vAlign w:val="bottom"/>
          </w:tcPr>
          <w:p>
            <w:pPr>
              <w:jc w:val="center"/>
              <w:ind w:right="570"/>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ind w:left="700"/>
              <w:spacing w:after="0"/>
              <w:rPr>
                <w:sz w:val="20"/>
                <w:szCs w:val="20"/>
                <w:color w:val="auto"/>
              </w:rPr>
            </w:pPr>
            <w:r>
              <w:rPr>
                <w:rFonts w:ascii="Arial" w:cs="Arial" w:eastAsia="Arial" w:hAnsi="Arial"/>
                <w:sz w:val="18"/>
                <w:szCs w:val="18"/>
                <w:color w:val="auto"/>
                <w:w w:val="89"/>
              </w:rPr>
              <w:t>February 28,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556895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420" w:space="720"/>
            <w:col w:w="5700"/>
          </w:cols>
          <w:pgMar w:left="1440" w:top="337" w:right="61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5.1</w:t>
      </w:r>
    </w:p>
    <w:p>
      <w:pPr>
        <w:spacing w:after="0" w:line="200" w:lineRule="exact"/>
        <w:rPr>
          <w:sz w:val="20"/>
          <w:szCs w:val="20"/>
          <w:color w:val="auto"/>
        </w:rPr>
      </w:pPr>
    </w:p>
    <w:p>
      <w:pPr>
        <w:spacing w:after="0" w:line="28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140 Scott Drive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Tel: +1.650.328.4600 Fax: +1.650.463.2600</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www.lw.com</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9000" w:type="dxa"/>
            <w:vAlign w:val="bottom"/>
            <w:gridSpan w:val="2"/>
          </w:tcPr>
          <w:p>
            <w:pPr>
              <w:ind w:left="4800"/>
              <w:spacing w:after="0"/>
              <w:rPr>
                <w:sz w:val="20"/>
                <w:szCs w:val="20"/>
                <w:color w:val="auto"/>
              </w:rPr>
            </w:pPr>
            <w:r>
              <w:rPr>
                <w:rFonts w:ascii="Arial" w:cs="Arial" w:eastAsia="Arial" w:hAnsi="Arial"/>
                <w:sz w:val="18"/>
                <w:szCs w:val="18"/>
                <w:color w:val="auto"/>
              </w:rPr>
              <w:t>FIRM / AFFILIATE OFFICES</w:t>
            </w:r>
          </w:p>
        </w:tc>
      </w:tr>
      <w:tr>
        <w:trPr>
          <w:trHeight w:val="216"/>
        </w:trPr>
        <w:tc>
          <w:tcPr>
            <w:tcW w:w="1960" w:type="dxa"/>
            <w:vAlign w:val="bottom"/>
          </w:tcPr>
          <w:p>
            <w:pPr>
              <w:spacing w:after="0"/>
              <w:rPr>
                <w:sz w:val="18"/>
                <w:szCs w:val="18"/>
                <w:color w:val="auto"/>
              </w:rPr>
            </w:pPr>
          </w:p>
        </w:tc>
        <w:tc>
          <w:tcPr>
            <w:tcW w:w="5820" w:type="dxa"/>
            <w:vAlign w:val="bottom"/>
          </w:tcPr>
          <w:p>
            <w:pPr>
              <w:ind w:left="4800"/>
              <w:spacing w:after="0"/>
              <w:rPr>
                <w:sz w:val="20"/>
                <w:szCs w:val="20"/>
                <w:color w:val="auto"/>
              </w:rPr>
            </w:pPr>
            <w:r>
              <w:rPr>
                <w:rFonts w:ascii="Arial" w:cs="Arial" w:eastAsia="Arial" w:hAnsi="Arial"/>
                <w:sz w:val="18"/>
                <w:szCs w:val="18"/>
                <w:color w:val="auto"/>
              </w:rPr>
              <w:t>Austin</w:t>
            </w:r>
          </w:p>
        </w:tc>
        <w:tc>
          <w:tcPr>
            <w:tcW w:w="3180" w:type="dxa"/>
            <w:vAlign w:val="bottom"/>
          </w:tcPr>
          <w:p>
            <w:pPr>
              <w:ind w:left="100"/>
              <w:spacing w:after="0"/>
              <w:rPr>
                <w:sz w:val="20"/>
                <w:szCs w:val="20"/>
                <w:color w:val="auto"/>
              </w:rPr>
            </w:pPr>
            <w:r>
              <w:rPr>
                <w:rFonts w:ascii="Arial" w:cs="Arial" w:eastAsia="Arial" w:hAnsi="Arial"/>
                <w:sz w:val="18"/>
                <w:szCs w:val="18"/>
                <w:color w:val="auto"/>
              </w:rPr>
              <w:t>Moscow</w:t>
            </w:r>
          </w:p>
        </w:tc>
      </w:tr>
      <w:tr>
        <w:trPr>
          <w:trHeight w:val="216"/>
        </w:trPr>
        <w:tc>
          <w:tcPr>
            <w:tcW w:w="1960" w:type="dxa"/>
            <w:vAlign w:val="bottom"/>
          </w:tcPr>
          <w:p>
            <w:pPr>
              <w:spacing w:after="0"/>
              <w:rPr>
                <w:sz w:val="18"/>
                <w:szCs w:val="18"/>
                <w:color w:val="auto"/>
              </w:rPr>
            </w:pPr>
          </w:p>
        </w:tc>
        <w:tc>
          <w:tcPr>
            <w:tcW w:w="5820" w:type="dxa"/>
            <w:vAlign w:val="bottom"/>
          </w:tcPr>
          <w:p>
            <w:pPr>
              <w:ind w:left="4800"/>
              <w:spacing w:after="0"/>
              <w:rPr>
                <w:sz w:val="20"/>
                <w:szCs w:val="20"/>
                <w:color w:val="auto"/>
              </w:rPr>
            </w:pPr>
            <w:r>
              <w:rPr>
                <w:rFonts w:ascii="Arial" w:cs="Arial" w:eastAsia="Arial" w:hAnsi="Arial"/>
                <w:sz w:val="18"/>
                <w:szCs w:val="18"/>
                <w:color w:val="auto"/>
              </w:rPr>
              <w:t>Beijing</w:t>
            </w:r>
          </w:p>
        </w:tc>
        <w:tc>
          <w:tcPr>
            <w:tcW w:w="3180" w:type="dxa"/>
            <w:vAlign w:val="bottom"/>
          </w:tcPr>
          <w:p>
            <w:pPr>
              <w:ind w:left="100"/>
              <w:spacing w:after="0"/>
              <w:rPr>
                <w:sz w:val="20"/>
                <w:szCs w:val="20"/>
                <w:color w:val="auto"/>
              </w:rPr>
            </w:pPr>
            <w:r>
              <w:rPr>
                <w:rFonts w:ascii="Arial" w:cs="Arial" w:eastAsia="Arial" w:hAnsi="Arial"/>
                <w:sz w:val="18"/>
                <w:szCs w:val="18"/>
                <w:color w:val="auto"/>
              </w:rPr>
              <w:t>Munich</w:t>
            </w:r>
          </w:p>
        </w:tc>
      </w:tr>
      <w:tr>
        <w:trPr>
          <w:trHeight w:val="216"/>
        </w:trPr>
        <w:tc>
          <w:tcPr>
            <w:tcW w:w="1960" w:type="dxa"/>
            <w:vAlign w:val="bottom"/>
          </w:tcPr>
          <w:p>
            <w:pPr>
              <w:spacing w:after="0"/>
              <w:rPr>
                <w:sz w:val="18"/>
                <w:szCs w:val="18"/>
                <w:color w:val="auto"/>
              </w:rPr>
            </w:pPr>
          </w:p>
        </w:tc>
        <w:tc>
          <w:tcPr>
            <w:tcW w:w="5820" w:type="dxa"/>
            <w:vAlign w:val="bottom"/>
          </w:tcPr>
          <w:p>
            <w:pPr>
              <w:ind w:left="4800"/>
              <w:spacing w:after="0"/>
              <w:rPr>
                <w:sz w:val="20"/>
                <w:szCs w:val="20"/>
                <w:color w:val="auto"/>
              </w:rPr>
            </w:pPr>
            <w:r>
              <w:rPr>
                <w:rFonts w:ascii="Arial" w:cs="Arial" w:eastAsia="Arial" w:hAnsi="Arial"/>
                <w:sz w:val="18"/>
                <w:szCs w:val="18"/>
                <w:color w:val="auto"/>
              </w:rPr>
              <w:t>Boston</w:t>
            </w:r>
          </w:p>
        </w:tc>
        <w:tc>
          <w:tcPr>
            <w:tcW w:w="3180" w:type="dxa"/>
            <w:vAlign w:val="bottom"/>
          </w:tcPr>
          <w:p>
            <w:pPr>
              <w:ind w:left="100"/>
              <w:spacing w:after="0"/>
              <w:rPr>
                <w:sz w:val="20"/>
                <w:szCs w:val="20"/>
                <w:color w:val="auto"/>
              </w:rPr>
            </w:pPr>
            <w:r>
              <w:rPr>
                <w:rFonts w:ascii="Arial" w:cs="Arial" w:eastAsia="Arial" w:hAnsi="Arial"/>
                <w:sz w:val="18"/>
                <w:szCs w:val="18"/>
                <w:color w:val="auto"/>
              </w:rPr>
              <w:t>New York</w:t>
            </w:r>
          </w:p>
        </w:tc>
      </w:tr>
      <w:tr>
        <w:trPr>
          <w:trHeight w:val="216"/>
        </w:trPr>
        <w:tc>
          <w:tcPr>
            <w:tcW w:w="1960" w:type="dxa"/>
            <w:vAlign w:val="bottom"/>
          </w:tcPr>
          <w:p>
            <w:pPr>
              <w:spacing w:after="0"/>
              <w:rPr>
                <w:sz w:val="18"/>
                <w:szCs w:val="18"/>
                <w:color w:val="auto"/>
              </w:rPr>
            </w:pPr>
          </w:p>
        </w:tc>
        <w:tc>
          <w:tcPr>
            <w:tcW w:w="5820" w:type="dxa"/>
            <w:vAlign w:val="bottom"/>
          </w:tcPr>
          <w:p>
            <w:pPr>
              <w:ind w:left="4800"/>
              <w:spacing w:after="0"/>
              <w:rPr>
                <w:sz w:val="20"/>
                <w:szCs w:val="20"/>
                <w:color w:val="auto"/>
              </w:rPr>
            </w:pPr>
            <w:r>
              <w:rPr>
                <w:rFonts w:ascii="Arial" w:cs="Arial" w:eastAsia="Arial" w:hAnsi="Arial"/>
                <w:sz w:val="18"/>
                <w:szCs w:val="18"/>
                <w:color w:val="auto"/>
              </w:rPr>
              <w:t>Brussels</w:t>
            </w:r>
          </w:p>
        </w:tc>
        <w:tc>
          <w:tcPr>
            <w:tcW w:w="3180" w:type="dxa"/>
            <w:vAlign w:val="bottom"/>
          </w:tcPr>
          <w:p>
            <w:pPr>
              <w:ind w:left="100"/>
              <w:spacing w:after="0"/>
              <w:rPr>
                <w:sz w:val="20"/>
                <w:szCs w:val="20"/>
                <w:color w:val="auto"/>
              </w:rPr>
            </w:pPr>
            <w:r>
              <w:rPr>
                <w:rFonts w:ascii="Arial" w:cs="Arial" w:eastAsia="Arial" w:hAnsi="Arial"/>
                <w:sz w:val="18"/>
                <w:szCs w:val="18"/>
                <w:color w:val="auto"/>
              </w:rPr>
              <w:t>Orange County</w:t>
            </w:r>
          </w:p>
        </w:tc>
      </w:tr>
      <w:tr>
        <w:trPr>
          <w:trHeight w:val="216"/>
        </w:trPr>
        <w:tc>
          <w:tcPr>
            <w:tcW w:w="1960" w:type="dxa"/>
            <w:vAlign w:val="bottom"/>
          </w:tcPr>
          <w:p>
            <w:pPr>
              <w:spacing w:after="0"/>
              <w:rPr>
                <w:sz w:val="18"/>
                <w:szCs w:val="18"/>
                <w:color w:val="auto"/>
              </w:rPr>
            </w:pPr>
          </w:p>
        </w:tc>
        <w:tc>
          <w:tcPr>
            <w:tcW w:w="5820" w:type="dxa"/>
            <w:vAlign w:val="bottom"/>
          </w:tcPr>
          <w:p>
            <w:pPr>
              <w:ind w:left="4800"/>
              <w:spacing w:after="0"/>
              <w:rPr>
                <w:sz w:val="20"/>
                <w:szCs w:val="20"/>
                <w:color w:val="auto"/>
              </w:rPr>
            </w:pPr>
            <w:r>
              <w:rPr>
                <w:rFonts w:ascii="Arial" w:cs="Arial" w:eastAsia="Arial" w:hAnsi="Arial"/>
                <w:sz w:val="18"/>
                <w:szCs w:val="18"/>
                <w:color w:val="auto"/>
              </w:rPr>
              <w:t>Century City</w:t>
            </w:r>
          </w:p>
        </w:tc>
        <w:tc>
          <w:tcPr>
            <w:tcW w:w="3180" w:type="dxa"/>
            <w:vAlign w:val="bottom"/>
          </w:tcPr>
          <w:p>
            <w:pPr>
              <w:ind w:left="100"/>
              <w:spacing w:after="0"/>
              <w:rPr>
                <w:sz w:val="20"/>
                <w:szCs w:val="20"/>
                <w:color w:val="auto"/>
              </w:rPr>
            </w:pPr>
            <w:r>
              <w:rPr>
                <w:rFonts w:ascii="Arial" w:cs="Arial" w:eastAsia="Arial" w:hAnsi="Arial"/>
                <w:sz w:val="18"/>
                <w:szCs w:val="18"/>
                <w:color w:val="auto"/>
              </w:rPr>
              <w:t>Paris</w:t>
            </w:r>
          </w:p>
        </w:tc>
      </w:tr>
      <w:tr>
        <w:trPr>
          <w:trHeight w:val="216"/>
        </w:trPr>
        <w:tc>
          <w:tcPr>
            <w:tcW w:w="1960" w:type="dxa"/>
            <w:vAlign w:val="bottom"/>
          </w:tcPr>
          <w:p>
            <w:pPr>
              <w:spacing w:after="0"/>
              <w:rPr>
                <w:sz w:val="18"/>
                <w:szCs w:val="18"/>
                <w:color w:val="auto"/>
              </w:rPr>
            </w:pPr>
          </w:p>
        </w:tc>
        <w:tc>
          <w:tcPr>
            <w:tcW w:w="5820" w:type="dxa"/>
            <w:vAlign w:val="bottom"/>
          </w:tcPr>
          <w:p>
            <w:pPr>
              <w:ind w:left="4800"/>
              <w:spacing w:after="0"/>
              <w:rPr>
                <w:sz w:val="20"/>
                <w:szCs w:val="20"/>
                <w:color w:val="auto"/>
              </w:rPr>
            </w:pPr>
            <w:r>
              <w:rPr>
                <w:rFonts w:ascii="Arial" w:cs="Arial" w:eastAsia="Arial" w:hAnsi="Arial"/>
                <w:sz w:val="18"/>
                <w:szCs w:val="18"/>
                <w:color w:val="auto"/>
              </w:rPr>
              <w:t>Chicago</w:t>
            </w:r>
          </w:p>
        </w:tc>
        <w:tc>
          <w:tcPr>
            <w:tcW w:w="3180" w:type="dxa"/>
            <w:vAlign w:val="bottom"/>
          </w:tcPr>
          <w:p>
            <w:pPr>
              <w:ind w:left="100"/>
              <w:spacing w:after="0"/>
              <w:rPr>
                <w:sz w:val="20"/>
                <w:szCs w:val="20"/>
                <w:color w:val="auto"/>
              </w:rPr>
            </w:pPr>
            <w:r>
              <w:rPr>
                <w:rFonts w:ascii="Arial" w:cs="Arial" w:eastAsia="Arial" w:hAnsi="Arial"/>
                <w:sz w:val="18"/>
                <w:szCs w:val="18"/>
                <w:color w:val="auto"/>
              </w:rPr>
              <w:t>Riyadh</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February 28, 2022</w:t>
            </w:r>
          </w:p>
        </w:tc>
        <w:tc>
          <w:tcPr>
            <w:tcW w:w="5820" w:type="dxa"/>
            <w:vAlign w:val="bottom"/>
          </w:tcPr>
          <w:p>
            <w:pPr>
              <w:ind w:left="4800"/>
              <w:spacing w:after="0"/>
              <w:rPr>
                <w:sz w:val="20"/>
                <w:szCs w:val="20"/>
                <w:color w:val="auto"/>
              </w:rPr>
            </w:pPr>
            <w:r>
              <w:rPr>
                <w:rFonts w:ascii="Arial" w:cs="Arial" w:eastAsia="Arial" w:hAnsi="Arial"/>
                <w:sz w:val="18"/>
                <w:szCs w:val="18"/>
                <w:color w:val="auto"/>
              </w:rPr>
              <w:t>Dubai</w:t>
            </w:r>
          </w:p>
        </w:tc>
        <w:tc>
          <w:tcPr>
            <w:tcW w:w="3180" w:type="dxa"/>
            <w:vAlign w:val="bottom"/>
          </w:tcPr>
          <w:p>
            <w:pPr>
              <w:ind w:left="100"/>
              <w:spacing w:after="0"/>
              <w:rPr>
                <w:sz w:val="20"/>
                <w:szCs w:val="20"/>
                <w:color w:val="auto"/>
              </w:rPr>
            </w:pPr>
            <w:r>
              <w:rPr>
                <w:rFonts w:ascii="Arial" w:cs="Arial" w:eastAsia="Arial" w:hAnsi="Arial"/>
                <w:sz w:val="18"/>
                <w:szCs w:val="18"/>
                <w:color w:val="auto"/>
              </w:rPr>
              <w:t>San Diego</w:t>
            </w:r>
          </w:p>
        </w:tc>
      </w:tr>
      <w:tr>
        <w:trPr>
          <w:trHeight w:val="216"/>
        </w:trPr>
        <w:tc>
          <w:tcPr>
            <w:tcW w:w="1960" w:type="dxa"/>
            <w:vAlign w:val="bottom"/>
          </w:tcPr>
          <w:p>
            <w:pPr>
              <w:spacing w:after="0"/>
              <w:rPr>
                <w:sz w:val="18"/>
                <w:szCs w:val="18"/>
                <w:color w:val="auto"/>
              </w:rPr>
            </w:pPr>
          </w:p>
        </w:tc>
        <w:tc>
          <w:tcPr>
            <w:tcW w:w="5820" w:type="dxa"/>
            <w:vAlign w:val="bottom"/>
          </w:tcPr>
          <w:p>
            <w:pPr>
              <w:ind w:left="4800"/>
              <w:spacing w:after="0"/>
              <w:rPr>
                <w:sz w:val="20"/>
                <w:szCs w:val="20"/>
                <w:color w:val="auto"/>
              </w:rPr>
            </w:pPr>
            <w:r>
              <w:rPr>
                <w:rFonts w:ascii="Arial" w:cs="Arial" w:eastAsia="Arial" w:hAnsi="Arial"/>
                <w:sz w:val="18"/>
                <w:szCs w:val="18"/>
                <w:color w:val="auto"/>
              </w:rPr>
              <w:t>Düsseldorf</w:t>
            </w:r>
          </w:p>
        </w:tc>
        <w:tc>
          <w:tcPr>
            <w:tcW w:w="3180" w:type="dxa"/>
            <w:vAlign w:val="bottom"/>
          </w:tcPr>
          <w:p>
            <w:pPr>
              <w:ind w:left="100"/>
              <w:spacing w:after="0"/>
              <w:rPr>
                <w:sz w:val="20"/>
                <w:szCs w:val="20"/>
                <w:color w:val="auto"/>
              </w:rPr>
            </w:pPr>
            <w:r>
              <w:rPr>
                <w:rFonts w:ascii="Arial" w:cs="Arial" w:eastAsia="Arial" w:hAnsi="Arial"/>
                <w:sz w:val="18"/>
                <w:szCs w:val="18"/>
                <w:color w:val="auto"/>
              </w:rPr>
              <w:t>San Francisco</w:t>
            </w:r>
          </w:p>
        </w:tc>
      </w:tr>
      <w:tr>
        <w:trPr>
          <w:trHeight w:val="216"/>
        </w:trPr>
        <w:tc>
          <w:tcPr>
            <w:tcW w:w="1960" w:type="dxa"/>
            <w:vAlign w:val="bottom"/>
          </w:tcPr>
          <w:p>
            <w:pPr>
              <w:spacing w:after="0"/>
              <w:rPr>
                <w:sz w:val="18"/>
                <w:szCs w:val="18"/>
                <w:color w:val="auto"/>
              </w:rPr>
            </w:pPr>
          </w:p>
        </w:tc>
        <w:tc>
          <w:tcPr>
            <w:tcW w:w="5820" w:type="dxa"/>
            <w:vAlign w:val="bottom"/>
          </w:tcPr>
          <w:p>
            <w:pPr>
              <w:ind w:left="4800"/>
              <w:spacing w:after="0"/>
              <w:rPr>
                <w:sz w:val="20"/>
                <w:szCs w:val="20"/>
                <w:color w:val="auto"/>
              </w:rPr>
            </w:pPr>
            <w:r>
              <w:rPr>
                <w:rFonts w:ascii="Arial" w:cs="Arial" w:eastAsia="Arial" w:hAnsi="Arial"/>
                <w:sz w:val="18"/>
                <w:szCs w:val="18"/>
                <w:color w:val="auto"/>
              </w:rPr>
              <w:t>Frankfurt</w:t>
            </w:r>
          </w:p>
        </w:tc>
        <w:tc>
          <w:tcPr>
            <w:tcW w:w="3180" w:type="dxa"/>
            <w:vAlign w:val="bottom"/>
          </w:tcPr>
          <w:p>
            <w:pPr>
              <w:ind w:left="100"/>
              <w:spacing w:after="0"/>
              <w:rPr>
                <w:sz w:val="20"/>
                <w:szCs w:val="20"/>
                <w:color w:val="auto"/>
              </w:rPr>
            </w:pPr>
            <w:r>
              <w:rPr>
                <w:rFonts w:ascii="Arial" w:cs="Arial" w:eastAsia="Arial" w:hAnsi="Arial"/>
                <w:sz w:val="18"/>
                <w:szCs w:val="18"/>
                <w:color w:val="auto"/>
              </w:rPr>
              <w:t>Seoul</w:t>
            </w:r>
          </w:p>
        </w:tc>
      </w:tr>
      <w:tr>
        <w:trPr>
          <w:trHeight w:val="216"/>
        </w:trPr>
        <w:tc>
          <w:tcPr>
            <w:tcW w:w="1960" w:type="dxa"/>
            <w:vAlign w:val="bottom"/>
          </w:tcPr>
          <w:p>
            <w:pPr>
              <w:spacing w:after="0"/>
              <w:rPr>
                <w:sz w:val="18"/>
                <w:szCs w:val="18"/>
                <w:color w:val="auto"/>
              </w:rPr>
            </w:pPr>
          </w:p>
        </w:tc>
        <w:tc>
          <w:tcPr>
            <w:tcW w:w="5820" w:type="dxa"/>
            <w:vAlign w:val="bottom"/>
          </w:tcPr>
          <w:p>
            <w:pPr>
              <w:ind w:left="4800"/>
              <w:spacing w:after="0"/>
              <w:rPr>
                <w:sz w:val="20"/>
                <w:szCs w:val="20"/>
                <w:color w:val="auto"/>
              </w:rPr>
            </w:pPr>
            <w:r>
              <w:rPr>
                <w:rFonts w:ascii="Arial" w:cs="Arial" w:eastAsia="Arial" w:hAnsi="Arial"/>
                <w:sz w:val="18"/>
                <w:szCs w:val="18"/>
                <w:color w:val="auto"/>
              </w:rPr>
              <w:t>Hamburg</w:t>
            </w:r>
          </w:p>
        </w:tc>
        <w:tc>
          <w:tcPr>
            <w:tcW w:w="3180" w:type="dxa"/>
            <w:vAlign w:val="bottom"/>
          </w:tcPr>
          <w:p>
            <w:pPr>
              <w:ind w:left="100"/>
              <w:spacing w:after="0"/>
              <w:rPr>
                <w:sz w:val="20"/>
                <w:szCs w:val="20"/>
                <w:color w:val="auto"/>
              </w:rPr>
            </w:pPr>
            <w:r>
              <w:rPr>
                <w:rFonts w:ascii="Arial" w:cs="Arial" w:eastAsia="Arial" w:hAnsi="Arial"/>
                <w:sz w:val="18"/>
                <w:szCs w:val="18"/>
                <w:color w:val="auto"/>
              </w:rPr>
              <w:t>Shanghai</w:t>
            </w:r>
          </w:p>
        </w:tc>
      </w:tr>
      <w:tr>
        <w:trPr>
          <w:trHeight w:val="216"/>
        </w:trPr>
        <w:tc>
          <w:tcPr>
            <w:tcW w:w="1960" w:type="dxa"/>
            <w:vAlign w:val="bottom"/>
          </w:tcPr>
          <w:p>
            <w:pPr>
              <w:spacing w:after="0"/>
              <w:rPr>
                <w:sz w:val="18"/>
                <w:szCs w:val="18"/>
                <w:color w:val="auto"/>
              </w:rPr>
            </w:pPr>
          </w:p>
        </w:tc>
        <w:tc>
          <w:tcPr>
            <w:tcW w:w="5820" w:type="dxa"/>
            <w:vAlign w:val="bottom"/>
          </w:tcPr>
          <w:p>
            <w:pPr>
              <w:ind w:left="4800"/>
              <w:spacing w:after="0"/>
              <w:rPr>
                <w:sz w:val="20"/>
                <w:szCs w:val="20"/>
                <w:color w:val="auto"/>
              </w:rPr>
            </w:pPr>
            <w:r>
              <w:rPr>
                <w:rFonts w:ascii="Arial" w:cs="Arial" w:eastAsia="Arial" w:hAnsi="Arial"/>
                <w:sz w:val="18"/>
                <w:szCs w:val="18"/>
                <w:color w:val="auto"/>
              </w:rPr>
              <w:t>Hong Kong</w:t>
            </w:r>
          </w:p>
        </w:tc>
        <w:tc>
          <w:tcPr>
            <w:tcW w:w="3180" w:type="dxa"/>
            <w:vAlign w:val="bottom"/>
          </w:tcPr>
          <w:p>
            <w:pPr>
              <w:ind w:left="100"/>
              <w:spacing w:after="0"/>
              <w:rPr>
                <w:sz w:val="20"/>
                <w:szCs w:val="20"/>
                <w:color w:val="auto"/>
              </w:rPr>
            </w:pPr>
            <w:r>
              <w:rPr>
                <w:rFonts w:ascii="Arial" w:cs="Arial" w:eastAsia="Arial" w:hAnsi="Arial"/>
                <w:sz w:val="18"/>
                <w:szCs w:val="18"/>
                <w:color w:val="auto"/>
              </w:rPr>
              <w:t>Silicon Valley</w:t>
            </w:r>
          </w:p>
        </w:tc>
      </w:tr>
      <w:tr>
        <w:trPr>
          <w:trHeight w:val="216"/>
        </w:trPr>
        <w:tc>
          <w:tcPr>
            <w:tcW w:w="1960" w:type="dxa"/>
            <w:vAlign w:val="bottom"/>
          </w:tcPr>
          <w:p>
            <w:pPr>
              <w:spacing w:after="0"/>
              <w:rPr>
                <w:sz w:val="18"/>
                <w:szCs w:val="18"/>
                <w:color w:val="auto"/>
              </w:rPr>
            </w:pPr>
          </w:p>
        </w:tc>
        <w:tc>
          <w:tcPr>
            <w:tcW w:w="5820" w:type="dxa"/>
            <w:vAlign w:val="bottom"/>
          </w:tcPr>
          <w:p>
            <w:pPr>
              <w:ind w:left="4800"/>
              <w:spacing w:after="0"/>
              <w:rPr>
                <w:sz w:val="20"/>
                <w:szCs w:val="20"/>
                <w:color w:val="auto"/>
              </w:rPr>
            </w:pPr>
            <w:r>
              <w:rPr>
                <w:rFonts w:ascii="Arial" w:cs="Arial" w:eastAsia="Arial" w:hAnsi="Arial"/>
                <w:sz w:val="18"/>
                <w:szCs w:val="18"/>
                <w:color w:val="auto"/>
              </w:rPr>
              <w:t>Houston</w:t>
            </w:r>
          </w:p>
        </w:tc>
        <w:tc>
          <w:tcPr>
            <w:tcW w:w="3180" w:type="dxa"/>
            <w:vAlign w:val="bottom"/>
          </w:tcPr>
          <w:p>
            <w:pPr>
              <w:ind w:left="100"/>
              <w:spacing w:after="0"/>
              <w:rPr>
                <w:sz w:val="20"/>
                <w:szCs w:val="20"/>
                <w:color w:val="auto"/>
              </w:rPr>
            </w:pPr>
            <w:r>
              <w:rPr>
                <w:rFonts w:ascii="Arial" w:cs="Arial" w:eastAsia="Arial" w:hAnsi="Arial"/>
                <w:sz w:val="18"/>
                <w:szCs w:val="18"/>
                <w:color w:val="auto"/>
              </w:rPr>
              <w:t>Singapore</w:t>
            </w:r>
          </w:p>
        </w:tc>
      </w:tr>
      <w:tr>
        <w:trPr>
          <w:trHeight w:val="216"/>
        </w:trPr>
        <w:tc>
          <w:tcPr>
            <w:tcW w:w="1960" w:type="dxa"/>
            <w:vAlign w:val="bottom"/>
          </w:tcPr>
          <w:p>
            <w:pPr>
              <w:spacing w:after="0"/>
              <w:rPr>
                <w:sz w:val="18"/>
                <w:szCs w:val="18"/>
                <w:color w:val="auto"/>
              </w:rPr>
            </w:pPr>
          </w:p>
        </w:tc>
        <w:tc>
          <w:tcPr>
            <w:tcW w:w="5820" w:type="dxa"/>
            <w:vAlign w:val="bottom"/>
          </w:tcPr>
          <w:p>
            <w:pPr>
              <w:ind w:left="4800"/>
              <w:spacing w:after="0"/>
              <w:rPr>
                <w:sz w:val="20"/>
                <w:szCs w:val="20"/>
                <w:color w:val="auto"/>
              </w:rPr>
            </w:pPr>
            <w:r>
              <w:rPr>
                <w:rFonts w:ascii="Arial" w:cs="Arial" w:eastAsia="Arial" w:hAnsi="Arial"/>
                <w:sz w:val="18"/>
                <w:szCs w:val="18"/>
                <w:color w:val="auto"/>
              </w:rPr>
              <w:t>London</w:t>
            </w:r>
          </w:p>
        </w:tc>
        <w:tc>
          <w:tcPr>
            <w:tcW w:w="3180" w:type="dxa"/>
            <w:vAlign w:val="bottom"/>
          </w:tcPr>
          <w:p>
            <w:pPr>
              <w:ind w:left="100"/>
              <w:spacing w:after="0"/>
              <w:rPr>
                <w:sz w:val="20"/>
                <w:szCs w:val="20"/>
                <w:color w:val="auto"/>
              </w:rPr>
            </w:pPr>
            <w:r>
              <w:rPr>
                <w:rFonts w:ascii="Arial" w:cs="Arial" w:eastAsia="Arial" w:hAnsi="Arial"/>
                <w:sz w:val="18"/>
                <w:szCs w:val="18"/>
                <w:color w:val="auto"/>
              </w:rPr>
              <w:t>Tel Aviv</w:t>
            </w:r>
          </w:p>
        </w:tc>
      </w:tr>
      <w:tr>
        <w:trPr>
          <w:trHeight w:val="216"/>
        </w:trPr>
        <w:tc>
          <w:tcPr>
            <w:tcW w:w="1960" w:type="dxa"/>
            <w:vAlign w:val="bottom"/>
          </w:tcPr>
          <w:p>
            <w:pPr>
              <w:spacing w:after="0"/>
              <w:rPr>
                <w:sz w:val="18"/>
                <w:szCs w:val="18"/>
                <w:color w:val="auto"/>
              </w:rPr>
            </w:pPr>
          </w:p>
        </w:tc>
        <w:tc>
          <w:tcPr>
            <w:tcW w:w="5820" w:type="dxa"/>
            <w:vAlign w:val="bottom"/>
          </w:tcPr>
          <w:p>
            <w:pPr>
              <w:ind w:left="4800"/>
              <w:spacing w:after="0"/>
              <w:rPr>
                <w:sz w:val="20"/>
                <w:szCs w:val="20"/>
                <w:color w:val="auto"/>
              </w:rPr>
            </w:pPr>
            <w:r>
              <w:rPr>
                <w:rFonts w:ascii="Arial" w:cs="Arial" w:eastAsia="Arial" w:hAnsi="Arial"/>
                <w:sz w:val="18"/>
                <w:szCs w:val="18"/>
                <w:color w:val="auto"/>
              </w:rPr>
              <w:t>Los Angeles</w:t>
            </w:r>
          </w:p>
        </w:tc>
        <w:tc>
          <w:tcPr>
            <w:tcW w:w="3180" w:type="dxa"/>
            <w:vAlign w:val="bottom"/>
          </w:tcPr>
          <w:p>
            <w:pPr>
              <w:ind w:left="100"/>
              <w:spacing w:after="0"/>
              <w:rPr>
                <w:sz w:val="20"/>
                <w:szCs w:val="20"/>
                <w:color w:val="auto"/>
              </w:rPr>
            </w:pPr>
            <w:r>
              <w:rPr>
                <w:rFonts w:ascii="Arial" w:cs="Arial" w:eastAsia="Arial" w:hAnsi="Arial"/>
                <w:sz w:val="18"/>
                <w:szCs w:val="18"/>
                <w:color w:val="auto"/>
              </w:rPr>
              <w:t>Tokyo</w:t>
            </w:r>
          </w:p>
        </w:tc>
      </w:tr>
      <w:tr>
        <w:trPr>
          <w:trHeight w:val="216"/>
        </w:trPr>
        <w:tc>
          <w:tcPr>
            <w:tcW w:w="1960" w:type="dxa"/>
            <w:vAlign w:val="bottom"/>
          </w:tcPr>
          <w:p>
            <w:pPr>
              <w:spacing w:after="0"/>
              <w:rPr>
                <w:sz w:val="18"/>
                <w:szCs w:val="18"/>
                <w:color w:val="auto"/>
              </w:rPr>
            </w:pPr>
          </w:p>
        </w:tc>
        <w:tc>
          <w:tcPr>
            <w:tcW w:w="5820" w:type="dxa"/>
            <w:vAlign w:val="bottom"/>
          </w:tcPr>
          <w:p>
            <w:pPr>
              <w:ind w:left="4800"/>
              <w:spacing w:after="0"/>
              <w:rPr>
                <w:sz w:val="20"/>
                <w:szCs w:val="20"/>
                <w:color w:val="auto"/>
              </w:rPr>
            </w:pPr>
            <w:r>
              <w:rPr>
                <w:rFonts w:ascii="Arial" w:cs="Arial" w:eastAsia="Arial" w:hAnsi="Arial"/>
                <w:sz w:val="18"/>
                <w:szCs w:val="18"/>
                <w:color w:val="auto"/>
              </w:rPr>
              <w:t>Madrid</w:t>
            </w:r>
          </w:p>
        </w:tc>
        <w:tc>
          <w:tcPr>
            <w:tcW w:w="3180" w:type="dxa"/>
            <w:vAlign w:val="bottom"/>
          </w:tcPr>
          <w:p>
            <w:pPr>
              <w:ind w:left="100"/>
              <w:spacing w:after="0"/>
              <w:rPr>
                <w:sz w:val="20"/>
                <w:szCs w:val="20"/>
                <w:color w:val="auto"/>
              </w:rPr>
            </w:pPr>
            <w:r>
              <w:rPr>
                <w:rFonts w:ascii="Arial" w:cs="Arial" w:eastAsia="Arial" w:hAnsi="Arial"/>
                <w:sz w:val="18"/>
                <w:szCs w:val="18"/>
                <w:color w:val="auto"/>
              </w:rPr>
              <w:t>Washington, D.C.</w:t>
            </w:r>
          </w:p>
        </w:tc>
      </w:tr>
      <w:tr>
        <w:trPr>
          <w:trHeight w:val="230"/>
        </w:trPr>
        <w:tc>
          <w:tcPr>
            <w:tcW w:w="1960" w:type="dxa"/>
            <w:vAlign w:val="bottom"/>
          </w:tcPr>
          <w:p>
            <w:pPr>
              <w:spacing w:after="0"/>
              <w:rPr>
                <w:sz w:val="20"/>
                <w:szCs w:val="20"/>
                <w:color w:val="auto"/>
              </w:rPr>
            </w:pPr>
          </w:p>
        </w:tc>
        <w:tc>
          <w:tcPr>
            <w:tcW w:w="5820" w:type="dxa"/>
            <w:vAlign w:val="bottom"/>
          </w:tcPr>
          <w:p>
            <w:pPr>
              <w:ind w:left="4800"/>
              <w:spacing w:after="0"/>
              <w:rPr>
                <w:sz w:val="20"/>
                <w:szCs w:val="20"/>
                <w:color w:val="auto"/>
              </w:rPr>
            </w:pPr>
            <w:r>
              <w:rPr>
                <w:rFonts w:ascii="Arial" w:cs="Arial" w:eastAsia="Arial" w:hAnsi="Arial"/>
                <w:sz w:val="18"/>
                <w:szCs w:val="18"/>
                <w:color w:val="auto"/>
              </w:rPr>
              <w:t>Milan</w:t>
            </w:r>
          </w:p>
        </w:tc>
        <w:tc>
          <w:tcPr>
            <w:tcW w:w="3180" w:type="dxa"/>
            <w:vAlign w:val="bottom"/>
          </w:tcPr>
          <w:p>
            <w:pPr>
              <w:spacing w:after="0"/>
              <w:rPr>
                <w:sz w:val="20"/>
                <w:szCs w:val="20"/>
                <w:color w:val="auto"/>
              </w:rPr>
            </w:pPr>
          </w:p>
        </w:tc>
      </w:tr>
      <w:tr>
        <w:trPr>
          <w:trHeight w:val="445"/>
        </w:trPr>
        <w:tc>
          <w:tcPr>
            <w:tcW w:w="1960" w:type="dxa"/>
            <w:vAlign w:val="bottom"/>
          </w:tcPr>
          <w:p>
            <w:pPr>
              <w:spacing w:after="0"/>
              <w:rPr>
                <w:sz w:val="20"/>
                <w:szCs w:val="20"/>
                <w:color w:val="auto"/>
              </w:rPr>
            </w:pPr>
            <w:r>
              <w:rPr>
                <w:rFonts w:ascii="Arial" w:cs="Arial" w:eastAsia="Arial" w:hAnsi="Arial"/>
                <w:sz w:val="18"/>
                <w:szCs w:val="18"/>
                <w:color w:val="auto"/>
              </w:rPr>
              <w:t>Ardelyx, Inc.</w:t>
            </w:r>
          </w:p>
        </w:tc>
        <w:tc>
          <w:tcPr>
            <w:tcW w:w="58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400 Fifth Avenue, Suite 210</w:t>
            </w:r>
          </w:p>
        </w:tc>
        <w:tc>
          <w:tcPr>
            <w:tcW w:w="318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Waltham, MA 32081</w:t>
            </w:r>
          </w:p>
        </w:tc>
        <w:tc>
          <w:tcPr>
            <w:tcW w:w="58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1"/>
        </w:trPr>
        <w:tc>
          <w:tcPr>
            <w:tcW w:w="1960" w:type="dxa"/>
            <w:vAlign w:val="bottom"/>
          </w:tcPr>
          <w:p>
            <w:pPr>
              <w:ind w:left="1300"/>
              <w:spacing w:after="0"/>
              <w:rPr>
                <w:sz w:val="20"/>
                <w:szCs w:val="20"/>
                <w:color w:val="auto"/>
              </w:rPr>
            </w:pPr>
            <w:r>
              <w:rPr>
                <w:rFonts w:ascii="Arial" w:cs="Arial" w:eastAsia="Arial" w:hAnsi="Arial"/>
                <w:sz w:val="18"/>
                <w:szCs w:val="18"/>
                <w:b w:val="1"/>
                <w:bCs w:val="1"/>
                <w:color w:val="auto"/>
              </w:rPr>
              <w:t>Re:</w:t>
            </w:r>
          </w:p>
        </w:tc>
        <w:tc>
          <w:tcPr>
            <w:tcW w:w="9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 xml:space="preserve">Registration Statement on Form S-8; 7,207,301 shares of Common Stock of Ardelyx, Inc., par value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0.0001 per share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-3154045</wp:posOffset>
            </wp:positionV>
            <wp:extent cx="3000375" cy="360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000375" cy="3600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To the addressee set forth above: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acted as special counsel to Ardelyx,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registration by the Company of 7,207,301 shares of common stock of the Company, par value $0.0001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issuable under the Company’s 2014 Equity Incentive Award Plan (the “</w:t>
      </w:r>
      <w:r>
        <w:rPr>
          <w:rFonts w:ascii="Arial" w:cs="Arial" w:eastAsia="Arial" w:hAnsi="Arial"/>
          <w:sz w:val="16"/>
          <w:szCs w:val="16"/>
          <w:b w:val="1"/>
          <w:bCs w:val="1"/>
          <w:i w:val="1"/>
          <w:iCs w:val="1"/>
          <w:color w:val="auto"/>
        </w:rPr>
        <w:t>2014 Plan</w:t>
      </w:r>
      <w:r>
        <w:rPr>
          <w:rFonts w:ascii="Arial" w:cs="Arial" w:eastAsia="Arial" w:hAnsi="Arial"/>
          <w:sz w:val="16"/>
          <w:szCs w:val="16"/>
          <w:color w:val="auto"/>
        </w:rPr>
        <w:t>”) and 2016 Employment Commencement Incentive Plan (the “</w:t>
      </w:r>
      <w:r>
        <w:rPr>
          <w:rFonts w:ascii="Arial" w:cs="Arial" w:eastAsia="Arial" w:hAnsi="Arial"/>
          <w:sz w:val="16"/>
          <w:szCs w:val="16"/>
          <w:b w:val="1"/>
          <w:bCs w:val="1"/>
          <w:i w:val="1"/>
          <w:iCs w:val="1"/>
          <w:color w:val="auto"/>
        </w:rPr>
        <w:t>2016 Plan</w:t>
      </w:r>
      <w:r>
        <w:rPr>
          <w:rFonts w:ascii="Arial" w:cs="Arial" w:eastAsia="Arial" w:hAnsi="Arial"/>
          <w:sz w:val="16"/>
          <w:szCs w:val="16"/>
          <w:color w:val="auto"/>
        </w:rPr>
        <w:t>” and together with the 2014 Plan, the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Shares are included in a registration statement on Form S-8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February 28, 2022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This opinion is being furnished in connection with the requirements of Item 601(b)(5) of Regulation S-K under the Act, and no opinion is expressed herein as to any matter pertaining to the contents of the Registration Statement or the related prospectuses, other than as expressly stated herein with respect to the issuance of the Shares.</w:t>
      </w:r>
    </w:p>
    <w:p>
      <w:pPr>
        <w:spacing w:after="0" w:line="15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February 28,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99945"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209994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(not less than par value) in the circumstances contemplated by the Plans, assuming in each case that the individual issuances, grants or awards under the Plans are duly authorized by all necessary corporate action and duly issued, granted or awarded and exercised in accordance with the requirements of law and the Plans (and the agreements and awards duly adopted thereunder and in accordance therewith), the issuance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2014 Equity Incentive Award Plan, 2014 Employee Stock Purchase Plan and 2016 Employment Commencement Incentive Plan of Ardelyx, Inc. of our reports dated February 28, 2022, with respect to the financial statements of Ardelyx, Inc. and the effectiveness of internal control over financial reporting of Ardelyx, Inc. included in its Annual Report (Form 10-K) for the year ended December 31, 2021,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 w:name="page12"/>
    <w:bookmarkEnd w:id="11"/>
    <w:p>
      <w:pPr>
        <w:ind w:left="10220"/>
        <w:spacing w:after="0"/>
        <w:rPr>
          <w:sz w:val="20"/>
          <w:szCs w:val="20"/>
          <w:color w:val="auto"/>
        </w:rPr>
      </w:pPr>
      <w:r>
        <w:rPr>
          <w:rFonts w:ascii="Arial" w:cs="Arial" w:eastAsia="Arial" w:hAnsi="Arial"/>
          <w:sz w:val="16"/>
          <w:szCs w:val="16"/>
          <w:b w:val="1"/>
          <w:bCs w:val="1"/>
          <w:color w:val="auto"/>
        </w:rPr>
        <w:t>Exhibit 107.1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00" w:type="dxa"/>
            <w:vAlign w:val="bottom"/>
            <w:gridSpan w:val="6"/>
          </w:tcPr>
          <w:p>
            <w:pPr>
              <w:spacing w:after="0"/>
              <w:rPr>
                <w:sz w:val="20"/>
                <w:szCs w:val="20"/>
                <w:color w:val="auto"/>
              </w:rPr>
            </w:pPr>
            <w:r>
              <w:rPr>
                <w:rFonts w:ascii="Arial" w:cs="Arial" w:eastAsia="Arial" w:hAnsi="Arial"/>
                <w:sz w:val="18"/>
                <w:szCs w:val="18"/>
                <w:color w:val="auto"/>
                <w:w w:val="90"/>
              </w:rPr>
              <w:t>Table 1: Newly Registered Securities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6"/>
              </w:rPr>
              <w:t>Proposed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6"/>
              </w:rPr>
              <w:t>Maximum</w:t>
            </w:r>
          </w:p>
        </w:tc>
        <w:tc>
          <w:tcPr>
            <w:tcW w:w="240" w:type="dxa"/>
            <w:vAlign w:val="bottom"/>
          </w:tcPr>
          <w:p>
            <w:pPr>
              <w:spacing w:after="0"/>
              <w:rPr>
                <w:sz w:val="19"/>
                <w:szCs w:val="19"/>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Maximum</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Security</w:t>
            </w: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Security Class</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Fee Calculation</w:t>
            </w:r>
          </w:p>
        </w:tc>
        <w:tc>
          <w:tcPr>
            <w:tcW w:w="15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Offering</w:t>
            </w: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Offering</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85"/>
              <w:spacing w:after="0"/>
              <w:rPr>
                <w:sz w:val="20"/>
                <w:szCs w:val="20"/>
                <w:color w:val="auto"/>
              </w:rPr>
            </w:pPr>
            <w:r>
              <w:rPr>
                <w:rFonts w:ascii="Arial" w:cs="Arial" w:eastAsia="Arial" w:hAnsi="Arial"/>
                <w:sz w:val="18"/>
                <w:szCs w:val="18"/>
                <w:b w:val="1"/>
                <w:bCs w:val="1"/>
                <w:color w:val="auto"/>
                <w:w w:val="97"/>
              </w:rPr>
              <w:t>Amount of</w:t>
            </w:r>
          </w:p>
        </w:tc>
        <w:tc>
          <w:tcPr>
            <w:tcW w:w="0" w:type="dxa"/>
            <w:vAlign w:val="bottom"/>
          </w:tcPr>
          <w:p>
            <w:pPr>
              <w:spacing w:after="0"/>
              <w:rPr>
                <w:sz w:val="1"/>
                <w:szCs w:val="1"/>
                <w:color w:val="auto"/>
              </w:rPr>
            </w:pPr>
          </w:p>
        </w:tc>
      </w:tr>
      <w:tr>
        <w:trPr>
          <w:trHeight w:val="270"/>
        </w:trPr>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Type</w:t>
            </w:r>
          </w:p>
        </w:tc>
        <w:tc>
          <w:tcPr>
            <w:tcW w:w="1400" w:type="dxa"/>
            <w:vAlign w:val="bottom"/>
            <w:gridSpan w:val="3"/>
          </w:tcPr>
          <w:p>
            <w:pPr>
              <w:ind w:left="440"/>
              <w:spacing w:after="0"/>
              <w:rPr>
                <w:sz w:val="20"/>
                <w:szCs w:val="20"/>
                <w:color w:val="auto"/>
              </w:rPr>
            </w:pPr>
            <w:r>
              <w:rPr>
                <w:rFonts w:ascii="Arial" w:cs="Arial" w:eastAsia="Arial" w:hAnsi="Arial"/>
                <w:sz w:val="18"/>
                <w:szCs w:val="18"/>
                <w:b w:val="1"/>
                <w:bCs w:val="1"/>
                <w:color w:val="auto"/>
              </w:rPr>
              <w:t>Title</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Rule</w:t>
            </w:r>
          </w:p>
        </w:tc>
        <w:tc>
          <w:tcPr>
            <w:tcW w:w="1540" w:type="dxa"/>
            <w:vAlign w:val="bottom"/>
            <w:gridSpan w:val="3"/>
          </w:tcPr>
          <w:p>
            <w:pPr>
              <w:jc w:val="right"/>
              <w:ind w:right="440"/>
              <w:spacing w:after="0" w:line="270" w:lineRule="exact"/>
              <w:rPr>
                <w:sz w:val="20"/>
                <w:szCs w:val="20"/>
                <w:color w:val="auto"/>
              </w:rPr>
            </w:pPr>
            <w:r>
              <w:rPr>
                <w:rFonts w:ascii="Arial" w:cs="Arial" w:eastAsia="Arial" w:hAnsi="Arial"/>
                <w:sz w:val="18"/>
                <w:szCs w:val="18"/>
                <w:b w:val="1"/>
                <w:bCs w:val="1"/>
                <w:color w:val="auto"/>
                <w:w w:val="92"/>
              </w:rPr>
              <w:t>Registered</w:t>
            </w:r>
            <w:r>
              <w:rPr>
                <w:rFonts w:ascii="Arial" w:cs="Arial" w:eastAsia="Arial" w:hAnsi="Arial"/>
                <w:sz w:val="29"/>
                <w:szCs w:val="29"/>
                <w:b w:val="1"/>
                <w:bCs w:val="1"/>
                <w:color w:val="auto"/>
                <w:w w:val="92"/>
                <w:vertAlign w:val="superscript"/>
              </w:rPr>
              <w:t>(1)</w:t>
            </w:r>
          </w:p>
        </w:tc>
        <w:tc>
          <w:tcPr>
            <w:tcW w:w="100" w:type="dxa"/>
            <w:vAlign w:val="bottom"/>
          </w:tcPr>
          <w:p>
            <w:pPr>
              <w:spacing w:after="0"/>
              <w:rPr>
                <w:sz w:val="23"/>
                <w:szCs w:val="23"/>
                <w:color w:val="auto"/>
              </w:rPr>
            </w:pPr>
          </w:p>
        </w:tc>
        <w:tc>
          <w:tcPr>
            <w:tcW w:w="1600" w:type="dxa"/>
            <w:vAlign w:val="bottom"/>
            <w:gridSpan w:val="3"/>
          </w:tcPr>
          <w:p>
            <w:pPr>
              <w:jc w:val="center"/>
              <w:ind w:right="320"/>
              <w:spacing w:after="0" w:line="270" w:lineRule="exact"/>
              <w:rPr>
                <w:sz w:val="20"/>
                <w:szCs w:val="20"/>
                <w:color w:val="auto"/>
              </w:rPr>
            </w:pPr>
            <w:r>
              <w:rPr>
                <w:rFonts w:ascii="Arial" w:cs="Arial" w:eastAsia="Arial" w:hAnsi="Arial"/>
                <w:sz w:val="18"/>
                <w:szCs w:val="18"/>
                <w:b w:val="1"/>
                <w:bCs w:val="1"/>
                <w:color w:val="auto"/>
                <w:w w:val="90"/>
              </w:rPr>
              <w:t>Price Per Unit</w:t>
            </w:r>
            <w:r>
              <w:rPr>
                <w:rFonts w:ascii="Arial" w:cs="Arial" w:eastAsia="Arial" w:hAnsi="Arial"/>
                <w:sz w:val="29"/>
                <w:szCs w:val="29"/>
                <w:b w:val="1"/>
                <w:bCs w:val="1"/>
                <w:color w:val="auto"/>
                <w:w w:val="90"/>
                <w:vertAlign w:val="superscript"/>
              </w:rPr>
              <w:t>(2)</w:t>
            </w:r>
          </w:p>
        </w:tc>
        <w:tc>
          <w:tcPr>
            <w:tcW w:w="240" w:type="dxa"/>
            <w:vAlign w:val="bottom"/>
          </w:tcPr>
          <w:p>
            <w:pPr>
              <w:spacing w:after="0"/>
              <w:rPr>
                <w:sz w:val="23"/>
                <w:szCs w:val="23"/>
                <w:color w:val="auto"/>
              </w:rPr>
            </w:pPr>
          </w:p>
        </w:tc>
        <w:tc>
          <w:tcPr>
            <w:tcW w:w="1500" w:type="dxa"/>
            <w:vAlign w:val="bottom"/>
            <w:gridSpan w:val="2"/>
          </w:tcPr>
          <w:p>
            <w:pPr>
              <w:ind w:left="320"/>
              <w:spacing w:after="0"/>
              <w:rPr>
                <w:sz w:val="20"/>
                <w:szCs w:val="20"/>
                <w:color w:val="auto"/>
              </w:rPr>
            </w:pPr>
            <w:r>
              <w:rPr>
                <w:rFonts w:ascii="Arial" w:cs="Arial" w:eastAsia="Arial" w:hAnsi="Arial"/>
                <w:sz w:val="18"/>
                <w:szCs w:val="18"/>
                <w:b w:val="1"/>
                <w:bCs w:val="1"/>
                <w:color w:val="auto"/>
              </w:rPr>
              <w:t>Price</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Fee Rate</w:t>
            </w:r>
          </w:p>
        </w:tc>
        <w:tc>
          <w:tcPr>
            <w:tcW w:w="120" w:type="dxa"/>
            <w:vAlign w:val="bottom"/>
          </w:tcPr>
          <w:p>
            <w:pPr>
              <w:spacing w:after="0"/>
              <w:rPr>
                <w:sz w:val="23"/>
                <w:szCs w:val="23"/>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rPr>
              <w:t>Registration Fee</w:t>
            </w:r>
          </w:p>
        </w:tc>
        <w:tc>
          <w:tcPr>
            <w:tcW w:w="0" w:type="dxa"/>
            <w:vAlign w:val="bottom"/>
          </w:tcPr>
          <w:p>
            <w:pPr>
              <w:spacing w:after="0"/>
              <w:rPr>
                <w:sz w:val="1"/>
                <w:szCs w:val="1"/>
                <w:color w:val="auto"/>
              </w:rPr>
            </w:pPr>
          </w:p>
        </w:tc>
      </w:tr>
      <w:tr>
        <w:trPr>
          <w:trHeight w:val="195"/>
        </w:trPr>
        <w:tc>
          <w:tcPr>
            <w:tcW w:w="840" w:type="dxa"/>
            <w:vAlign w:val="bottom"/>
            <w:tcBorders>
              <w:top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Equity</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ind w:left="60"/>
              <w:spacing w:after="0" w:line="195" w:lineRule="exact"/>
              <w:rPr>
                <w:sz w:val="20"/>
                <w:szCs w:val="20"/>
                <w:color w:val="auto"/>
              </w:rPr>
            </w:pPr>
            <w:r>
              <w:rPr>
                <w:rFonts w:ascii="Arial" w:cs="Arial" w:eastAsia="Arial" w:hAnsi="Arial"/>
                <w:sz w:val="18"/>
                <w:szCs w:val="18"/>
                <w:color w:val="auto"/>
                <w:w w:val="92"/>
              </w:rPr>
              <w:t>Common stock,</w:t>
            </w: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$0.0001 par</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Rule 457(c) and</w:t>
            </w:r>
          </w:p>
        </w:tc>
        <w:tc>
          <w:tcPr>
            <w:tcW w:w="15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5,207,301</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$92.70 per</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value per share</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Rule 457(h)</w:t>
            </w:r>
          </w:p>
        </w:tc>
        <w:tc>
          <w:tcPr>
            <w:tcW w:w="1540" w:type="dxa"/>
            <w:vAlign w:val="bottom"/>
            <w:gridSpan w:val="3"/>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0.75</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3,905,475.75</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$1,000,000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362.04</w:t>
            </w:r>
          </w:p>
        </w:tc>
        <w:tc>
          <w:tcPr>
            <w:tcW w:w="0" w:type="dxa"/>
            <w:vAlign w:val="bottom"/>
          </w:tcPr>
          <w:p>
            <w:pPr>
              <w:spacing w:after="0"/>
              <w:rPr>
                <w:sz w:val="1"/>
                <w:szCs w:val="1"/>
                <w:color w:val="auto"/>
              </w:rPr>
            </w:pPr>
          </w:p>
        </w:tc>
      </w:tr>
      <w:tr>
        <w:trPr>
          <w:trHeight w:val="182"/>
        </w:trPr>
        <w:tc>
          <w:tcPr>
            <w:tcW w:w="96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Equity</w:t>
            </w:r>
          </w:p>
        </w:tc>
        <w:tc>
          <w:tcPr>
            <w:tcW w:w="1400" w:type="dxa"/>
            <w:vAlign w:val="bottom"/>
            <w:gridSpan w:val="3"/>
          </w:tcPr>
          <w:p>
            <w:pPr>
              <w:ind w:left="60"/>
              <w:spacing w:after="0" w:line="182" w:lineRule="exact"/>
              <w:rPr>
                <w:sz w:val="20"/>
                <w:szCs w:val="20"/>
                <w:color w:val="auto"/>
              </w:rPr>
            </w:pPr>
            <w:r>
              <w:rPr>
                <w:rFonts w:ascii="Arial" w:cs="Arial" w:eastAsia="Arial" w:hAnsi="Arial"/>
                <w:sz w:val="18"/>
                <w:szCs w:val="18"/>
                <w:color w:val="auto"/>
              </w:rPr>
              <w:t>Common stock,</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color w:val="auto"/>
              </w:rPr>
              <w:t>$0.0001 par</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Rule 457(c) and</w:t>
            </w:r>
          </w:p>
        </w:tc>
        <w:tc>
          <w:tcPr>
            <w:tcW w:w="154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2,000,000</w:t>
            </w:r>
            <w:r>
              <w:rPr>
                <w:rFonts w:ascii="Arial" w:cs="Arial" w:eastAsia="Arial" w:hAnsi="Arial"/>
                <w:sz w:val="29"/>
                <w:szCs w:val="29"/>
                <w:color w:val="auto"/>
                <w:vertAlign w:val="superscript"/>
              </w:rPr>
              <w:t>(4)</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$92.70 per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color w:val="auto"/>
              </w:rPr>
              <w:t>value per share</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Rule 457(h)</w:t>
            </w:r>
          </w:p>
        </w:tc>
        <w:tc>
          <w:tcPr>
            <w:tcW w:w="1540" w:type="dxa"/>
            <w:vAlign w:val="bottom"/>
            <w:gridSpan w:val="3"/>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0.75</w:t>
            </w:r>
          </w:p>
        </w:tc>
        <w:tc>
          <w:tcPr>
            <w:tcW w:w="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340"/>
              <w:spacing w:after="0"/>
              <w:rPr>
                <w:sz w:val="20"/>
                <w:szCs w:val="20"/>
                <w:color w:val="auto"/>
              </w:rPr>
            </w:pPr>
            <w:r>
              <w:rPr>
                <w:rFonts w:ascii="Arial" w:cs="Arial" w:eastAsia="Arial" w:hAnsi="Arial"/>
                <w:sz w:val="18"/>
                <w:szCs w:val="18"/>
                <w:color w:val="auto"/>
              </w:rPr>
              <w:t>1,500,000.00</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$1,000,000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5"/>
              <w:spacing w:after="0"/>
              <w:rPr>
                <w:sz w:val="20"/>
                <w:szCs w:val="20"/>
                <w:color w:val="auto"/>
              </w:rPr>
            </w:pPr>
            <w:r>
              <w:rPr>
                <w:rFonts w:ascii="Arial" w:cs="Arial" w:eastAsia="Arial" w:hAnsi="Arial"/>
                <w:sz w:val="18"/>
                <w:szCs w:val="18"/>
                <w:color w:val="auto"/>
              </w:rPr>
              <w:t>139.05</w:t>
            </w:r>
          </w:p>
        </w:tc>
        <w:tc>
          <w:tcPr>
            <w:tcW w:w="0" w:type="dxa"/>
            <w:vAlign w:val="bottom"/>
          </w:tcPr>
          <w:p>
            <w:pPr>
              <w:spacing w:after="0"/>
              <w:rPr>
                <w:sz w:val="1"/>
                <w:szCs w:val="1"/>
                <w:color w:val="auto"/>
              </w:rPr>
            </w:pPr>
          </w:p>
        </w:tc>
      </w:tr>
      <w:tr>
        <w:trPr>
          <w:trHeight w:val="210"/>
        </w:trPr>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gridSpan w:val="5"/>
            <w:shd w:val="clear" w:color="auto" w:fill="CCEEFF"/>
          </w:tcPr>
          <w:p>
            <w:pPr>
              <w:jc w:val="center"/>
              <w:ind w:right="920"/>
              <w:spacing w:after="0"/>
              <w:rPr>
                <w:sz w:val="20"/>
                <w:szCs w:val="20"/>
                <w:color w:val="auto"/>
              </w:rPr>
            </w:pPr>
            <w:r>
              <w:rPr>
                <w:rFonts w:ascii="Arial" w:cs="Arial" w:eastAsia="Arial" w:hAnsi="Arial"/>
                <w:sz w:val="18"/>
                <w:szCs w:val="18"/>
                <w:b w:val="1"/>
                <w:bCs w:val="1"/>
                <w:color w:val="auto"/>
                <w:w w:val="92"/>
              </w:rPr>
              <w:t>Total Offering Amounts</w:t>
            </w: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7"/>
              </w:rPr>
              <w:t>5,405,475.75</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gridSpan w:val="5"/>
          </w:tcPr>
          <w:p>
            <w:pPr>
              <w:jc w:val="center"/>
              <w:ind w:right="920"/>
              <w:spacing w:after="0"/>
              <w:rPr>
                <w:sz w:val="20"/>
                <w:szCs w:val="20"/>
                <w:color w:val="auto"/>
              </w:rPr>
            </w:pPr>
            <w:r>
              <w:rPr>
                <w:rFonts w:ascii="Arial" w:cs="Arial" w:eastAsia="Arial" w:hAnsi="Arial"/>
                <w:sz w:val="18"/>
                <w:szCs w:val="18"/>
                <w:b w:val="1"/>
                <w:bCs w:val="1"/>
                <w:color w:val="auto"/>
                <w:w w:val="88"/>
              </w:rPr>
              <w:t>Total Fee Offsets</w:t>
            </w: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line="170" w:lineRule="exact"/>
              <w:rPr>
                <w:sz w:val="20"/>
                <w:szCs w:val="20"/>
                <w:color w:val="auto"/>
              </w:rPr>
            </w:pPr>
            <w:r>
              <w:rPr>
                <w:rFonts w:ascii="Arial" w:cs="Arial" w:eastAsia="Arial" w:hAnsi="Arial"/>
                <w:sz w:val="15"/>
                <w:szCs w:val="15"/>
                <w:color w:val="auto"/>
                <w:w w:val="87"/>
              </w:rPr>
              <w:t>(5)</w:t>
            </w:r>
          </w:p>
        </w:tc>
        <w:tc>
          <w:tcPr>
            <w:tcW w:w="0" w:type="dxa"/>
            <w:vAlign w:val="bottom"/>
          </w:tcPr>
          <w:p>
            <w:pPr>
              <w:spacing w:after="0"/>
              <w:rPr>
                <w:sz w:val="1"/>
                <w:szCs w:val="1"/>
                <w:color w:val="auto"/>
              </w:rPr>
            </w:pPr>
          </w:p>
        </w:tc>
      </w:tr>
      <w:tr>
        <w:trPr>
          <w:trHeight w:val="210"/>
        </w:trPr>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3"/>
            <w:shd w:val="clear" w:color="auto" w:fill="CCEEFF"/>
          </w:tcPr>
          <w:p>
            <w:pPr>
              <w:jc w:val="center"/>
              <w:ind w:left="370"/>
              <w:spacing w:after="0"/>
              <w:rPr>
                <w:sz w:val="20"/>
                <w:szCs w:val="20"/>
                <w:color w:val="auto"/>
              </w:rPr>
            </w:pPr>
            <w:r>
              <w:rPr>
                <w:rFonts w:ascii="Arial" w:cs="Arial" w:eastAsia="Arial" w:hAnsi="Arial"/>
                <w:sz w:val="18"/>
                <w:szCs w:val="18"/>
                <w:b w:val="1"/>
                <w:bCs w:val="1"/>
                <w:color w:val="auto"/>
                <w:w w:val="90"/>
              </w:rPr>
              <w:t>Net Fee Due</w:t>
            </w: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20" w:right="20" w:hanging="290"/>
        <w:spacing w:after="0" w:line="257"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shall also cover any additional shares of the Registrant’s common stock that become issuable under the 2014 Equity Incentive Award Plan (the “2014 Plan”), the 2014 Employee Stock Purchase Plan (the “ESPP”) or the 2016 Employee Commencement Incentive Plan by reason of any stock dividend, stock split, recapitalization or similar transaction effected without the Registrant’s receipt of consideration which would increase the number of outstanding shares of common stock.</w:t>
      </w:r>
    </w:p>
    <w:p>
      <w:pPr>
        <w:spacing w:after="0" w:line="25" w:lineRule="exact"/>
        <w:rPr>
          <w:rFonts w:ascii="Arial" w:cs="Arial" w:eastAsia="Arial" w:hAnsi="Arial"/>
          <w:sz w:val="18"/>
          <w:szCs w:val="18"/>
          <w:color w:val="auto"/>
        </w:rPr>
      </w:pPr>
    </w:p>
    <w:p>
      <w:pPr>
        <w:jc w:val="both"/>
        <w:ind w:left="320" w:right="20" w:hanging="290"/>
        <w:spacing w:after="0" w:line="259"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457(h) and Rule 457(c) promulgated under the Securities Act. The proposed maximum offering price per share and the proposed maximum aggregate offering price for shares reserved for future issuance under the 2014 Plan are based on the average of the high and the low price of Registrant’s Common Stock as reported on The Nasdaq Global Market on February 25, 2022.</w:t>
      </w:r>
    </w:p>
    <w:p>
      <w:pPr>
        <w:spacing w:after="0" w:line="24" w:lineRule="exact"/>
        <w:rPr>
          <w:rFonts w:ascii="Arial" w:cs="Arial" w:eastAsia="Arial" w:hAnsi="Arial"/>
          <w:sz w:val="18"/>
          <w:szCs w:val="18"/>
          <w:color w:val="auto"/>
        </w:rPr>
      </w:pPr>
    </w:p>
    <w:p>
      <w:pPr>
        <w:ind w:left="320" w:hanging="290"/>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the shares of the Registrant’s common stock issuable under the 2014 Plan resulting from an annual increase as of January 1, 2022.</w:t>
      </w:r>
    </w:p>
    <w:p>
      <w:pPr>
        <w:spacing w:after="0" w:line="74" w:lineRule="exact"/>
        <w:rPr>
          <w:rFonts w:ascii="Arial" w:cs="Arial" w:eastAsia="Arial" w:hAnsi="Arial"/>
          <w:sz w:val="17"/>
          <w:szCs w:val="17"/>
          <w:color w:val="auto"/>
        </w:rPr>
      </w:pPr>
    </w:p>
    <w:p>
      <w:pPr>
        <w:ind w:left="320" w:right="40" w:hanging="290"/>
        <w:spacing w:after="0" w:line="277"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shares of the Registrant’s common stock issuable under the 2016 Employment Commencement Incentive Plan resulting from an increase as of January 6, 2022.</w:t>
      </w:r>
    </w:p>
    <w:p>
      <w:pPr>
        <w:spacing w:after="0" w:line="8" w:lineRule="exact"/>
        <w:rPr>
          <w:rFonts w:ascii="Arial" w:cs="Arial" w:eastAsia="Arial" w:hAnsi="Arial"/>
          <w:sz w:val="18"/>
          <w:szCs w:val="18"/>
          <w:color w:val="auto"/>
        </w:rPr>
      </w:pPr>
    </w:p>
    <w:p>
      <w:pPr>
        <w:ind w:left="320" w:hanging="290"/>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79E2A9E3"/>
    <w:multiLevelType w:val="hybridMultilevel"/>
    <w:lvl w:ilvl="0">
      <w:lvlJc w:val="left"/>
      <w:lvlText w:val="%1"/>
      <w:numFmt w:val="lowerLetter"/>
      <w:start w:val="1"/>
    </w:lvl>
    <w:lvl w:ilvl="1">
      <w:lvlJc w:val="left"/>
      <w:lvlText w:val="(%2)"/>
      <w:numFmt w:val="decimal"/>
      <w:start w:val="1"/>
    </w:lvl>
  </w:abstractNum>
  <w:abstractNum w:abstractNumId="6">
    <w:nsid w:val="7545E146"/>
    <w:multiLevelType w:val="hybridMultilevel"/>
    <w:lvl w:ilvl="0">
      <w:lvlJc w:val="left"/>
      <w:lvlText w:val="(%1)"/>
      <w:numFmt w:val="lowerLetter"/>
      <w:start w:val="2"/>
    </w:lvl>
    <w:lvl w:ilvl="1">
      <w:lvlJc w:val="left"/>
      <w:lvlText w:val="%2"/>
      <w:numFmt w:val="decimal"/>
      <w:start w:val="1"/>
    </w:lvl>
  </w:abstractNum>
  <w:abstractNum w:abstractNumId="7">
    <w:nsid w:val="515F007C"/>
    <w:multiLevelType w:val="hybridMultilevel"/>
    <w:lvl w:ilvl="0">
      <w:lvlJc w:val="left"/>
      <w:lvlText w:val="(%1)"/>
      <w:numFmt w:val="lowerLetter"/>
      <w:start w:val="8"/>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jpeg"/><Relationship Id="rId42" Type="http://schemas.openxmlformats.org/officeDocument/2006/relationships/image" Target="media/image26.png"/><Relationship Id="rId43" Type="http://schemas.openxmlformats.org/officeDocument/2006/relationships/image" Target="media/image27.jpe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15" Type="http://schemas.openxmlformats.org/officeDocument/2006/relationships/hyperlink" Target="https://www.sec.gov/ix?doc=/Archives/edgar/data/1437402/000162828022004226/ardx-20211231.htm" TargetMode="External"/><Relationship Id="rId16" Type="http://schemas.openxmlformats.org/officeDocument/2006/relationships/hyperlink" Target="http://www.sec.gov/Archives/edgar/data/0001437402/000119312514230441/d740908d8a12b.htm" TargetMode="External"/><Relationship Id="rId19" Type="http://schemas.openxmlformats.org/officeDocument/2006/relationships/hyperlink" Target="http://www.sec.gov/Archives/edgar/data/1437402/000119312514247380/d748616dex31.htm" TargetMode="External"/><Relationship Id="rId20" Type="http://schemas.openxmlformats.org/officeDocument/2006/relationships/hyperlink" Target="http://www.sec.gov/Archives/edgar/data/1437402/000119312514247380/d748616dex32.htm" TargetMode="External"/><Relationship Id="rId21" Type="http://schemas.openxmlformats.org/officeDocument/2006/relationships/hyperlink" Target="http://www.sec.gov/Archives/edgar/data/1437402/000119312514240520/d704770dex42.htm" TargetMode="External"/><Relationship Id="rId22" Type="http://schemas.openxmlformats.org/officeDocument/2006/relationships/hyperlink" Target="http://www.sec.gov/Archives/edgar/data/1437402/000119312514267896/d758186dex993.htm" TargetMode="External"/><Relationship Id="rId23" Type="http://schemas.openxmlformats.org/officeDocument/2006/relationships/hyperlink" Target="http://www.sec.gov/Archives/edgar/data/1437402/000119312516764653/d276142dex991.htm" TargetMode="External"/><Relationship Id="rId24" Type="http://schemas.openxmlformats.org/officeDocument/2006/relationships/hyperlink" Target="http://www.sec.gov/Archives/edgar/data/1437402/000119312514229371/d704770dex106b.htm" TargetMode="External"/><Relationship Id="rId25" Type="http://schemas.openxmlformats.org/officeDocument/2006/relationships/hyperlink" Target="http://www.sec.gov/Archives/edgar/data/1437402/000119312514229371/d704770dex106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2022-03-01T15:22:48Z</dcterms:created>
  <dcterms:modified xsi:type="dcterms:W3CDTF">2022-03-01T15:22:48Z</dcterms:modified>
</cp:coreProperties>
</file>