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Ardelyx,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34175 Ardenwood Blvd, Suite 200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Fremont, CA 94555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3, 2017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</w:t>
      </w:r>
      <w:r>
        <w:rPr>
          <w:rFonts w:ascii="Arial" w:cs="Arial" w:eastAsia="Arial" w:hAnsi="Arial"/>
          <w:sz w:val="15"/>
          <w:szCs w:val="15"/>
          <w:b w:val="1"/>
          <w:bCs w:val="1"/>
          <w:u w:val="single" w:color="auto"/>
          <w:color w:val="auto"/>
        </w:rPr>
        <w:t>IA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 xml:space="preserve">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ectPr>
          <w:pgSz w:w="11900" w:h="16838" w:orient="portrait"/>
          <w:cols w:equalWidth="0" w:num="1">
            <w:col w:w="11380"/>
          </w:cols>
          <w:pgMar w:left="240" w:top="229" w:right="279" w:bottom="1440" w:gutter="0" w:footer="0" w:header="0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Attention: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Ada D. Sarmento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0" w:space="720"/>
            <w:col w:w="9900"/>
          </w:cols>
          <w:pgMar w:left="240" w:top="229" w:right="27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Ardelyx,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S-3 (Registration No. 333-217441)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60" w:space="520"/>
            <w:col w:w="9900"/>
          </w:cols>
          <w:pgMar w:left="240" w:top="229" w:right="27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firstLine="456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Rule 461 of Regulation C of the General Rules and Regulations under the Securities Act of 1933, as amended, we hereby request acceleration by the Securities and Exchange Commission of the effective date of the above-referenced Registration Statement on Form S-3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Registration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Statement</w:t>
      </w:r>
      <w:r>
        <w:rPr>
          <w:rFonts w:ascii="Arial" w:cs="Arial" w:eastAsia="Arial" w:hAnsi="Arial"/>
          <w:sz w:val="18"/>
          <w:szCs w:val="18"/>
          <w:color w:val="auto"/>
        </w:rPr>
        <w:t>”) of Ardelyx, Inc. We respectfully request that the Registration Statement become effective as of 4:00 p.m., Washington, D.C. time, on May 4,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2017, or as soon as practicable thereafter.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Thank you for your assistance in this matter.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Ardelyx,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Elizabeth A. Grammer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4592955</wp:posOffset>
            </wp:positionH>
            <wp:positionV relativeFrom="paragraph">
              <wp:posOffset>14605</wp:posOffset>
            </wp:positionV>
            <wp:extent cx="265874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Elizabeth A. Grammer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 and General Counsel</w:t>
      </w:r>
    </w:p>
    <w:sectPr>
      <w:pgSz w:w="11900" w:h="16838" w:orient="portrait"/>
      <w:cols w:equalWidth="0" w:num="1">
        <w:col w:w="11380"/>
      </w:cols>
      <w:pgMar w:left="240" w:top="229" w:right="2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2019-12-07T09:21:41Z</dcterms:created>
  <dcterms:modified xsi:type="dcterms:W3CDTF">2019-12-07T09:21:41Z</dcterms:modified>
</cp:coreProperties>
</file>