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500" w:space="720"/>
            <w:col w:w="2600" w:space="720"/>
            <w:col w:w="250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263525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ARDX</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4, 2019, Ardelyx, Inc. (the “Company”) entered into an underwriting agreement (the “Underwriting Agreement”) with Citigroup</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Global Markets Inc., Cowen and Company, LLC, SVB Leerink LLC, and Piper Jaffray &amp; Co., as representatives (the “Representatives”) of the several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named therein (collectively, the “Underwriters”), pursuant to which the Company agreed to issue and sell 20,000,000 shares (the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its common stock, par value $0.0001 per share (“Common Stock”), to the Underwriters (the “Offering”). The price to the public in this offering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$6.250 per Share. The Underwriters have agreed to purchase the Shares from the Company pursuant to the Underwriting Agreement at a price of $5.875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 Share. The gross proceeds to the Company from this offering are expected to be $125,000,000, before deducting underwriting discounts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offering expenses payable by the Company. The offering is expected to close on or about December 9, 2019, subject to customary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closing conditions. In addition, under the terms of the Underwriting Agreement, the Company granted the Underwriters the option, for 30 days,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purchase up to 3,000,000 additional shares of Common Stock at the public offering price.</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Offering is being made under a prospectus supplement and related prospectus filed with the Securities and Exchange Commission pursuant to the Company’s effective shelf registration statement on Form S-3, as amended (Registration No. 333-217441).</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Pursuant to the Underwriting Agreement, the Company agreed to indemnify the Underwriters against certain liabilities, including liabilities under the Securities Act of 1933, as amended, or to contribute to payments that the Underwriters may be required to make because of such liabilities. The Company and the Company’s directors and executive officers also agreed not to sell or transfer any Common Stock for 60 days after the date of the Prospectus, as defined in the Underwriting Agreement, without first obtaining the written consent of the Representatives on behalf of the Underwriters, subject to certain exceptions as described in the prospectus supplement.</w:t>
      </w:r>
    </w:p>
    <w:p>
      <w:pPr>
        <w:spacing w:after="0" w:line="188"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A copy of the Underwriting Agreement is attached as Exhibit 1.1 hereto and is incorporated herein by reference. The foregoing descriptions of the Underwriting Agreement and lock-up arrangements do not purport to be complete and are qualified in their entirety by reference to such exhibit.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copy of the opinion of Latham &amp; Watkins LLP relating to the validity of the securities issued in the Offering is filed herewith as Exhibit 5.1.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gridSpan w:val="2"/>
          </w:tcPr>
          <w:p>
            <w:pPr>
              <w:jc w:val="right"/>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0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Underwriting Agreement, dated as of December 4, 2019, among Ardelyx, Inc., Citigroup Global Markets Inc., Cowen and Company</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LLC, SVB Leerink LLC, and Piper Jaffray &amp; Co., as representatives of the underwriters named therein.</w:t>
              </w:r>
            </w:hyperlink>
          </w:p>
        </w:tc>
        <w:tc>
          <w:tcPr>
            <w:tcW w:w="2040" w:type="dxa"/>
            <w:vAlign w:val="bottom"/>
          </w:tcPr>
          <w:p>
            <w:pPr>
              <w:spacing w:after="0"/>
              <w:rPr>
                <w:sz w:val="17"/>
                <w:szCs w:val="17"/>
                <w:color w:val="auto"/>
              </w:rPr>
            </w:pPr>
          </w:p>
        </w:tc>
      </w:tr>
      <w:tr>
        <w:trPr>
          <w:trHeight w:val="304"/>
        </w:trPr>
        <w:tc>
          <w:tcPr>
            <w:tcW w:w="680" w:type="dxa"/>
            <w:vAlign w:val="bottom"/>
            <w:gridSpan w:val="2"/>
          </w:tcPr>
          <w:p>
            <w:pPr>
              <w:jc w:val="right"/>
              <w:ind w:right="270"/>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9560" w:type="dxa"/>
            <w:vAlign w:val="bottom"/>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Opinion of Latham &amp; Watkins LLP.</w:t>
              </w:r>
            </w:hyperlink>
          </w:p>
        </w:tc>
      </w:tr>
      <w:tr>
        <w:trPr>
          <w:trHeight w:val="20"/>
        </w:trPr>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r>
      <w:tr>
        <w:trPr>
          <w:trHeight w:val="304"/>
        </w:trPr>
        <w:tc>
          <w:tcPr>
            <w:tcW w:w="680" w:type="dxa"/>
            <w:vAlign w:val="bottom"/>
            <w:gridSpan w:val="2"/>
          </w:tcPr>
          <w:p>
            <w:pPr>
              <w:jc w:val="right"/>
              <w:ind w:right="270"/>
              <w:spacing w:after="0"/>
              <w:rPr>
                <w:sz w:val="20"/>
                <w:szCs w:val="20"/>
                <w:color w:val="auto"/>
              </w:rPr>
            </w:pPr>
            <w:r>
              <w:rPr>
                <w:rFonts w:ascii="Arial" w:cs="Arial" w:eastAsia="Arial" w:hAnsi="Arial"/>
                <w:sz w:val="18"/>
                <w:szCs w:val="18"/>
                <w:color w:val="auto"/>
                <w:w w:val="85"/>
              </w:rPr>
              <w:t>23.1</w:t>
            </w:r>
          </w:p>
        </w:tc>
        <w:tc>
          <w:tcPr>
            <w:tcW w:w="740" w:type="dxa"/>
            <w:vAlign w:val="bottom"/>
          </w:tcPr>
          <w:p>
            <w:pPr>
              <w:spacing w:after="0"/>
              <w:rPr>
                <w:sz w:val="24"/>
                <w:szCs w:val="24"/>
                <w:color w:val="auto"/>
              </w:rPr>
            </w:pPr>
          </w:p>
        </w:tc>
        <w:tc>
          <w:tcPr>
            <w:tcW w:w="9560" w:type="dxa"/>
            <w:vAlign w:val="bottom"/>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Consent of Latham &amp; Watkins LLP (included in Exhibit 5.1).</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December 5, 2019</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64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Executive Vice President, General Counsel and Secretary</w:t>
      </w:r>
    </w:p>
    <w:p>
      <w:pPr>
        <w:sectPr>
          <w:pgSz w:w="11900" w:h="16838" w:orient="portrait"/>
          <w:cols w:equalWidth="0" w:num="1">
            <w:col w:w="10980"/>
          </w:cols>
          <w:pgMar w:left="440" w:top="270"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in Schedule A hereto</w:t>
      </w:r>
    </w:p>
    <w:p>
      <w:pPr>
        <w:sectPr>
          <w:pgSz w:w="11900" w:h="16838" w:orient="portrait"/>
          <w:cols w:equalWidth="0" w:num="1">
            <w:col w:w="11020"/>
          </w:cols>
          <w:pgMar w:left="440" w:top="121"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10013</w:t>
      </w:r>
    </w:p>
    <w:p>
      <w:pPr>
        <w:spacing w:after="0" w:line="200" w:lineRule="exact"/>
        <w:rPr>
          <w:sz w:val="20"/>
          <w:szCs w:val="20"/>
          <w:color w:val="auto"/>
        </w:rPr>
      </w:pPr>
    </w:p>
    <w:p>
      <w:pPr>
        <w:sectPr>
          <w:pgSz w:w="11900" w:h="16838" w:orient="portrait"/>
          <w:cols w:equalWidth="0" w:num="2">
            <w:col w:w="220" w:space="340"/>
            <w:col w:w="10460"/>
          </w:cols>
          <w:pgMar w:left="440" w:top="121" w:right="4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200" w:lineRule="exact"/>
        <w:rPr>
          <w:sz w:val="20"/>
          <w:szCs w:val="20"/>
          <w:color w:val="auto"/>
        </w:rPr>
      </w:pPr>
    </w:p>
    <w:p>
      <w:pPr>
        <w:sectPr>
          <w:pgSz w:w="11900" w:h="16838" w:orient="portrait"/>
          <w:cols w:equalWidth="0" w:num="2">
            <w:col w:w="220" w:space="340"/>
            <w:col w:w="10460"/>
          </w:cols>
          <w:pgMar w:left="440" w:top="12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One Federal Street, 37</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 02110</w:t>
      </w:r>
    </w:p>
    <w:p>
      <w:pPr>
        <w:spacing w:after="0" w:line="200" w:lineRule="exact"/>
        <w:rPr>
          <w:sz w:val="20"/>
          <w:szCs w:val="20"/>
          <w:color w:val="auto"/>
        </w:rPr>
      </w:pPr>
    </w:p>
    <w:p>
      <w:pPr>
        <w:sectPr>
          <w:pgSz w:w="11900" w:h="16838" w:orient="portrait"/>
          <w:cols w:equalWidth="0" w:num="2">
            <w:col w:w="220" w:space="340"/>
            <w:col w:w="10460"/>
          </w:cols>
          <w:pgMar w:left="440" w:top="12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345 Park Avenue, Suite 1200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10154</w:t>
      </w:r>
    </w:p>
    <w:p>
      <w:pPr>
        <w:spacing w:after="0" w:line="200" w:lineRule="exact"/>
        <w:rPr>
          <w:sz w:val="20"/>
          <w:szCs w:val="20"/>
          <w:color w:val="auto"/>
        </w:rPr>
      </w:pPr>
    </w:p>
    <w:p>
      <w:pPr>
        <w:sectPr>
          <w:pgSz w:w="11900" w:h="16838" w:orient="portrait"/>
          <w:cols w:equalWidth="0" w:num="2">
            <w:col w:w="220" w:space="340"/>
            <w:col w:w="10460"/>
          </w:cols>
          <w:pgMar w:left="440" w:top="121" w:right="4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b w:val="1"/>
          <w:bCs w:val="1"/>
          <w:color w:val="auto"/>
        </w:rPr>
        <w:t xml:space="preserve">Introductory. </w:t>
      </w:r>
      <w:r>
        <w:rPr>
          <w:rFonts w:ascii="Arial" w:cs="Arial" w:eastAsia="Arial" w:hAnsi="Arial"/>
          <w:sz w:val="16"/>
          <w:szCs w:val="16"/>
          <w:color w:val="auto"/>
        </w:rPr>
        <w:t>Ardelyx,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20,000,000 shares of its common stock, par value $0.0001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The 20,000,000 Shares to be sold by the Company are called the “</w:t>
      </w:r>
      <w:r>
        <w:rPr>
          <w:rFonts w:ascii="Arial" w:cs="Arial" w:eastAsia="Arial" w:hAnsi="Arial"/>
          <w:sz w:val="16"/>
          <w:szCs w:val="16"/>
          <w:b w:val="1"/>
          <w:bCs w:val="1"/>
          <w:color w:val="auto"/>
        </w:rPr>
        <w:t>Firm Shares</w:t>
      </w:r>
      <w:r>
        <w:rPr>
          <w:rFonts w:ascii="Arial" w:cs="Arial" w:eastAsia="Arial" w:hAnsi="Arial"/>
          <w:sz w:val="16"/>
          <w:szCs w:val="16"/>
          <w:color w:val="auto"/>
        </w:rPr>
        <w:t>.” In addition, the Company has granted to the Underwriters an option to purchase up to an additional 3,000,000 Shares as provided in Section 2. The additional 3,000,000 Shares to be sold by the Company pursuant to such option are collectively called the “</w:t>
      </w:r>
      <w:r>
        <w:rPr>
          <w:rFonts w:ascii="Arial" w:cs="Arial" w:eastAsia="Arial" w:hAnsi="Arial"/>
          <w:sz w:val="16"/>
          <w:szCs w:val="16"/>
          <w:b w:val="1"/>
          <w:bCs w:val="1"/>
          <w:color w:val="auto"/>
        </w:rPr>
        <w:t>Optional Shares</w:t>
      </w:r>
      <w:r>
        <w:rPr>
          <w:rFonts w:ascii="Arial" w:cs="Arial" w:eastAsia="Arial" w:hAnsi="Arial"/>
          <w:sz w:val="16"/>
          <w:szCs w:val="16"/>
          <w:color w:val="auto"/>
        </w:rPr>
        <w:t>.” The Firm Shares and, if and to the extent such option is exercised, the Optional Shares are collectively called the “</w:t>
      </w:r>
      <w:r>
        <w:rPr>
          <w:rFonts w:ascii="Arial" w:cs="Arial" w:eastAsia="Arial" w:hAnsi="Arial"/>
          <w:sz w:val="16"/>
          <w:szCs w:val="16"/>
          <w:b w:val="1"/>
          <w:bCs w:val="1"/>
          <w:color w:val="auto"/>
        </w:rPr>
        <w:t>Offered Shares</w:t>
      </w:r>
      <w:r>
        <w:rPr>
          <w:rFonts w:ascii="Arial" w:cs="Arial" w:eastAsia="Arial" w:hAnsi="Arial"/>
          <w:sz w:val="16"/>
          <w:szCs w:val="16"/>
          <w:color w:val="auto"/>
        </w:rPr>
        <w:t>.” Citigroup Global Markets Inc. (“</w:t>
      </w:r>
      <w:r>
        <w:rPr>
          <w:rFonts w:ascii="Arial" w:cs="Arial" w:eastAsia="Arial" w:hAnsi="Arial"/>
          <w:sz w:val="16"/>
          <w:szCs w:val="16"/>
          <w:b w:val="1"/>
          <w:bCs w:val="1"/>
          <w:color w:val="auto"/>
        </w:rPr>
        <w:t>Citigroup</w:t>
      </w:r>
      <w:r>
        <w:rPr>
          <w:rFonts w:ascii="Arial" w:cs="Arial" w:eastAsia="Arial" w:hAnsi="Arial"/>
          <w:sz w:val="16"/>
          <w:szCs w:val="16"/>
          <w:color w:val="auto"/>
        </w:rPr>
        <w:t>”), Cowen and Company, LLC (“</w:t>
      </w:r>
      <w:r>
        <w:rPr>
          <w:rFonts w:ascii="Arial" w:cs="Arial" w:eastAsia="Arial" w:hAnsi="Arial"/>
          <w:sz w:val="16"/>
          <w:szCs w:val="16"/>
          <w:b w:val="1"/>
          <w:bCs w:val="1"/>
          <w:color w:val="auto"/>
        </w:rPr>
        <w:t>Cowen</w:t>
      </w:r>
      <w:r>
        <w:rPr>
          <w:rFonts w:ascii="Arial" w:cs="Arial" w:eastAsia="Arial" w:hAnsi="Arial"/>
          <w:sz w:val="16"/>
          <w:szCs w:val="16"/>
          <w:color w:val="auto"/>
        </w:rPr>
        <w:t>”), SVB Leerink LLC (“</w:t>
      </w:r>
      <w:r>
        <w:rPr>
          <w:rFonts w:ascii="Arial" w:cs="Arial" w:eastAsia="Arial" w:hAnsi="Arial"/>
          <w:sz w:val="16"/>
          <w:szCs w:val="16"/>
          <w:b w:val="1"/>
          <w:bCs w:val="1"/>
          <w:color w:val="auto"/>
        </w:rPr>
        <w:t>SVB Leerink</w:t>
      </w:r>
      <w:r>
        <w:rPr>
          <w:rFonts w:ascii="Arial" w:cs="Arial" w:eastAsia="Arial" w:hAnsi="Arial"/>
          <w:sz w:val="16"/>
          <w:szCs w:val="16"/>
          <w:color w:val="auto"/>
        </w:rPr>
        <w:t>”) and Piper Jaffray &amp; Co. (“</w:t>
      </w:r>
      <w:r>
        <w:rPr>
          <w:rFonts w:ascii="Arial" w:cs="Arial" w:eastAsia="Arial" w:hAnsi="Arial"/>
          <w:sz w:val="16"/>
          <w:szCs w:val="16"/>
          <w:b w:val="1"/>
          <w:bCs w:val="1"/>
          <w:color w:val="auto"/>
        </w:rPr>
        <w:t>Piper</w:t>
      </w:r>
      <w:r>
        <w:rPr>
          <w:rFonts w:ascii="Arial" w:cs="Arial" w:eastAsia="Arial" w:hAnsi="Arial"/>
          <w:sz w:val="16"/>
          <w:szCs w:val="16"/>
          <w:color w:val="auto"/>
        </w:rPr>
        <w:t>”) have agreed to act as representatives of the several Underwriters (in such capacity, the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in connection with the offering and sale of the Offered Shares. To the extent there are no additional underwriters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the term “Representatives” as used herein shall mean you, as Underwriters, and the term “Underwriters” shall mean either the singular or the plural, as the context requires.</w:t>
      </w:r>
    </w:p>
    <w:p>
      <w:pPr>
        <w:spacing w:after="0" w:line="160" w:lineRule="exact"/>
        <w:rPr>
          <w:sz w:val="20"/>
          <w:szCs w:val="20"/>
          <w:color w:val="auto"/>
        </w:rPr>
      </w:pPr>
    </w:p>
    <w:p>
      <w:pPr>
        <w:ind w:right="200" w:firstLine="441"/>
        <w:spacing w:after="0" w:line="266" w:lineRule="auto"/>
        <w:rPr>
          <w:sz w:val="20"/>
          <w:szCs w:val="20"/>
          <w:color w:val="auto"/>
        </w:rPr>
      </w:pPr>
      <w:r>
        <w:rPr>
          <w:rFonts w:ascii="Arial" w:cs="Arial" w:eastAsia="Arial" w:hAnsi="Arial"/>
          <w:sz w:val="18"/>
          <w:szCs w:val="18"/>
          <w:color w:val="auto"/>
        </w:rPr>
        <w:t>The Company has prepared and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shelf registration statement on Form S-3, File No. 333-217441, including a base prospectus (the “</w:t>
      </w:r>
      <w:r>
        <w:rPr>
          <w:rFonts w:ascii="Arial" w:cs="Arial" w:eastAsia="Arial" w:hAnsi="Arial"/>
          <w:sz w:val="18"/>
          <w:szCs w:val="18"/>
          <w:b w:val="1"/>
          <w:bCs w:val="1"/>
          <w:color w:val="auto"/>
        </w:rPr>
        <w:t>Base Prospectus</w:t>
      </w:r>
      <w:r>
        <w:rPr>
          <w:rFonts w:ascii="Arial" w:cs="Arial" w:eastAsia="Arial" w:hAnsi="Arial"/>
          <w:sz w:val="18"/>
          <w:szCs w:val="18"/>
          <w:color w:val="auto"/>
        </w:rPr>
        <w:t>”) to be used in connection with the public offering and sale of the Offered Shares. Such registration statement, as amended, including the financial statements, exhibits and</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all documents incorporated or deemed to be incorporated by reference therein and any information deemed to be a part thereof at the time of effectiveness pursuant to Rule 430A or 430B under the Securities Act, is called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Any registration statement filed by the Company pursuant to Rule 462(b) under the Securities Act in connection with the offer and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Offered Shares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 term “Registration Statement” shall include the Rule 462(b) Registration Statement. The preliminary prospectus supplement dated December 4, 2019 describing the Offered Shares and the offering thereof (the “</w:t>
      </w:r>
      <w:r>
        <w:rPr>
          <w:rFonts w:ascii="Arial" w:cs="Arial" w:eastAsia="Arial" w:hAnsi="Arial"/>
          <w:sz w:val="16"/>
          <w:szCs w:val="16"/>
          <w:b w:val="1"/>
          <w:bCs w:val="1"/>
          <w:color w:val="auto"/>
        </w:rPr>
        <w:t>Preliminary Prospectus Supplement</w:t>
      </w:r>
      <w:r>
        <w:rPr>
          <w:rFonts w:ascii="Arial" w:cs="Arial" w:eastAsia="Arial" w:hAnsi="Arial"/>
          <w:sz w:val="16"/>
          <w:szCs w:val="16"/>
          <w:color w:val="auto"/>
        </w:rPr>
        <w:t>”), together with the Base Prospectus,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mean the final prospectus supplement to the Base Prospectus that describes the Offered Shares and the offering thereof (the “</w:t>
      </w:r>
      <w:r>
        <w:rPr>
          <w:rFonts w:ascii="Arial" w:cs="Arial" w:eastAsia="Arial" w:hAnsi="Arial"/>
          <w:sz w:val="16"/>
          <w:szCs w:val="16"/>
          <w:b w:val="1"/>
          <w:bCs w:val="1"/>
          <w:color w:val="auto"/>
        </w:rPr>
        <w:t>Final Prospectus Supplement</w:t>
      </w:r>
      <w:r>
        <w:rPr>
          <w:rFonts w:ascii="Arial" w:cs="Arial" w:eastAsia="Arial" w:hAnsi="Arial"/>
          <w:sz w:val="16"/>
          <w:szCs w:val="16"/>
          <w:color w:val="auto"/>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8:00 p.m. (New York City time) on December 4, 2019.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xml:space="preserve">” means the Preliminary Prospectus, as amended or supplemented immediately prior to the Applicable Time, together with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Offered Shares, including any road show or investor presentations made to investors by the Company (whether in person or electronically); and “</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means the Section 5(d) Written Communication(s) and Marketing Materials listed on Schedule C attached hereto.</w:t>
      </w:r>
    </w:p>
    <w:p>
      <w:pPr>
        <w:spacing w:after="0" w:line="38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right="1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that is or is deemed to be incorporated by reference in the Registration Statement, the Preliminary Prospectus, any preliminary prospectus, the Base Prospectus, or the Prospectus, as the case may be. All references in this Agreement to</w:t>
      </w:r>
    </w:p>
    <w:p>
      <w:pPr>
        <w:spacing w:after="0" w:line="2" w:lineRule="exact"/>
        <w:rPr>
          <w:sz w:val="20"/>
          <w:szCs w:val="20"/>
          <w:color w:val="auto"/>
        </w:rPr>
      </w:pPr>
    </w:p>
    <w:p>
      <w:pPr>
        <w:ind w:firstLine="4"/>
        <w:spacing w:after="0" w:line="273"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and (ii) the Prospectus shall be deemed to include any “electronic Prospectus” provided for use in connection with the offering of the Offered Shares as contemplated by Section 3(n) of this Agreement.</w:t>
      </w:r>
    </w:p>
    <w:p>
      <w:pPr>
        <w:spacing w:after="0" w:line="17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In the event that the Company has or previously had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ind w:right="4400"/>
        <w:spacing w:after="0"/>
        <w:rPr>
          <w:sz w:val="20"/>
          <w:szCs w:val="20"/>
          <w:color w:val="auto"/>
        </w:rPr>
      </w:pPr>
      <w:r>
        <w:rPr>
          <w:rFonts w:ascii="Arial" w:cs="Arial" w:eastAsia="Arial" w:hAnsi="Arial"/>
          <w:sz w:val="18"/>
          <w:szCs w:val="18"/>
          <w:color w:val="auto"/>
        </w:rPr>
        <w:t>The Company hereby confirms its agreement with the Underwriters as follows:</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Section 1. Representations and Warranties of the Company.</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58" w:lineRule="exact"/>
        <w:rPr>
          <w:sz w:val="20"/>
          <w:szCs w:val="20"/>
          <w:color w:val="auto"/>
        </w:rPr>
      </w:pPr>
    </w:p>
    <w:p>
      <w:pPr>
        <w:ind w:firstLine="444"/>
        <w:spacing w:after="0" w:line="270" w:lineRule="auto"/>
        <w:tabs>
          <w:tab w:leader="none" w:pos="69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Registration Requirements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has become effective under the Securities Act. The Company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10-K for the year ended December 31, 2018 (the “</w:t>
      </w:r>
      <w:r>
        <w:rPr>
          <w:rFonts w:ascii="Arial" w:cs="Arial" w:eastAsia="Arial" w:hAnsi="Arial"/>
          <w:sz w:val="17"/>
          <w:szCs w:val="17"/>
          <w:b w:val="1"/>
          <w:bCs w:val="1"/>
          <w:color w:val="auto"/>
        </w:rPr>
        <w:t>Annual Report</w:t>
      </w:r>
      <w:r>
        <w:rPr>
          <w:rFonts w:ascii="Arial" w:cs="Arial" w:eastAsia="Arial" w:hAnsi="Arial"/>
          <w:sz w:val="17"/>
          <w:szCs w:val="17"/>
          <w:color w:val="auto"/>
        </w:rPr>
        <w: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FINRA Conduct Rule 5110(B)(7)(C)(i).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69" w:lineRule="exact"/>
        <w:rPr>
          <w:rFonts w:ascii="Arial" w:cs="Arial" w:eastAsia="Arial" w:hAnsi="Arial"/>
          <w:sz w:val="17"/>
          <w:szCs w:val="17"/>
          <w:b w:val="1"/>
          <w:bCs w:val="1"/>
          <w:color w:val="auto"/>
        </w:rPr>
      </w:pPr>
    </w:p>
    <w:p>
      <w:pPr>
        <w:ind w:right="80" w:firstLine="444"/>
        <w:spacing w:after="0" w:line="291" w:lineRule="auto"/>
        <w:tabs>
          <w:tab w:leader="none" w:pos="70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 filed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9(a) below. There is no contract or other document of a character required to be described in the Registration Statement or Prospectus, or to be filed as an exhibit thereto, which is not described or filed as required (and the Preliminary Prospectus contains in all material respects the same description of the foregoing matters contained in the Prospectus); and the statements in the Preliminary Prospectus and the Prospectus under the headings “Description of Capital Stock” and “Material U.S. Federal Income Tax Consequences to Non-U.S. Holders,” insofar as such statements summarize legal matters, agreements, documents or proceedings discussed therein, are accurate and fair summaries of such legal matters, agreements, documents or proceedings.</w:t>
      </w:r>
    </w:p>
    <w:p>
      <w:pPr>
        <w:spacing w:after="0" w:line="68" w:lineRule="exact"/>
        <w:rPr>
          <w:sz w:val="20"/>
          <w:szCs w:val="20"/>
          <w:color w:val="auto"/>
        </w:rPr>
      </w:pPr>
    </w:p>
    <w:p>
      <w:pPr>
        <w:ind w:firstLine="444"/>
        <w:spacing w:after="0" w:line="287" w:lineRule="auto"/>
        <w:tabs>
          <w:tab w:leader="none" w:pos="68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56" w:lineRule="exact"/>
        <w:rPr>
          <w:rFonts w:ascii="Arial" w:cs="Arial" w:eastAsia="Arial" w:hAnsi="Arial"/>
          <w:sz w:val="16"/>
          <w:szCs w:val="16"/>
          <w:b w:val="1"/>
          <w:bCs w:val="1"/>
          <w:color w:val="auto"/>
        </w:rPr>
      </w:pPr>
    </w:p>
    <w:p>
      <w:pPr>
        <w:ind w:right="120" w:firstLine="444"/>
        <w:spacing w:after="0" w:line="258" w:lineRule="auto"/>
        <w:tabs>
          <w:tab w:leader="none" w:pos="70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Distribution of Offering Material By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later of (i) the expiration or termination of the option granted to the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Underwriters in Section 2, and (ii) the completion of the Underwriters’ distribution of the Offered Shares</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and any Permitted Section 5(d) Communications.</w:t>
      </w:r>
    </w:p>
    <w:p>
      <w:pPr>
        <w:spacing w:after="0" w:line="75" w:lineRule="exact"/>
        <w:rPr>
          <w:rFonts w:ascii="Arial" w:cs="Arial" w:eastAsia="Arial" w:hAnsi="Arial"/>
          <w:sz w:val="18"/>
          <w:szCs w:val="18"/>
          <w:b w:val="1"/>
          <w:bCs w:val="1"/>
          <w:color w:val="auto"/>
        </w:rPr>
      </w:pPr>
    </w:p>
    <w:p>
      <w:pPr>
        <w:ind w:left="680" w:hanging="236"/>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ind w:left="-4" w:right="200" w:firstLine="444"/>
        <w:spacing w:after="0" w:line="261" w:lineRule="auto"/>
        <w:tabs>
          <w:tab w:leader="none" w:pos="662"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71" w:lineRule="exact"/>
        <w:rPr>
          <w:rFonts w:ascii="Arial" w:cs="Arial" w:eastAsia="Arial" w:hAnsi="Arial"/>
          <w:sz w:val="18"/>
          <w:szCs w:val="18"/>
          <w:b w:val="1"/>
          <w:bCs w:val="1"/>
          <w:color w:val="auto"/>
        </w:rPr>
      </w:pPr>
    </w:p>
    <w:p>
      <w:pPr>
        <w:ind w:left="-4" w:right="20" w:firstLine="444"/>
        <w:spacing w:after="0" w:line="266" w:lineRule="auto"/>
        <w:tabs>
          <w:tab w:leader="none" w:pos="692"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68" w:lineRule="exact"/>
        <w:rPr>
          <w:rFonts w:ascii="Arial" w:cs="Arial" w:eastAsia="Arial" w:hAnsi="Arial"/>
          <w:sz w:val="18"/>
          <w:szCs w:val="18"/>
          <w:b w:val="1"/>
          <w:bCs w:val="1"/>
          <w:color w:val="auto"/>
        </w:rPr>
      </w:pPr>
    </w:p>
    <w:p>
      <w:pPr>
        <w:ind w:left="-4" w:right="200" w:firstLine="444"/>
        <w:spacing w:after="0" w:line="293" w:lineRule="auto"/>
        <w:tabs>
          <w:tab w:leader="none" w:pos="702"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disclosed in the Registration Statement, the Time of Sale Prospectus and the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to the respective dates as of which information is given in the Registration Statement, the Time of Sale Prospectus and the Prospectus:</w:t>
      </w:r>
    </w:p>
    <w:p>
      <w:pPr>
        <w:spacing w:after="0" w:line="1" w:lineRule="exact"/>
        <w:rPr>
          <w:rFonts w:ascii="Arial" w:cs="Arial" w:eastAsia="Arial" w:hAnsi="Arial"/>
          <w:sz w:val="16"/>
          <w:szCs w:val="16"/>
          <w:b w:val="1"/>
          <w:bCs w:val="1"/>
          <w:color w:val="auto"/>
        </w:rPr>
      </w:pPr>
    </w:p>
    <w:p>
      <w:pPr>
        <w:ind w:left="-4" w:firstLine="4"/>
        <w:spacing w:after="0" w:line="268" w:lineRule="auto"/>
        <w:tabs>
          <w:tab w:leader="none" w:pos="21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has been no material adverse change, or any development that could be expected to result in a material adverse change, in the condition, financial or otherwise, or in the earnings, business, properties, operations, assets, liabilities or prospects, whether or not arising from transactions in the ordinary course of business, of the Company (any such change being referred to herein as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or has entered into any transactions not in the ordinary course of business; and (iii) there has not been any material decrease in the capital stock or any material increase in any short-term or long-term indebtedness of the Company and there has been no dividend or distribution of any kind declared, paid or made by the Company on any class of capital stock, or any repurchase or redemption by the Company of any class of capital stock.</w:t>
      </w:r>
    </w:p>
    <w:p>
      <w:pPr>
        <w:spacing w:after="0" w:line="69" w:lineRule="exact"/>
        <w:rPr>
          <w:rFonts w:ascii="Arial" w:cs="Arial" w:eastAsia="Arial" w:hAnsi="Arial"/>
          <w:sz w:val="17"/>
          <w:szCs w:val="17"/>
          <w:color w:val="auto"/>
        </w:rPr>
      </w:pPr>
    </w:p>
    <w:p>
      <w:pPr>
        <w:ind w:left="-4" w:firstLine="444"/>
        <w:spacing w:after="0" w:line="274" w:lineRule="auto"/>
        <w:tabs>
          <w:tab w:leader="none" w:pos="652" w:val="left"/>
        </w:tabs>
        <w:numPr>
          <w:ilvl w:val="1"/>
          <w:numId w:val="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Independent Accountants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Ernst &amp; Young LLP, which has expressed its opinion with respect to the financial statements (which term as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65" w:lineRule="exact"/>
        <w:rPr>
          <w:rFonts w:ascii="Arial" w:cs="Arial" w:eastAsia="Arial" w:hAnsi="Arial"/>
          <w:sz w:val="17"/>
          <w:szCs w:val="17"/>
          <w:b w:val="1"/>
          <w:bCs w:val="1"/>
          <w:color w:val="auto"/>
        </w:rPr>
      </w:pPr>
    </w:p>
    <w:p>
      <w:pPr>
        <w:ind w:left="-4" w:firstLine="444"/>
        <w:spacing w:after="0" w:line="291" w:lineRule="auto"/>
        <w:tabs>
          <w:tab w:leader="none" w:pos="662"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consolidated historical financial statements and schedules of the Company included or incorporated by reference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the Time of Sale Prospectus and the Prospectus present fairly the financial condition, results of operations and cash flows of the Company as of the dates and for the periods indicated, comply as to form with the applicable accounting requirements of the Securities Act and have been prepared in conformity with generally accepted accounting principles applied on a consistent basis throughout the periods involved (except as otherwise noted therein). The selected financial data set forth under the caption “Selected Financial Data” in the Registration Statement, the Time of Sale Prospectus and the Prospectus fairly present, on the basis stated in the Registration Statement, the Time of Sale Prospectus and the Prospectus, the information included therein. The interactive data in XBRL included or incorporated by reference in the Registration Statement, the Time of Sale Prospectus and the Prospectus are in compliance in all material respects with the SEC’s published rules, regulations and guidelines applicable thereto.</w:t>
      </w:r>
    </w:p>
    <w:p>
      <w:pPr>
        <w:spacing w:after="0" w:line="9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96"/>
          </w:cols>
          <w:pgMar w:left="444" w:top="270" w:right="459" w:bottom="1440" w:gutter="0" w:footer="0" w:header="0"/>
        </w:sectPr>
      </w:pPr>
    </w:p>
    <w:bookmarkStart w:id="8" w:name="page9"/>
    <w:bookmarkEnd w:id="8"/>
    <w:p>
      <w:pPr>
        <w:ind w:left="-20" w:firstLine="444"/>
        <w:spacing w:after="0" w:line="291" w:lineRule="auto"/>
        <w:tabs>
          <w:tab w:leader="none" w:pos="68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maintains a system of internal accounting controls sufficient to provide reasonable assurance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Time of Sale Prospectus and the Prospectus, the Company’s internal controls over financial reporting are effective to provide reasonable assurance regarding the reliability of financial reporting and the preparation of financial statements for external purposes in accordance with generally accepted accounting principles and the Company is not aware of any material weakness in its internal controls over financial reporting.</w:t>
      </w:r>
    </w:p>
    <w:p>
      <w:pPr>
        <w:spacing w:after="0" w:line="52" w:lineRule="exact"/>
        <w:rPr>
          <w:rFonts w:ascii="Arial" w:cs="Arial" w:eastAsia="Arial" w:hAnsi="Arial"/>
          <w:sz w:val="16"/>
          <w:szCs w:val="16"/>
          <w:b w:val="1"/>
          <w:bCs w:val="1"/>
          <w:color w:val="auto"/>
        </w:rPr>
      </w:pPr>
    </w:p>
    <w:p>
      <w:pPr>
        <w:ind w:left="-20" w:right="260" w:firstLine="444"/>
        <w:spacing w:after="0" w:line="289" w:lineRule="auto"/>
        <w:tabs>
          <w:tab w:leader="none" w:pos="63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 Controls and Procedures; Deficiencies in or Changes to Internal Control Over Financial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maintains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“disclosure controls and procedures” (as such term is defined in Rule 13a-15(e) under the Exchange Act); except as disclosed in the Registration Statement, the Time of Sale Prospectus and the Prospectus, such disclosure controls and procedures are effective.</w:t>
      </w:r>
    </w:p>
    <w:p>
      <w:pPr>
        <w:spacing w:after="0" w:line="50" w:lineRule="exact"/>
        <w:rPr>
          <w:rFonts w:ascii="Arial" w:cs="Arial" w:eastAsia="Arial" w:hAnsi="Arial"/>
          <w:sz w:val="17"/>
          <w:szCs w:val="17"/>
          <w:b w:val="1"/>
          <w:bCs w:val="1"/>
          <w:color w:val="auto"/>
        </w:rPr>
      </w:pPr>
    </w:p>
    <w:p>
      <w:pPr>
        <w:ind w:left="-20" w:right="40" w:firstLine="444"/>
        <w:spacing w:after="0" w:line="255" w:lineRule="auto"/>
        <w:tabs>
          <w:tab w:leader="none" w:pos="7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and Good Standing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 has been duly incorporated and is validly existing as a corporation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and (ii) is duly qualified as a foreign corporation to transact business and is in good standing in the State of California and each other jurisdiction in which such qualification is required, whether by reason of the ownership or leasing of property or the conduct of business, except in the case of clause (ii) above, to the extent such failure to be so qualified or be in good standing would not have a Material Adverse Effect (defined below).</w:t>
      </w:r>
    </w:p>
    <w:p>
      <w:pPr>
        <w:spacing w:after="0" w:line="81" w:lineRule="exact"/>
        <w:rPr>
          <w:rFonts w:ascii="Arial" w:cs="Arial" w:eastAsia="Arial" w:hAnsi="Arial"/>
          <w:sz w:val="18"/>
          <w:szCs w:val="18"/>
          <w:b w:val="1"/>
          <w:bCs w:val="1"/>
          <w:color w:val="auto"/>
        </w:rPr>
      </w:pPr>
    </w:p>
    <w:p>
      <w:pPr>
        <w:ind w:left="680" w:hanging="256"/>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Subsidiaries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 subsidiaries.</w:t>
      </w:r>
    </w:p>
    <w:p>
      <w:pPr>
        <w:spacing w:after="0" w:line="117" w:lineRule="exact"/>
        <w:rPr>
          <w:rFonts w:ascii="Arial" w:cs="Arial" w:eastAsia="Arial" w:hAnsi="Arial"/>
          <w:sz w:val="18"/>
          <w:szCs w:val="18"/>
          <w:b w:val="1"/>
          <w:bCs w:val="1"/>
          <w:color w:val="auto"/>
        </w:rPr>
      </w:pPr>
    </w:p>
    <w:p>
      <w:pPr>
        <w:ind w:left="-20" w:firstLine="444"/>
        <w:spacing w:after="0" w:line="287" w:lineRule="auto"/>
        <w:tabs>
          <w:tab w:leader="none" w:pos="67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the information required to be shown with respect to such plans, arrangements, options and rights.</w:t>
      </w:r>
    </w:p>
    <w:p>
      <w:pPr>
        <w:spacing w:after="0" w:line="60" w:lineRule="exact"/>
        <w:rPr>
          <w:rFonts w:ascii="Arial" w:cs="Arial" w:eastAsia="Arial" w:hAnsi="Arial"/>
          <w:sz w:val="16"/>
          <w:szCs w:val="16"/>
          <w:b w:val="1"/>
          <w:bCs w:val="1"/>
          <w:color w:val="auto"/>
        </w:rPr>
      </w:pPr>
    </w:p>
    <w:p>
      <w:pPr>
        <w:ind w:left="-20" w:right="300" w:firstLine="444"/>
        <w:spacing w:after="0" w:line="261" w:lineRule="auto"/>
        <w:tabs>
          <w:tab w:leader="none" w:pos="68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Non-Contravention of Existing Instruments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not in violation of its charter or bylaws, partnership agreement or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or similar organizational documents, as applicable, or is in default (or, with the giving of notice or lapse of time, would be in default) (“</w:t>
      </w:r>
      <w:r>
        <w:rPr>
          <w:rFonts w:ascii="Arial" w:cs="Arial" w:eastAsia="Arial" w:hAnsi="Arial"/>
          <w:sz w:val="18"/>
          <w:szCs w:val="18"/>
          <w:b w:val="1"/>
          <w:bCs w:val="1"/>
          <w:color w:val="auto"/>
        </w:rPr>
        <w:t>Default</w:t>
      </w:r>
      <w:r>
        <w:rPr>
          <w:rFonts w:ascii="Arial" w:cs="Arial" w:eastAsia="Arial" w:hAnsi="Arial"/>
          <w:sz w:val="18"/>
          <w:szCs w:val="18"/>
          <w:color w:val="auto"/>
        </w:rPr>
        <w:t>”) under any indenture, loan, credit agreement, note, lease, license agreement, contract, franchise or other instrument (including, without limitation, any pledge agreement, security agreement, mortgage or other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0" w:right="45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instrument or agreement evidencing, guaranteeing, securing or relating to indebtedness) to which the Company is a party or by which it or any of them may be bound, or to which any of their respective properties or assets are subject (each, an “</w:t>
      </w:r>
      <w:r>
        <w:rPr>
          <w:rFonts w:ascii="Arial" w:cs="Arial" w:eastAsia="Arial" w:hAnsi="Arial"/>
          <w:sz w:val="17"/>
          <w:szCs w:val="17"/>
          <w:b w:val="1"/>
          <w:bCs w:val="1"/>
          <w:color w:val="auto"/>
        </w:rPr>
        <w:t>Existing Instrument</w:t>
      </w:r>
      <w:r>
        <w:rPr>
          <w:rFonts w:ascii="Arial" w:cs="Arial" w:eastAsia="Arial" w:hAnsi="Arial"/>
          <w:sz w:val="17"/>
          <w:szCs w:val="17"/>
          <w:color w:val="auto"/>
        </w:rPr>
        <w:t>”), except for such Defaults as could not be expected, individually or in the aggregate, to have a material adverse effect on the condition (financial or other), earnings, business, properties, operations, assets, liabilities or prospects of the Company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except as could not be expected, individually or in the aggregate, to have a Material Adverse Effect and (iii) will not result in any violation of any law, administrative regulation or administrative or court decree applicable to the Company, except as could not be expected, individually or in the aggregate, to have a Material Adverse Effect. As used herein, a “</w:t>
      </w:r>
      <w:r>
        <w:rPr>
          <w:rFonts w:ascii="Arial" w:cs="Arial" w:eastAsia="Arial" w:hAnsi="Arial"/>
          <w:sz w:val="17"/>
          <w:szCs w:val="17"/>
          <w:b w:val="1"/>
          <w:bCs w:val="1"/>
          <w:color w:val="auto"/>
        </w:rPr>
        <w:t>Debt</w:t>
      </w:r>
      <w:r>
        <w:rPr>
          <w:rFonts w:ascii="Arial" w:cs="Arial" w:eastAsia="Arial" w:hAnsi="Arial"/>
          <w:sz w:val="17"/>
          <w:szCs w:val="17"/>
          <w:color w:val="auto"/>
        </w:rPr>
        <w:t xml:space="preserve"> </w:t>
      </w:r>
      <w:r>
        <w:rPr>
          <w:rFonts w:ascii="Arial" w:cs="Arial" w:eastAsia="Arial" w:hAnsi="Arial"/>
          <w:sz w:val="17"/>
          <w:szCs w:val="17"/>
          <w:b w:val="1"/>
          <w:bCs w:val="1"/>
          <w:color w:val="auto"/>
        </w:rPr>
        <w:t>Repayment Triggering Event</w:t>
      </w:r>
      <w:r>
        <w:rPr>
          <w:rFonts w:ascii="Arial" w:cs="Arial" w:eastAsia="Arial" w:hAnsi="Arial"/>
          <w:sz w:val="17"/>
          <w:szCs w:val="17"/>
          <w:color w:val="auto"/>
        </w:rPr>
        <w:t>” means any event or condition which gives, or with the giving of notice or lapse of time would give, the holder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note, debenture or other evidence of indebtedness (or any person acting on such holder’s behalf) the right to require the repurchase, redemption or repayment of all or a portion of such indebtedness by the Company.</w:t>
      </w:r>
    </w:p>
    <w:p>
      <w:pPr>
        <w:spacing w:after="0" w:line="73" w:lineRule="exact"/>
        <w:rPr>
          <w:sz w:val="20"/>
          <w:szCs w:val="20"/>
          <w:color w:val="auto"/>
        </w:rPr>
      </w:pPr>
    </w:p>
    <w:p>
      <w:pPr>
        <w:ind w:right="20" w:firstLine="444"/>
        <w:spacing w:after="0" w:line="276" w:lineRule="auto"/>
        <w:tabs>
          <w:tab w:leader="none" w:pos="706"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Further Authorizations or Approvals Required. </w:t>
      </w:r>
      <w:r>
        <w:rPr>
          <w:rFonts w:ascii="Arial" w:cs="Arial" w:eastAsia="Arial" w:hAnsi="Arial"/>
          <w:sz w:val="17"/>
          <w:szCs w:val="17"/>
          <w:color w:val="auto"/>
        </w:rPr>
        <w:t>No consent, approval, authorization or other order of, or registration or filing with,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w:t>
      </w:r>
    </w:p>
    <w:p>
      <w:pPr>
        <w:spacing w:after="0" w:line="64" w:lineRule="exact"/>
        <w:rPr>
          <w:rFonts w:ascii="Arial" w:cs="Arial" w:eastAsia="Arial" w:hAnsi="Arial"/>
          <w:sz w:val="17"/>
          <w:szCs w:val="17"/>
          <w:b w:val="1"/>
          <w:bCs w:val="1"/>
          <w:color w:val="auto"/>
        </w:rPr>
      </w:pPr>
    </w:p>
    <w:p>
      <w:pPr>
        <w:ind w:right="400" w:firstLine="444"/>
        <w:spacing w:after="0" w:line="277" w:lineRule="auto"/>
        <w:tabs>
          <w:tab w:leader="none" w:pos="68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is not in violation of any laws, rules or regulations applicable to it, except where failure to be so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could not be expected, individually or in the aggregate, to have a Material Adverse Effect.</w:t>
      </w:r>
    </w:p>
    <w:p>
      <w:pPr>
        <w:spacing w:after="0" w:line="58" w:lineRule="exact"/>
        <w:rPr>
          <w:rFonts w:ascii="Arial" w:cs="Arial" w:eastAsia="Arial" w:hAnsi="Arial"/>
          <w:sz w:val="18"/>
          <w:szCs w:val="18"/>
          <w:b w:val="1"/>
          <w:bCs w:val="1"/>
          <w:color w:val="auto"/>
        </w:rPr>
      </w:pPr>
    </w:p>
    <w:p>
      <w:pPr>
        <w:ind w:right="100" w:firstLine="444"/>
        <w:spacing w:after="0" w:line="261" w:lineRule="auto"/>
        <w:tabs>
          <w:tab w:leader="none" w:pos="6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Actions or Proceedings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action, suit or proceeding by or before any court or governmental agency, authority or body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arbitrator involving the Company or its property is pending or, to the best knowledge of the Company, threatened that will have a Material Adverse Effect, whether or not arising from transactions in the ordinary course of business, except as set forth in or contemplated in the Time of Sale Prospectus and the Prospectus (exclusive of any supplement thereto).</w:t>
      </w:r>
    </w:p>
    <w:p>
      <w:pPr>
        <w:spacing w:after="0" w:line="71" w:lineRule="exact"/>
        <w:rPr>
          <w:rFonts w:ascii="Arial" w:cs="Arial" w:eastAsia="Arial" w:hAnsi="Arial"/>
          <w:sz w:val="18"/>
          <w:szCs w:val="18"/>
          <w:b w:val="1"/>
          <w:bCs w:val="1"/>
          <w:color w:val="auto"/>
        </w:rPr>
      </w:pPr>
    </w:p>
    <w:p>
      <w:pPr>
        <w:ind w:right="120" w:firstLine="444"/>
        <w:spacing w:after="0" w:line="255" w:lineRule="auto"/>
        <w:tabs>
          <w:tab w:leader="none" w:pos="66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Intellectual Property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set forth in or contemplated in the Time of Sale Prospectus and the Prospectus, the Company owns,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possesses, licenses or has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8"/>
          <w:szCs w:val="18"/>
          <w:b w:val="1"/>
          <w:bCs w:val="1"/>
          <w:color w:val="auto"/>
        </w:rPr>
        <w:t>Intellectual Property</w:t>
      </w:r>
      <w:r>
        <w:rPr>
          <w:rFonts w:ascii="Arial" w:cs="Arial" w:eastAsia="Arial" w:hAnsi="Arial"/>
          <w:sz w:val="18"/>
          <w:szCs w:val="18"/>
          <w:color w:val="auto"/>
        </w:rPr>
        <w:t>”) necessary for the conduct of the Company’s business as now conducted or as proposed in the Prospectus to be conducted (the “</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Except as set forth in the Preliminary Prospectus and the Prospectus, (a) to the knowledge of the Company, there are no rights of third parties to any Company Intellectual Property, other than as licensed by the Company; (b) to the knowledge of the Company, there is no infringement by third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 w:name="page11"/>
    <w:bookmarkEnd w:id="1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of any Company Intellectual Property, (c) there is no pending or, to the Company’s best knowledge, threatened action, suit, proceeding or claim by others challenging the Company’s rights in or to any Company Intellectual Property, and the Company is unaware of any facts which would form a reasonable basis for any such claim; (d) there is no pending or, to the Company’s best knowledge, threatened action, suit, proceeding or claim by others challenging the validity or scope of any Company Intellectual Property, and the Company is unaware of any facts which would form a reasonable basis for any such claim; (e) there is no pending or, to the Company’s knowledge, threatened action, suit, proceeding or claim by others that the Company infringes or otherwise violates any patent, trademark, copyright, trade secret or other proprietary rights of others, and, to the Company’s best knowledge, neither the sale nor use of any products or proposed products of the Company referred to in the Registration Statement, Time of Sale Prospectus and Prospectus do or will, infringe or violate any valid patent claim of any third party; and (f) the Company is not aware of any facts required to be disclosed to the U.S. Patent and Trademark Office (“</w:t>
      </w:r>
      <w:r>
        <w:rPr>
          <w:rFonts w:ascii="Arial" w:cs="Arial" w:eastAsia="Arial" w:hAnsi="Arial"/>
          <w:sz w:val="17"/>
          <w:szCs w:val="17"/>
          <w:b w:val="1"/>
          <w:bCs w:val="1"/>
          <w:color w:val="auto"/>
        </w:rPr>
        <w:t>USPTO</w:t>
      </w:r>
      <w:r>
        <w:rPr>
          <w:rFonts w:ascii="Arial" w:cs="Arial" w:eastAsia="Arial" w:hAnsi="Arial"/>
          <w:sz w:val="17"/>
          <w:szCs w:val="17"/>
          <w:color w:val="auto"/>
        </w:rPr>
        <w:t>”) which have not been disclosed to the USPTO and which would preclude the grant of a patent in connection with any patent application of the Company Intellectual Property or could form the basis of a finding of invalidity with respect to any issued patents of the Company Intellectual Property.</w:t>
      </w:r>
    </w:p>
    <w:p>
      <w:pPr>
        <w:spacing w:after="0" w:line="71" w:lineRule="exact"/>
        <w:rPr>
          <w:sz w:val="20"/>
          <w:szCs w:val="20"/>
          <w:color w:val="auto"/>
        </w:rPr>
      </w:pPr>
    </w:p>
    <w:p>
      <w:pPr>
        <w:ind w:right="80" w:firstLine="444"/>
        <w:spacing w:after="0" w:line="268" w:lineRule="auto"/>
        <w:tabs>
          <w:tab w:leader="none" w:pos="706"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Cybersecurity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information technology and computer systems, networks, hardware, software, internet web sites, data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databases (including the data of their respective customers, employees, suppliers, vendors and any third party data maintained by or on behalf of them), equipment or technology (collectively, “</w:t>
      </w:r>
      <w:r>
        <w:rPr>
          <w:rFonts w:ascii="Arial" w:cs="Arial" w:eastAsia="Arial" w:hAnsi="Arial"/>
          <w:sz w:val="17"/>
          <w:szCs w:val="17"/>
          <w:b w:val="1"/>
          <w:bCs w:val="1"/>
          <w:color w:val="auto"/>
        </w:rPr>
        <w:t>IT Systems and Data</w:t>
      </w:r>
      <w:r>
        <w:rPr>
          <w:rFonts w:ascii="Arial" w:cs="Arial" w:eastAsia="Arial" w:hAnsi="Arial"/>
          <w:sz w:val="17"/>
          <w:szCs w:val="17"/>
          <w:color w:val="auto"/>
        </w:rPr>
        <w:t>”) are adequate for, and operate and perform in all material respects as required in connection with, the operation of the business of the Company as currently conducted, except as would not reasonably be expected to have a Material Adverse Effect. The Company and its former subsidiaries have implemented and maintained commercially reasonable information technology, information security, cyber security and data protection controls, policies and procedures, including to protect and prevent security breaches of, unauthorized access to and other compromises of IT Systems and Data. The Company has no knowledge of, and are not currently investigating, any cyber attack, security breach, unauthorized access or other compromise to their IT Systems and Data, which attack, breach, unauthorized access or compromise could reasonably be expected to have a Material Adverse Effect. The Company is presently, and at all prior times the Company and its former subsidiaries were, in compliance with all applicable laws or statutes and, to the knowledge of the Company, all judgments, orders, rules and regulations of any court or arbitrator or governmental or regulatory authority, internal policies and contractual obligations to which the Company is and its former subsidiaries were subject relating to the privacy and security of IT Systems and Data and to the protection of such IT Systems and Data from unauthorized use, access, misappropriation or modification, except as would not, individually or in the aggregate, reasonably be expected to have a material adverse effect on the Company.</w:t>
      </w:r>
    </w:p>
    <w:p>
      <w:pPr>
        <w:spacing w:after="0" w:line="81" w:lineRule="exact"/>
        <w:rPr>
          <w:rFonts w:ascii="Arial" w:cs="Arial" w:eastAsia="Arial" w:hAnsi="Arial"/>
          <w:sz w:val="17"/>
          <w:szCs w:val="17"/>
          <w:b w:val="1"/>
          <w:bCs w:val="1"/>
          <w:color w:val="auto"/>
        </w:rPr>
      </w:pPr>
    </w:p>
    <w:p>
      <w:pPr>
        <w:ind w:firstLine="444"/>
        <w:spacing w:after="0" w:line="288" w:lineRule="auto"/>
        <w:tabs>
          <w:tab w:leader="none" w:pos="69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Data Privacy Laws</w:t>
      </w:r>
      <w:r>
        <w:rPr>
          <w:rFonts w:ascii="Arial" w:cs="Arial" w:eastAsia="Arial" w:hAnsi="Arial"/>
          <w:sz w:val="16"/>
          <w:szCs w:val="16"/>
          <w:color w:val="auto"/>
        </w:rPr>
        <w:t>. Except as would not, individually or in the aggregate, reasonably be expected to have a material adverse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on the Company, the Company is, and at all prior times the Company and its former subsidiaries were, in compliance with all applicable state and federal data privacy and security laws and regulations, including without limitation HIPAA, and the Company has taken commercially reasonable actions to prepare to comply with, and since May 25, 2018, has been and currently is in compliance with, to the extent applicable, the European Union General Data Protection Regulation (“</w:t>
      </w:r>
      <w:r>
        <w:rPr>
          <w:rFonts w:ascii="Arial" w:cs="Arial" w:eastAsia="Arial" w:hAnsi="Arial"/>
          <w:sz w:val="16"/>
          <w:szCs w:val="16"/>
          <w:b w:val="1"/>
          <w:bCs w:val="1"/>
          <w:color w:val="auto"/>
        </w:rPr>
        <w:t>GDPR</w:t>
      </w:r>
      <w:r>
        <w:rPr>
          <w:rFonts w:ascii="Arial" w:cs="Arial" w:eastAsia="Arial" w:hAnsi="Arial"/>
          <w:sz w:val="16"/>
          <w:szCs w:val="16"/>
          <w:color w:val="auto"/>
        </w:rPr>
        <w:t>”) (EU 2016/679)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The Company has in place, complies with, and takes appropriate steps reasonably designed to ensure compliance in all material respects with its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The Company and its former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former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75" w:lineRule="exact"/>
        <w:rPr>
          <w:sz w:val="20"/>
          <w:szCs w:val="20"/>
          <w:color w:val="auto"/>
        </w:rPr>
      </w:pPr>
    </w:p>
    <w:p>
      <w:pPr>
        <w:ind w:right="160" w:firstLine="444"/>
        <w:spacing w:after="0" w:line="277" w:lineRule="auto"/>
        <w:tabs>
          <w:tab w:leader="none" w:pos="73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All Necessary Permits, etc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possesses all licenses, certificates, permits and other authorizations issued by all applicable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authorities necessary to conduct its business, and the Company has not received any notice of proceedings relating to the revocation or modification of any such certificate, authorization or permit which, singly or in the aggregate, if the subject of an unfavorable decision, ruling or finding, would have a Material Adverse Effect, whether or not arising from transactions in the ordinary course of business, except as set forth in or contemplated in the Time of Sale Prospectus and the Prospectus (exclusive of any supplement thereto).</w:t>
      </w:r>
    </w:p>
    <w:p>
      <w:pPr>
        <w:spacing w:after="0" w:line="60" w:lineRule="exact"/>
        <w:rPr>
          <w:rFonts w:ascii="Arial" w:cs="Arial" w:eastAsia="Arial" w:hAnsi="Arial"/>
          <w:sz w:val="17"/>
          <w:szCs w:val="17"/>
          <w:b w:val="1"/>
          <w:bCs w:val="1"/>
          <w:color w:val="auto"/>
        </w:rPr>
      </w:pPr>
    </w:p>
    <w:p>
      <w:pPr>
        <w:ind w:firstLine="444"/>
        <w:spacing w:after="0" w:line="255" w:lineRule="auto"/>
        <w:tabs>
          <w:tab w:leader="none" w:pos="69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Title to Properties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issue and sale of the Shares nor the consummation of any other of the transactions herein contemplated nor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the terms hereof will conflict with, result in a breach or violation of, or imposition of any lien, charge or encumbrance upon any property or assets of the Company pursuant to, (i) the charter or bylaws of the Company, (ii) the terms of any indenture, contract, lease, mortgage, deed of trust, note agreement, loan agreement or other agreement, obligation, condition, covenant or instrument to which the Company is a party or bound or to which its or their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clauses (ii) and (iii) above, for any conflict, breach or violation of, or imposition that would not, individually or in the aggregate, have a Material Adverse Effect.</w:t>
      </w:r>
    </w:p>
    <w:p>
      <w:pPr>
        <w:spacing w:after="0" w:line="77" w:lineRule="exact"/>
        <w:rPr>
          <w:rFonts w:ascii="Arial" w:cs="Arial" w:eastAsia="Arial" w:hAnsi="Arial"/>
          <w:sz w:val="18"/>
          <w:szCs w:val="18"/>
          <w:b w:val="1"/>
          <w:bCs w:val="1"/>
          <w:color w:val="auto"/>
        </w:rPr>
      </w:pPr>
    </w:p>
    <w:p>
      <w:pPr>
        <w:ind w:right="40" w:firstLine="444"/>
        <w:spacing w:after="0" w:line="255" w:lineRule="auto"/>
        <w:tabs>
          <w:tab w:leader="none" w:pos="69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Law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filed all tax returns that are required to be filed or has requested extensions thereof (except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 in which the failure so to file would not have a Material Adverse Effect, whether or not arising from transactions in the ordinary course of business, except as set forth in or contemplated in the Time of Sale Prospectus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whether or not arising from transactions in the ordinary course of business, except as set forth in or contemplated in the Time of Sale Prospectus and the Prospectus (exclusive of any supplement thereto).</w:t>
      </w:r>
    </w:p>
    <w:p>
      <w:pPr>
        <w:spacing w:after="0" w:line="81" w:lineRule="exact"/>
        <w:rPr>
          <w:rFonts w:ascii="Arial" w:cs="Arial" w:eastAsia="Arial" w:hAnsi="Arial"/>
          <w:sz w:val="18"/>
          <w:szCs w:val="18"/>
          <w:b w:val="1"/>
          <w:bCs w:val="1"/>
          <w:color w:val="auto"/>
        </w:rPr>
      </w:pPr>
    </w:p>
    <w:p>
      <w:pPr>
        <w:ind w:right="60" w:firstLine="444"/>
        <w:spacing w:after="0" w:line="271" w:lineRule="auto"/>
        <w:tabs>
          <w:tab w:leader="none" w:pos="68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insured by insurers of recognized financial responsibility against such losses and risks and in such amounts as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reasonable and customary in the business in which it is engaged; all policies of insurance and fidelity or surety bonds insuring the Company or its businesses, assets,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 whether or not arising from transactions in the ordinary course of business, except as set forth in or contemplated in the Time of Sale Prospectus and the Prospectus (exclusive of any supplement thereto).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 w:name="page13"/>
    <w:bookmarkEnd w:id="12"/>
    <w:p>
      <w:pPr>
        <w:ind w:left="-20" w:right="100" w:firstLine="444"/>
        <w:spacing w:after="0" w:line="271" w:lineRule="auto"/>
        <w:tabs>
          <w:tab w:leader="none" w:pos="76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Environmental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 is in compliance with any and all applicable foreign, federal, state and local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has received and is in compliance with all permits, licenses or other approvals required of them under applicable Environmental Laws to conduct its business and (iii) has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whether or not arising from transactions in the ordinary course of business, except as set forth in or contemplated in the Time of Sale Prospectus and the Prospectus (exclusive of any supplement thereto). Except as set forth in the Time of Sale Prospectus and the Prospectus, the Company has not been named as a “potentially responsible party” under the Comprehensive Environmental Response, Compensation, and Liability Act of 1980, as amended.</w:t>
      </w:r>
    </w:p>
    <w:p>
      <w:pPr>
        <w:spacing w:after="0" w:line="66" w:lineRule="exact"/>
        <w:rPr>
          <w:rFonts w:ascii="Arial" w:cs="Arial" w:eastAsia="Arial" w:hAnsi="Arial"/>
          <w:sz w:val="17"/>
          <w:szCs w:val="17"/>
          <w:b w:val="1"/>
          <w:bCs w:val="1"/>
          <w:color w:val="auto"/>
        </w:rPr>
      </w:pPr>
    </w:p>
    <w:p>
      <w:pPr>
        <w:ind w:left="-20" w:firstLine="444"/>
        <w:spacing w:after="0" w:line="273" w:lineRule="auto"/>
        <w:tabs>
          <w:tab w:leader="none" w:pos="78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Periodic Review of Costs of Environmental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ordinary course of its business, the Company periodically reviews the effect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Environmental Laws on the business, operations and properties of the Company,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whether or not arising from transactions in the ordinary course of business, except as set forth in or contemplated in the Time of Sale Prospectus and the Prospectus (exclusive of any supplement thereto).</w:t>
      </w:r>
    </w:p>
    <w:p>
      <w:pPr>
        <w:spacing w:after="0" w:line="64" w:lineRule="exact"/>
        <w:rPr>
          <w:rFonts w:ascii="Arial" w:cs="Arial" w:eastAsia="Arial" w:hAnsi="Arial"/>
          <w:sz w:val="17"/>
          <w:szCs w:val="17"/>
          <w:b w:val="1"/>
          <w:bCs w:val="1"/>
          <w:color w:val="auto"/>
        </w:rPr>
      </w:pPr>
    </w:p>
    <w:p>
      <w:pPr>
        <w:ind w:left="-20" w:firstLine="444"/>
        <w:spacing w:after="0" w:line="268" w:lineRule="auto"/>
        <w:tabs>
          <w:tab w:leader="none" w:pos="74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ERISA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 of the following events has occurred or exists: (i) a failure to fulfill the obligations, if any, under the minimum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funding standards of Section 302 of the United States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and the regulations and published interpretations thereunder with respect to a Plan that is required to be funded,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that could have a Material Adverse Effect; (iii) any breach of any contractual obligation, or any violation of law or applicable qualification standards, with respect to the employment or compensation of employees by the Company that could have a Material Adverse Effect. None of the following events has occurred or is reasonably likely to occur: (i) a material increase in the aggregate amount of contributions required to be made to all Plans in the current fiscal year of the Company compared to the amount of such contributions made in the most recently completed fiscal year of the Company; (ii) a material increase in the “accumulated post-retirement benefit obligations” (within the meaning of Statement of Financial Accounting Standards 106) of the Company compared to the amount of such obligations in the most recently completed fiscal year of the Company; (iii) any event or condition giving rise to a liability under Title IV of ERISA that could have a Material Adverse Effect; or (iv) the filing of a claim by one or more employees or former employees of the Company related to their employment that could have a Material Adverse Effect. For purposes of this paragraph, the term “Plan” means a plan (within the meaning of Section 3(3) of ERISA) subject to Title IV of ERISA with respect to which the Company may have any liability.</w:t>
      </w:r>
    </w:p>
    <w:p>
      <w:pPr>
        <w:spacing w:after="0" w:line="79" w:lineRule="exact"/>
        <w:rPr>
          <w:rFonts w:ascii="Arial" w:cs="Arial" w:eastAsia="Arial" w:hAnsi="Arial"/>
          <w:sz w:val="17"/>
          <w:szCs w:val="17"/>
          <w:b w:val="1"/>
          <w:bCs w:val="1"/>
          <w:color w:val="auto"/>
        </w:rPr>
      </w:pPr>
    </w:p>
    <w:p>
      <w:pPr>
        <w:ind w:left="-20" w:right="220" w:firstLine="444"/>
        <w:spacing w:after="0" w:line="259" w:lineRule="auto"/>
        <w:tabs>
          <w:tab w:leader="none" w:pos="78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Not an “Investment Company.” </w:t>
      </w:r>
      <w:r>
        <w:rPr>
          <w:rFonts w:ascii="Arial" w:cs="Arial" w:eastAsia="Arial" w:hAnsi="Arial"/>
          <w:sz w:val="18"/>
          <w:szCs w:val="18"/>
          <w:color w:val="auto"/>
        </w:rPr>
        <w:t>The Company is not, and will not be, either after receipt of payment for the Offered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0" w:right="439" w:bottom="1440" w:gutter="0" w:footer="0" w:header="0"/>
        </w:sectPr>
      </w:pPr>
    </w:p>
    <w:bookmarkStart w:id="13" w:name="page14"/>
    <w:bookmarkEnd w:id="13"/>
    <w:p>
      <w:pPr>
        <w:ind w:left="-4" w:right="60" w:firstLine="444"/>
        <w:spacing w:after="0" w:line="281" w:lineRule="auto"/>
        <w:tabs>
          <w:tab w:leader="none" w:pos="761"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Price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not taken, directly or indirectly, any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or that might cause or result in stabilization or manipulation of the price of the Shares or of any “reference security” (as defined in Rule 100 of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with respect to the Shares, whether to facilitate the sale or resale of the Offered Shares or otherwise, and has taken no action which would directly or indirectly violate Regulation M.</w:t>
      </w:r>
    </w:p>
    <w:p>
      <w:pPr>
        <w:spacing w:after="0" w:line="56" w:lineRule="exact"/>
        <w:rPr>
          <w:rFonts w:ascii="Arial" w:cs="Arial" w:eastAsia="Arial" w:hAnsi="Arial"/>
          <w:sz w:val="17"/>
          <w:szCs w:val="17"/>
          <w:b w:val="1"/>
          <w:bCs w:val="1"/>
          <w:color w:val="auto"/>
        </w:rPr>
      </w:pPr>
    </w:p>
    <w:p>
      <w:pPr>
        <w:jc w:val="both"/>
        <w:ind w:left="-4" w:right="60" w:firstLine="444"/>
        <w:spacing w:after="0" w:line="289" w:lineRule="auto"/>
        <w:tabs>
          <w:tab w:leader="none" w:pos="722"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demographic and market-related data included in the Registration Statement, the Time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 Prospectus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50" w:lineRule="exact"/>
        <w:rPr>
          <w:rFonts w:ascii="Arial" w:cs="Arial" w:eastAsia="Arial" w:hAnsi="Arial"/>
          <w:sz w:val="17"/>
          <w:szCs w:val="17"/>
          <w:b w:val="1"/>
          <w:bCs w:val="1"/>
          <w:color w:val="auto"/>
        </w:rPr>
      </w:pPr>
    </w:p>
    <w:p>
      <w:pPr>
        <w:ind w:left="-4" w:right="100" w:firstLine="444"/>
        <w:spacing w:after="0" w:line="289" w:lineRule="auto"/>
        <w:tabs>
          <w:tab w:leader="none" w:pos="782"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Unlawful Contributions or Other Payments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to the best of the Company’s knowledge, any employee or agent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50" w:lineRule="exact"/>
        <w:rPr>
          <w:rFonts w:ascii="Arial" w:cs="Arial" w:eastAsia="Arial" w:hAnsi="Arial"/>
          <w:sz w:val="17"/>
          <w:szCs w:val="17"/>
          <w:b w:val="1"/>
          <w:bCs w:val="1"/>
          <w:color w:val="auto"/>
        </w:rPr>
      </w:pPr>
    </w:p>
    <w:p>
      <w:pPr>
        <w:ind w:left="-4" w:firstLine="444"/>
        <w:spacing w:after="0" w:line="285" w:lineRule="auto"/>
        <w:tabs>
          <w:tab w:leader="none" w:pos="802"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Anti-Corruption and Anti-Bribery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former subsidiaries nor any director, officer, or employee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any of its former subsidiaries, nor to the knowledge of the Company, any agent, affiliate or other person acting on behalf of the Company or any of its former subsidiaries has, in the course of its actions for, or on behalf of, the Company or any of its former subsidiaries (i) used any corporate funds for any unlawful contribution, gift, entertainment or other unlawful expenses relating to political activity; (ii) made, offered, promised, or authorized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3" w:lineRule="exact"/>
        <w:rPr>
          <w:rFonts w:ascii="Arial" w:cs="Arial" w:eastAsia="Arial" w:hAnsi="Arial"/>
          <w:sz w:val="16"/>
          <w:szCs w:val="16"/>
          <w:b w:val="1"/>
          <w:bCs w:val="1"/>
          <w:color w:val="auto"/>
        </w:rPr>
      </w:pPr>
    </w:p>
    <w:p>
      <w:pPr>
        <w:ind w:left="-4" w:right="60" w:firstLine="4"/>
        <w:spacing w:after="0" w:line="271" w:lineRule="auto"/>
        <w:tabs>
          <w:tab w:leader="none" w:pos="3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violated or is in violation of any provision of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the UK Bribery Act 2010, or any other applicable anti-bribery or anti-corruption law; or (iv) made, offered, authorize or, requested any unlawful bribe, rebate, payoff, influence payment, kickback or other unlawful payment or benefit. The Company and its former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66" w:lineRule="exact"/>
        <w:rPr>
          <w:rFonts w:ascii="Arial" w:cs="Arial" w:eastAsia="Arial" w:hAnsi="Arial"/>
          <w:sz w:val="17"/>
          <w:szCs w:val="17"/>
          <w:color w:val="auto"/>
        </w:rPr>
      </w:pPr>
    </w:p>
    <w:p>
      <w:pPr>
        <w:ind w:left="-4" w:firstLine="444"/>
        <w:spacing w:after="0" w:line="256" w:lineRule="auto"/>
        <w:tabs>
          <w:tab w:leader="none" w:pos="702"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operations of the Company are, and have been conducted at all times, in compliance with applicable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12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6"/>
          </w:cols>
          <w:pgMar w:left="444" w:top="270" w:right="459" w:bottom="1440" w:gutter="0" w:footer="0" w:header="0"/>
        </w:sectPr>
      </w:pPr>
    </w:p>
    <w:bookmarkStart w:id="14" w:name="page15"/>
    <w:bookmarkEnd w:id="14"/>
    <w:p>
      <w:pPr>
        <w:ind w:left="-20" w:firstLine="444"/>
        <w:spacing w:after="0" w:line="269" w:lineRule="auto"/>
        <w:tabs>
          <w:tab w:leader="none" w:pos="705"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directors or officers, nor, to the knowledge of the Company, after due inquiry, any 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 affiliate or other person acting on behalf of the Company is currently the subject or the target of any U.S. sanctions administered by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former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71" w:lineRule="exact"/>
        <w:rPr>
          <w:rFonts w:ascii="Arial" w:cs="Arial" w:eastAsia="Arial" w:hAnsi="Arial"/>
          <w:sz w:val="17"/>
          <w:szCs w:val="17"/>
          <w:b w:val="1"/>
          <w:bCs w:val="1"/>
          <w:color w:val="auto"/>
        </w:rPr>
      </w:pPr>
    </w:p>
    <w:p>
      <w:pPr>
        <w:ind w:left="-20" w:right="620" w:firstLine="444"/>
        <w:spacing w:after="0" w:line="313" w:lineRule="auto"/>
        <w:tabs>
          <w:tab w:leader="none" w:pos="786"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Brokers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pursuant to this Agreement, there is no broker, finder or other party that is entitled to receive from the Company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brokerage or finder’s fee or other fee or commission as a result of any transactions contemplated by this Agreement.</w:t>
      </w:r>
    </w:p>
    <w:p>
      <w:pPr>
        <w:spacing w:after="0" w:line="34" w:lineRule="exact"/>
        <w:rPr>
          <w:rFonts w:ascii="Arial" w:cs="Arial" w:eastAsia="Arial" w:hAnsi="Arial"/>
          <w:sz w:val="17"/>
          <w:szCs w:val="17"/>
          <w:b w:val="1"/>
          <w:bCs w:val="1"/>
          <w:color w:val="auto"/>
        </w:rPr>
      </w:pPr>
    </w:p>
    <w:p>
      <w:pPr>
        <w:ind w:left="-20" w:right="40" w:firstLine="444"/>
        <w:spacing w:after="0" w:line="284" w:lineRule="auto"/>
        <w:tabs>
          <w:tab w:leader="none" w:pos="68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Products. </w:t>
      </w:r>
      <w:r>
        <w:rPr>
          <w:rFonts w:ascii="Arial" w:cs="Arial" w:eastAsia="Arial" w:hAnsi="Arial"/>
          <w:sz w:val="16"/>
          <w:szCs w:val="16"/>
          <w:color w:val="auto"/>
        </w:rPr>
        <w:t>Except as described in the Registration Statement, the Time of Sale Prospectus and the Prospectus, and except as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individually or in the aggregate, result in a Material Adverse Effect: (i) the Company is and has been in compliance with statutes, laws, ordinances, rules and regulations applicable to the Company for the ownership, testing, development, manufacture, packaging, processing, use, labeling, storage, or disposal of any product manufactured by or on behalf of the Company (a “</w:t>
      </w:r>
      <w:r>
        <w:rPr>
          <w:rFonts w:ascii="Arial" w:cs="Arial" w:eastAsia="Arial" w:hAnsi="Arial"/>
          <w:sz w:val="16"/>
          <w:szCs w:val="16"/>
          <w:b w:val="1"/>
          <w:bCs w:val="1"/>
          <w:color w:val="auto"/>
        </w:rPr>
        <w:t>Company Product</w:t>
      </w:r>
      <w:r>
        <w:rPr>
          <w:rFonts w:ascii="Arial" w:cs="Arial" w:eastAsia="Arial" w:hAnsi="Arial"/>
          <w:sz w:val="16"/>
          <w:szCs w:val="16"/>
          <w:color w:val="auto"/>
        </w:rPr>
        <w:t>”), including without limitation, the Federal Food, Drug, and Cosmetic Act, 21 U.S.C. § 301, et seq., the Public Health Service Act, 42 U.S.C. § 262, similar laws of other governmental entities and regulatory agencies outside of the United States to which the Company is subject (the “</w:t>
      </w:r>
      <w:r>
        <w:rPr>
          <w:rFonts w:ascii="Arial" w:cs="Arial" w:eastAsia="Arial" w:hAnsi="Arial"/>
          <w:sz w:val="16"/>
          <w:szCs w:val="16"/>
          <w:b w:val="1"/>
          <w:bCs w:val="1"/>
          <w:color w:val="auto"/>
        </w:rPr>
        <w:t>Governmental Entities</w:t>
      </w:r>
      <w:r>
        <w:rPr>
          <w:rFonts w:ascii="Arial" w:cs="Arial" w:eastAsia="Arial" w:hAnsi="Arial"/>
          <w:sz w:val="16"/>
          <w:szCs w:val="16"/>
          <w:color w:val="auto"/>
        </w:rPr>
        <w:t>”) and the regulations promulgated pursuant to such laws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(ii) the Company possesses all licenses, certificates, approvals, authorizations, permits and supplements or amendments thereto required by any such Applicable Laws and/or for the ownership of its properties or the conduct of its business as it relates to a Company Product and as described in the Registration Statement, the Time of Sale Prospectus and the Prospectus (collectively, “</w:t>
      </w:r>
      <w:r>
        <w:rPr>
          <w:rFonts w:ascii="Arial" w:cs="Arial" w:eastAsia="Arial" w:hAnsi="Arial"/>
          <w:sz w:val="16"/>
          <w:szCs w:val="16"/>
          <w:b w:val="1"/>
          <w:bCs w:val="1"/>
          <w:color w:val="auto"/>
        </w:rPr>
        <w:t>Authorizations</w:t>
      </w:r>
      <w:r>
        <w:rPr>
          <w:rFonts w:ascii="Arial" w:cs="Arial" w:eastAsia="Arial" w:hAnsi="Arial"/>
          <w:sz w:val="16"/>
          <w:szCs w:val="16"/>
          <w:color w:val="auto"/>
        </w:rPr>
        <w:t>”) and such Authorizations are valid and in full force and effect and the Company is not in violation of any term of any such Authorizations; (iii) the Company has not received any written notice of adverse finding, warning letter or other written correspondence or notice from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or any other Governmental Entity alleging or asserting noncompliance with any Applicable Laws or Authorizations relating to a Company Product; (iv) the Company has not received written notice of any ongoing claim, action, suit, proceeding, hearing, enforcement, investigation, arbitration or other action from any Governmental Entity or third party alleging that any Company Product, operation or activity related to a Company Product is in violation of any Applicable Laws or Authorizations or has any knowledge that any such Governmental Entity or third party is considering any such claim, litigation, arbitration, action, suit, investigation or proceeding, nor, to the best of the Company’s knowledge, has there been any noncompliance with or violation of any Applicable Laws by the Company that could reasonably be expected to require the issuance of any such written notice or result in an investigation, corrective action, or enforcement action by FDA or similar Governmental Entity with respect to a Company Product; (v) the Company has not received written notice that any Governmental Entity has taken, is taking or intends to take action to limit, suspend, modify or revoke any Authorizations or has any knowledge that any such Governmental Entity has threatened or is considering such action with respect to a Company Product;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0" w:right="439" w:bottom="1440" w:gutter="0" w:footer="0" w:header="0"/>
        </w:sectPr>
      </w:pPr>
    </w:p>
    <w:bookmarkStart w:id="15" w:name="page16"/>
    <w:bookmarkEnd w:id="1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were complete, correct and not misleading on the date filed (or were corrected or supplemented by a subsequent submission). To the Company’s knowledge, neither the Company nor any of its directors, officers, employees or agents, has made, or caused the making of, any false statements on, or material omissions from, any other records or documentation prepared or maintained to comply with the requirements of the FDA or any other Governmental Entity.</w:t>
      </w:r>
    </w:p>
    <w:p>
      <w:pPr>
        <w:spacing w:after="0" w:line="79" w:lineRule="exact"/>
        <w:rPr>
          <w:sz w:val="20"/>
          <w:szCs w:val="20"/>
          <w:color w:val="auto"/>
        </w:rPr>
      </w:pPr>
    </w:p>
    <w:p>
      <w:pPr>
        <w:ind w:firstLine="444"/>
        <w:spacing w:after="0" w:line="270" w:lineRule="auto"/>
        <w:tabs>
          <w:tab w:leader="none" w:pos="905"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Clinical Studies</w:t>
      </w:r>
      <w:r>
        <w:rPr>
          <w:rFonts w:ascii="Arial" w:cs="Arial" w:eastAsia="Arial" w:hAnsi="Arial"/>
          <w:sz w:val="17"/>
          <w:szCs w:val="17"/>
          <w:color w:val="auto"/>
        </w:rPr>
        <w:t>. The clinical studies and tests conducted by the Company, or to the knowledge of the Company, by third parties in respect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Company Product, have been and, if still pending, are being conducted in all material respects pursuant to all Applicable Laws and Authorizations; the descriptions of the results of such clinical studies and tests contained in the Registration Statement, the Time of Sale Prospectus and the Prospectus are accurate and complete in all material respects and fairly present the data derived from such clinical studies and tests; except to the extent disclosed in the Registration Statement, the Time of Sale Prospectus and the Prospectus, the Company is not aware of any clinical studies or tests, the results of which the Company believes reasonably call into question the research, nonclinical or clinical study or test results described or referred to in the Registration Statement, the Time of Sale Prospectus and the Prospectus when viewed in the context in which such results are described; and the Company has not received any written notices or correspondence from any Governmental Entity requiring the termination, suspension or material modification of any clinical study or test conducted by or on behalf of the Company.</w:t>
      </w:r>
    </w:p>
    <w:p>
      <w:pPr>
        <w:spacing w:after="0" w:line="73" w:lineRule="exact"/>
        <w:rPr>
          <w:rFonts w:ascii="Arial" w:cs="Arial" w:eastAsia="Arial" w:hAnsi="Arial"/>
          <w:sz w:val="17"/>
          <w:szCs w:val="17"/>
          <w:b w:val="1"/>
          <w:bCs w:val="1"/>
          <w:color w:val="auto"/>
        </w:rPr>
      </w:pPr>
    </w:p>
    <w:p>
      <w:pPr>
        <w:ind w:right="40" w:firstLine="444"/>
        <w:spacing w:after="0" w:line="312" w:lineRule="auto"/>
        <w:tabs>
          <w:tab w:leader="none" w:pos="806"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Emerging Growth Company Status. </w:t>
      </w:r>
      <w:r>
        <w:rPr>
          <w:rFonts w:ascii="Arial" w:cs="Arial" w:eastAsia="Arial" w:hAnsi="Arial"/>
          <w:sz w:val="16"/>
          <w:szCs w:val="16"/>
          <w:color w:val="auto"/>
        </w:rPr>
        <w:t>From the time of initial filing of the Registration Statement to the Commission (or, if earlier,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38" w:lineRule="exact"/>
        <w:rPr>
          <w:rFonts w:ascii="Arial" w:cs="Arial" w:eastAsia="Arial" w:hAnsi="Arial"/>
          <w:sz w:val="16"/>
          <w:szCs w:val="16"/>
          <w:b w:val="1"/>
          <w:bCs w:val="1"/>
          <w:color w:val="auto"/>
        </w:rPr>
      </w:pPr>
    </w:p>
    <w:p>
      <w:pPr>
        <w:ind w:right="60" w:firstLine="444"/>
        <w:spacing w:after="0" w:line="312" w:lineRule="auto"/>
        <w:tabs>
          <w:tab w:leader="none" w:pos="785"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In connection with the offering of the Offered Shares, the Company (i) has not alone engaged in communications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 investors in reliance on Section 5(d) of the Securities Act other than Permitted Section 5(d) Communications with the consent of the Representatives with entities that are QIBs or IAIs and (ii) has not authorized anyone other than the Representatives to engage in such communications.</w:t>
      </w:r>
    </w:p>
    <w:p>
      <w:pPr>
        <w:spacing w:after="0" w:line="38" w:lineRule="exact"/>
        <w:rPr>
          <w:rFonts w:ascii="Arial" w:cs="Arial" w:eastAsia="Arial" w:hAnsi="Arial"/>
          <w:sz w:val="16"/>
          <w:szCs w:val="16"/>
          <w:b w:val="1"/>
          <w:bCs w:val="1"/>
          <w:color w:val="auto"/>
        </w:rPr>
      </w:pPr>
    </w:p>
    <w:p>
      <w:pPr>
        <w:ind w:right="180" w:firstLine="444"/>
        <w:spacing w:after="0" w:line="264" w:lineRule="auto"/>
        <w:tabs>
          <w:tab w:leader="none" w:pos="80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Rated Security. </w:t>
      </w:r>
      <w:r>
        <w:rPr>
          <w:rFonts w:ascii="Arial" w:cs="Arial" w:eastAsia="Arial" w:hAnsi="Arial"/>
          <w:sz w:val="18"/>
          <w:szCs w:val="18"/>
          <w:color w:val="auto"/>
        </w:rPr>
        <w:t>There are (and prior to the first Closing Date and, if applicable, the Option Closing Date, will be) no debt securities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of, or guaranteed by, the Company that are rated by a “nationally recognized statistical rating organization,” as such term is defined by the Commission for the purposes of Section 3(a)(62) of the Exchange Act.</w:t>
      </w:r>
    </w:p>
    <w:p>
      <w:pPr>
        <w:spacing w:after="0" w:line="181"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Any certificate signed by any officer of the Company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1"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 w:name="page17"/>
    <w:bookmarkEnd w:id="16"/>
    <w:p>
      <w:pPr>
        <w:ind w:left="99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Purchase, Sale and Delivery of the Offered Shares</w:t>
      </w:r>
      <w:r>
        <w:rPr>
          <w:rFonts w:ascii="Arial" w:cs="Arial" w:eastAsia="Arial" w:hAnsi="Arial"/>
          <w:sz w:val="18"/>
          <w:szCs w:val="18"/>
          <w:color w:val="auto"/>
        </w:rPr>
        <w:t>.</w:t>
      </w:r>
    </w:p>
    <w:p>
      <w:pPr>
        <w:spacing w:after="0" w:line="117" w:lineRule="exact"/>
        <w:rPr>
          <w:sz w:val="20"/>
          <w:szCs w:val="20"/>
          <w:color w:val="auto"/>
        </w:rPr>
      </w:pPr>
    </w:p>
    <w:p>
      <w:pPr>
        <w:ind w:left="-4" w:right="20" w:firstLine="444"/>
        <w:spacing w:after="0" w:line="258" w:lineRule="auto"/>
        <w:tabs>
          <w:tab w:leader="none" w:pos="692"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Firm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terms herein set forth, the Company agrees to issue and sell to the several Underwriters an aggregate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20,000,000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8"/>
          <w:szCs w:val="18"/>
          <w:u w:val="single" w:color="auto"/>
          <w:color w:val="auto"/>
        </w:rPr>
        <w:t>Schedule A</w:t>
      </w:r>
      <w:r>
        <w:rPr>
          <w:rFonts w:ascii="Arial" w:cs="Arial" w:eastAsia="Arial" w:hAnsi="Arial"/>
          <w:sz w:val="18"/>
          <w:szCs w:val="18"/>
          <w:color w:val="auto"/>
        </w:rPr>
        <w:t>. The purchase price per Firm Share to be paid by the several Underwriters to the Company shall be $5.875 per share.</w:t>
      </w:r>
    </w:p>
    <w:p>
      <w:pPr>
        <w:spacing w:after="0" w:line="75" w:lineRule="exact"/>
        <w:rPr>
          <w:rFonts w:ascii="Arial" w:cs="Arial" w:eastAsia="Arial" w:hAnsi="Arial"/>
          <w:sz w:val="18"/>
          <w:szCs w:val="18"/>
          <w:b w:val="1"/>
          <w:bCs w:val="1"/>
          <w:color w:val="auto"/>
        </w:rPr>
      </w:pPr>
    </w:p>
    <w:p>
      <w:pPr>
        <w:ind w:left="-4" w:right="60" w:firstLine="444"/>
        <w:spacing w:after="0" w:line="292" w:lineRule="auto"/>
        <w:tabs>
          <w:tab w:leader="none" w:pos="702"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First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certificates for the Firm Shares to be purchased by the Underwriters and payment therefor shall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offices of Davis Polk &amp; Wardwell LLP, 1600 El Camino Real, Menlo Park, California 94025 (or such other place as may be agreed to by the Company and the Representatives) at 10:00 a.m. New York City time, on December 9, 2019</w:t>
      </w:r>
      <w:r>
        <w:rPr>
          <w:rFonts w:ascii="Arial" w:cs="Arial" w:eastAsia="Arial" w:hAnsi="Arial"/>
          <w:sz w:val="16"/>
          <w:szCs w:val="16"/>
          <w:b w:val="1"/>
          <w:bCs w:val="1"/>
          <w:color w:val="auto"/>
        </w:rPr>
        <w:t>,</w:t>
      </w:r>
      <w:r>
        <w:rPr>
          <w:rFonts w:ascii="Arial" w:cs="Arial" w:eastAsia="Arial" w:hAnsi="Arial"/>
          <w:sz w:val="16"/>
          <w:szCs w:val="16"/>
          <w:color w:val="auto"/>
        </w:rPr>
        <w:t xml:space="preserve"> or such other time and date not later than 1:30 p.m. New York City time, on December 23, 2019 as the Representatives shall designate by notice to the Company (the time and date of such closing are called the “</w:t>
      </w:r>
      <w:r>
        <w:rPr>
          <w:rFonts w:ascii="Arial" w:cs="Arial" w:eastAsia="Arial" w:hAnsi="Arial"/>
          <w:sz w:val="16"/>
          <w:szCs w:val="16"/>
          <w:b w:val="1"/>
          <w:bCs w:val="1"/>
          <w:color w:val="auto"/>
        </w:rPr>
        <w:t>First Closing Date</w:t>
      </w:r>
      <w:r>
        <w:rPr>
          <w:rFonts w:ascii="Arial" w:cs="Arial" w:eastAsia="Arial" w:hAnsi="Arial"/>
          <w:sz w:val="16"/>
          <w:szCs w:val="16"/>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Sections 11.</w:t>
      </w:r>
    </w:p>
    <w:p>
      <w:pPr>
        <w:spacing w:after="0" w:line="53" w:lineRule="exact"/>
        <w:rPr>
          <w:rFonts w:ascii="Arial" w:cs="Arial" w:eastAsia="Arial" w:hAnsi="Arial"/>
          <w:sz w:val="16"/>
          <w:szCs w:val="16"/>
          <w:b w:val="1"/>
          <w:bCs w:val="1"/>
          <w:color w:val="auto"/>
        </w:rPr>
      </w:pPr>
    </w:p>
    <w:p>
      <w:pPr>
        <w:ind w:left="-4" w:firstLine="444"/>
        <w:spacing w:after="0" w:line="285" w:lineRule="auto"/>
        <w:tabs>
          <w:tab w:leader="none" w:pos="681" w:val="left"/>
        </w:tabs>
        <w:numPr>
          <w:ilvl w:val="1"/>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but subject to the conditions herein set forth, the Company hereby grants an option to the several Underwriters to purchase, severally and not jointly, up to an aggregate of 3,000,000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w:t>
      </w:r>
    </w:p>
    <w:p>
      <w:pPr>
        <w:spacing w:after="0" w:line="3" w:lineRule="exact"/>
        <w:rPr>
          <w:rFonts w:ascii="Arial" w:cs="Arial" w:eastAsia="Arial" w:hAnsi="Arial"/>
          <w:sz w:val="16"/>
          <w:szCs w:val="16"/>
          <w:b w:val="1"/>
          <w:bCs w:val="1"/>
          <w:color w:val="auto"/>
        </w:rPr>
      </w:pPr>
    </w:p>
    <w:p>
      <w:pPr>
        <w:ind w:left="-4" w:right="80" w:firstLine="4"/>
        <w:spacing w:after="0" w:line="268" w:lineRule="auto"/>
        <w:tabs>
          <w:tab w:leader="none" w:pos="2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7"/>
          <w:szCs w:val="17"/>
          <w:b w:val="1"/>
          <w:bCs w:val="1"/>
          <w:color w:val="auto"/>
        </w:rPr>
        <w:t>First Closing Date</w:t>
      </w:r>
      <w:r>
        <w:rPr>
          <w:rFonts w:ascii="Arial" w:cs="Arial" w:eastAsia="Arial" w:hAnsi="Arial"/>
          <w:sz w:val="17"/>
          <w:szCs w:val="17"/>
          <w:color w:val="auto"/>
        </w:rPr>
        <w:t>” shall refer to the time and date of delivery of certificates for the Firm Shares and such Optional Shares). Any such time and date of delivery, if subsequent to the First Closing Date, is called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opposite the name of such Underwriter bears to the total number of Firm Shares bears to the total number of Optional Shares. The Representatives may cancel the option at any time prior to its expiration by giving written notice of such cancellation to the Company.</w:t>
      </w:r>
    </w:p>
    <w:p>
      <w:pPr>
        <w:spacing w:after="0" w:line="67" w:lineRule="exact"/>
        <w:rPr>
          <w:rFonts w:ascii="Arial" w:cs="Arial" w:eastAsia="Arial" w:hAnsi="Arial"/>
          <w:sz w:val="17"/>
          <w:szCs w:val="17"/>
          <w:color w:val="auto"/>
        </w:rPr>
      </w:pPr>
    </w:p>
    <w:p>
      <w:pPr>
        <w:ind w:left="-4" w:right="220" w:firstLine="444"/>
        <w:spacing w:after="0" w:line="261" w:lineRule="auto"/>
        <w:tabs>
          <w:tab w:leader="none" w:pos="702"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spacing w:after="0" w:line="71" w:lineRule="exact"/>
        <w:rPr>
          <w:rFonts w:ascii="Arial" w:cs="Arial" w:eastAsia="Arial" w:hAnsi="Arial"/>
          <w:sz w:val="18"/>
          <w:szCs w:val="18"/>
          <w:b w:val="1"/>
          <w:bCs w:val="1"/>
          <w:color w:val="auto"/>
        </w:rPr>
      </w:pPr>
    </w:p>
    <w:p>
      <w:pPr>
        <w:ind w:left="-4" w:right="40" w:firstLine="444"/>
        <w:spacing w:after="0" w:line="282" w:lineRule="auto"/>
        <w:tabs>
          <w:tab w:leader="none" w:pos="681"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 by wire transfer of immediately available funds to the order of the Company.</w:t>
      </w:r>
    </w:p>
    <w:p>
      <w:pPr>
        <w:spacing w:after="0" w:line="9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96"/>
          </w:cols>
          <w:pgMar w:left="444" w:top="270" w:right="459" w:bottom="1440" w:gutter="0" w:footer="0" w:header="0"/>
        </w:sectPr>
      </w:pPr>
    </w:p>
    <w:bookmarkStart w:id="17" w:name="page18"/>
    <w:bookmarkEnd w:id="17"/>
    <w:p>
      <w:pPr>
        <w:ind w:firstLine="996"/>
        <w:spacing w:after="0" w:line="273" w:lineRule="auto"/>
        <w:tabs>
          <w:tab w:leader="none" w:pos="1257" w:val="left"/>
        </w:tabs>
        <w:numPr>
          <w:ilvl w:val="1"/>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Citigroup, Cowen, SVB Leerink and Piper,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66" w:lineRule="exact"/>
        <w:rPr>
          <w:rFonts w:ascii="Arial" w:cs="Arial" w:eastAsia="Arial" w:hAnsi="Arial"/>
          <w:sz w:val="17"/>
          <w:szCs w:val="17"/>
          <w:color w:val="auto"/>
        </w:rPr>
      </w:pPr>
    </w:p>
    <w:p>
      <w:pPr>
        <w:ind w:right="40" w:firstLine="444"/>
        <w:spacing w:after="0" w:line="270" w:lineRule="auto"/>
        <w:tabs>
          <w:tab w:leader="none" w:pos="665"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Delivery of the Offered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deliver, or cause to be delivered to the Representatives for the accounts of the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certificates for the Firm Shares to be sold by them at the First Closing Date,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from them at the First Closing Date or the applicable Option Closing Date, as the case may be, against the release of a wire transfer of immediately available funds for the amount of the purchase price therefor. The certificates for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Section 3. Additional Covenants of the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117" w:lineRule="exact"/>
        <w:rPr>
          <w:sz w:val="20"/>
          <w:szCs w:val="20"/>
          <w:color w:val="auto"/>
        </w:rPr>
      </w:pPr>
    </w:p>
    <w:p>
      <w:pPr>
        <w:ind w:right="20" w:firstLine="444"/>
        <w:spacing w:after="0" w:line="276" w:lineRule="auto"/>
        <w:tabs>
          <w:tab w:leader="none" w:pos="695"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64" w:lineRule="exact"/>
        <w:rPr>
          <w:rFonts w:ascii="Arial" w:cs="Arial" w:eastAsia="Arial" w:hAnsi="Arial"/>
          <w:sz w:val="17"/>
          <w:szCs w:val="17"/>
          <w:b w:val="1"/>
          <w:bCs w:val="1"/>
          <w:color w:val="auto"/>
        </w:rPr>
      </w:pPr>
    </w:p>
    <w:p>
      <w:pPr>
        <w:ind w:right="20" w:firstLine="444"/>
        <w:spacing w:after="0" w:line="289" w:lineRule="auto"/>
        <w:tabs>
          <w:tab w:leader="none" w:pos="706"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Offered Shares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8" w:name="page19"/>
    <w:bookmarkEnd w:id="18"/>
    <w:p>
      <w:pPr>
        <w:ind w:left="-20" w:right="20" w:firstLine="444"/>
        <w:spacing w:after="0" w:line="285" w:lineRule="auto"/>
        <w:tabs>
          <w:tab w:leader="none" w:pos="66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Free Writing Prospectuses. </w:t>
      </w:r>
      <w:r>
        <w:rPr>
          <w:rFonts w:ascii="Arial" w:cs="Arial" w:eastAsia="Arial" w:hAnsi="Arial"/>
          <w:sz w:val="16"/>
          <w:szCs w:val="16"/>
          <w:color w:val="auto"/>
        </w:rPr>
        <w:t>The Company shall furnish to the Representatives for review, a reasonable amount of time prior to the proposed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spacing w:after="0" w:line="67" w:lineRule="exact"/>
        <w:rPr>
          <w:rFonts w:ascii="Arial" w:cs="Arial" w:eastAsia="Arial" w:hAnsi="Arial"/>
          <w:sz w:val="16"/>
          <w:szCs w:val="16"/>
          <w:b w:val="1"/>
          <w:bCs w:val="1"/>
          <w:color w:val="auto"/>
        </w:rPr>
      </w:pPr>
    </w:p>
    <w:p>
      <w:pPr>
        <w:ind w:left="-20" w:firstLine="444"/>
        <w:spacing w:after="0" w:line="264" w:lineRule="auto"/>
        <w:tabs>
          <w:tab w:leader="none" w:pos="68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73" w:lineRule="exact"/>
        <w:rPr>
          <w:rFonts w:ascii="Arial" w:cs="Arial" w:eastAsia="Arial" w:hAnsi="Arial"/>
          <w:sz w:val="18"/>
          <w:szCs w:val="18"/>
          <w:b w:val="1"/>
          <w:bCs w:val="1"/>
          <w:color w:val="auto"/>
        </w:rPr>
      </w:pPr>
    </w:p>
    <w:p>
      <w:pPr>
        <w:ind w:left="-20" w:right="80" w:firstLine="444"/>
        <w:spacing w:after="0" w:line="287" w:lineRule="auto"/>
        <w:tabs>
          <w:tab w:leader="none" w:pos="66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4" w:right="439" w:bottom="1440" w:gutter="0" w:footer="0" w:header="0"/>
        </w:sectPr>
      </w:pPr>
    </w:p>
    <w:bookmarkStart w:id="19" w:name="page20"/>
    <w:bookmarkEnd w:id="19"/>
    <w:p>
      <w:pPr>
        <w:ind w:left="-20" w:right="20" w:firstLine="444"/>
        <w:spacing w:after="0" w:line="269" w:lineRule="auto"/>
        <w:tabs>
          <w:tab w:leader="none" w:pos="645"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Notifications and Required Actions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date of this Agreement, the Company shall promptly advise the Representatives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72" w:lineRule="exact"/>
        <w:rPr>
          <w:rFonts w:ascii="Arial" w:cs="Arial" w:eastAsia="Arial" w:hAnsi="Arial"/>
          <w:sz w:val="17"/>
          <w:szCs w:val="17"/>
          <w:b w:val="1"/>
          <w:bCs w:val="1"/>
          <w:color w:val="auto"/>
        </w:rPr>
      </w:pPr>
    </w:p>
    <w:p>
      <w:pPr>
        <w:ind w:left="-20" w:firstLine="444"/>
        <w:spacing w:after="0" w:line="269" w:lineRule="auto"/>
        <w:tabs>
          <w:tab w:leader="none" w:pos="675"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the Prospectus and Other Securities Act Matters. </w:t>
      </w:r>
      <w:r>
        <w:rPr>
          <w:rFonts w:ascii="Arial" w:cs="Arial" w:eastAsia="Arial" w:hAnsi="Arial"/>
          <w:sz w:val="17"/>
          <w:szCs w:val="17"/>
          <w:color w:val="auto"/>
        </w:rPr>
        <w:t>If any event shall occur or condition exist as a result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67" w:lineRule="exact"/>
        <w:rPr>
          <w:rFonts w:ascii="Arial" w:cs="Arial" w:eastAsia="Arial" w:hAnsi="Arial"/>
          <w:sz w:val="17"/>
          <w:szCs w:val="17"/>
          <w:b w:val="1"/>
          <w:bCs w:val="1"/>
          <w:color w:val="auto"/>
        </w:rPr>
      </w:pPr>
    </w:p>
    <w:p>
      <w:pPr>
        <w:ind w:left="-20" w:right="120" w:firstLine="444"/>
        <w:spacing w:after="0" w:line="274" w:lineRule="auto"/>
        <w:tabs>
          <w:tab w:leader="none" w:pos="686"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Representatives and counsel for the Underwriters to qualify or register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w:t>
      </w:r>
    </w:p>
    <w:p>
      <w:pPr>
        <w:spacing w:after="0" w:line="65" w:lineRule="exact"/>
        <w:rPr>
          <w:rFonts w:ascii="Arial" w:cs="Arial" w:eastAsia="Arial" w:hAnsi="Arial"/>
          <w:sz w:val="17"/>
          <w:szCs w:val="17"/>
          <w:b w:val="1"/>
          <w:bCs w:val="1"/>
          <w:color w:val="auto"/>
        </w:rPr>
      </w:pPr>
    </w:p>
    <w:p>
      <w:pPr>
        <w:ind w:left="-20" w:right="240" w:firstLine="444"/>
        <w:spacing w:after="0" w:line="282" w:lineRule="auto"/>
        <w:tabs>
          <w:tab w:leader="none" w:pos="63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caption “Use of Proceeds” in the Registration Statement, the Time of Sale Prospectus and the Prospectus.</w:t>
      </w:r>
    </w:p>
    <w:p>
      <w:pPr>
        <w:spacing w:after="0" w:line="53" w:lineRule="exact"/>
        <w:rPr>
          <w:rFonts w:ascii="Arial" w:cs="Arial" w:eastAsia="Arial" w:hAnsi="Arial"/>
          <w:sz w:val="18"/>
          <w:szCs w:val="18"/>
          <w:b w:val="1"/>
          <w:bCs w:val="1"/>
          <w:color w:val="auto"/>
        </w:rPr>
      </w:pPr>
    </w:p>
    <w:p>
      <w:pPr>
        <w:ind w:left="640" w:hanging="216"/>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60" w:top="270" w:right="439" w:bottom="1440" w:gutter="0" w:footer="0" w:header="0"/>
        </w:sectPr>
      </w:pPr>
    </w:p>
    <w:bookmarkStart w:id="20" w:name="page21"/>
    <w:bookmarkEnd w:id="20"/>
    <w:p>
      <w:pPr>
        <w:ind w:left="-20" w:right="180" w:firstLine="444"/>
        <w:spacing w:after="0" w:line="261" w:lineRule="auto"/>
        <w:tabs>
          <w:tab w:leader="none" w:pos="68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71" w:lineRule="exact"/>
        <w:rPr>
          <w:rFonts w:ascii="Arial" w:cs="Arial" w:eastAsia="Arial" w:hAnsi="Arial"/>
          <w:sz w:val="18"/>
          <w:szCs w:val="18"/>
          <w:b w:val="1"/>
          <w:bCs w:val="1"/>
          <w:color w:val="auto"/>
        </w:rPr>
      </w:pPr>
    </w:p>
    <w:p>
      <w:pPr>
        <w:ind w:left="640" w:hanging="216"/>
        <w:spacing w:after="0"/>
        <w:tabs>
          <w:tab w:leader="none" w:pos="64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Listing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use its best efforts to list, subject to notice of issuance, the Offered Shares on The Nasdaq Global Market.</w:t>
      </w:r>
    </w:p>
    <w:p>
      <w:pPr>
        <w:spacing w:after="0" w:line="128" w:lineRule="exact"/>
        <w:rPr>
          <w:rFonts w:ascii="Arial" w:cs="Arial" w:eastAsia="Arial" w:hAnsi="Arial"/>
          <w:sz w:val="17"/>
          <w:szCs w:val="17"/>
          <w:b w:val="1"/>
          <w:bCs w:val="1"/>
          <w:color w:val="auto"/>
        </w:rPr>
      </w:pPr>
    </w:p>
    <w:p>
      <w:pPr>
        <w:ind w:left="-20" w:firstLine="444"/>
        <w:spacing w:after="0" w:line="268" w:lineRule="auto"/>
        <w:tabs>
          <w:tab w:leader="none" w:pos="735"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Company to Provide Copy of the Prospectus in Form That May be Downloaded from the Internet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requested by the Representatives,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shall cause to be prepared and delivered, at its expense, within one business day from the effective date of this Agreement, to the Representatives an “</w:t>
      </w:r>
      <w:r>
        <w:rPr>
          <w:rFonts w:ascii="Arial" w:cs="Arial" w:eastAsia="Arial" w:hAnsi="Arial"/>
          <w:sz w:val="17"/>
          <w:szCs w:val="17"/>
          <w:b w:val="1"/>
          <w:bCs w:val="1"/>
          <w:color w:val="auto"/>
        </w:rPr>
        <w:t>electronic Prospectus</w:t>
      </w:r>
      <w:r>
        <w:rPr>
          <w:rFonts w:ascii="Arial" w:cs="Arial" w:eastAsia="Arial" w:hAnsi="Arial"/>
          <w:sz w:val="17"/>
          <w:szCs w:val="17"/>
          <w:color w:val="auto"/>
        </w:rPr>
        <w:t>” to be used by the Underwriters in connection with the offering and sale of the Offered Shares.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Citigroup,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77" w:lineRule="exact"/>
        <w:rPr>
          <w:rFonts w:ascii="Arial" w:cs="Arial" w:eastAsia="Arial" w:hAnsi="Arial"/>
          <w:sz w:val="17"/>
          <w:szCs w:val="17"/>
          <w:b w:val="1"/>
          <w:bCs w:val="1"/>
          <w:color w:val="auto"/>
        </w:rPr>
      </w:pPr>
    </w:p>
    <w:p>
      <w:pPr>
        <w:ind w:left="-20" w:firstLine="444"/>
        <w:spacing w:after="0" w:line="268" w:lineRule="auto"/>
        <w:tabs>
          <w:tab w:leader="none" w:pos="68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Agreement Not to Offer or Sell Additional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period commencing on and including the date hereof and continuing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including the 60th day following the date of the Prospectus (such period, as extended as described below, being referred to herein as the “</w:t>
      </w:r>
      <w:r>
        <w:rPr>
          <w:rFonts w:ascii="Arial" w:cs="Arial" w:eastAsia="Arial" w:hAnsi="Arial"/>
          <w:sz w:val="17"/>
          <w:szCs w:val="17"/>
          <w:b w:val="1"/>
          <w:b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the Company will not, without the prior written consent of Citigroup, Cowen, SVB Leerink and Piper (which consent may be withheld in their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file any registration statement under the Securities Act in respect of any Shares or Related Securities (other than as contemplated by this Agreement with respect to the Offered Shares); or (viii) publicly announce the intention to do any of the foregoing;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may (A) effect the transactions contemplated hereby and (B) the issuance by the Company of Shares upon the exercise of an option or warrant (whether by cash exercise or “net” or “cashless exercise”) or the conversion or vesting of a security outstanding on the date hereof, in each case that is described in or issued pursuant to a plan described in the Time of Sale Prospectus and the Prospectus, (C) the issuance of Shares or other equity-based awards pursuant to the Company’s equity incentive award plans or employee stock purchase plan described in the Time of Sale Prospectus and the Prospectus, (D) the filing of a registration statement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0" w:right="459" w:bottom="1440" w:gutter="0" w:footer="0" w:header="0"/>
        </w:sectPr>
      </w:pPr>
    </w:p>
    <w:bookmarkStart w:id="21" w:name="page22"/>
    <w:bookmarkEnd w:id="21"/>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Form S-8 relating to the Shares granted, or options to purchase, pursuant to or reserved for issuance under the Company’s equity incentive award plans and (E) the sale or issuance of or entry into an agreement to sell or issue Shares or Related Securities in connection with (1) an equipment leasing arrangement or debt financing facility, (2) mergers, (3) acquisition of securities, businesses, proper or other assets, (4) joint ventures or (5) strategic alliances; provided, that the aggregate number of Shares or Related Securities (on an as-converted or as-exercised basis, as the case may be) that the Company may sell or issue or agree to sell or issue pursuant to this clause (E) shall not exceed 5.0% of the total number of shares of common stock issued and outstanding immediately following the completion of the transactions contemplated by this Agreement; and provided further, that each recipient of Shares or Related Securities pursuant to this clause (E) shall execute a lock-up agreement substantially in the form of Exhibit A hereto. For purposes of the foregoing, “</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55" w:lineRule="exact"/>
        <w:rPr>
          <w:sz w:val="20"/>
          <w:szCs w:val="20"/>
          <w:color w:val="auto"/>
        </w:rPr>
      </w:pPr>
    </w:p>
    <w:p>
      <w:pPr>
        <w:ind w:right="360" w:firstLine="444"/>
        <w:spacing w:after="0" w:line="313" w:lineRule="auto"/>
        <w:tabs>
          <w:tab w:leader="none" w:pos="695"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Investment Limitation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not invest or otherwise use the proceeds received by the Company from its sale of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in such a manner as would require the Company to register as an investment company under the Investment Company Act.</w:t>
      </w:r>
    </w:p>
    <w:p>
      <w:pPr>
        <w:spacing w:after="0" w:line="30" w:lineRule="exact"/>
        <w:rPr>
          <w:rFonts w:ascii="Arial" w:cs="Arial" w:eastAsia="Arial" w:hAnsi="Arial"/>
          <w:sz w:val="17"/>
          <w:szCs w:val="17"/>
          <w:b w:val="1"/>
          <w:bCs w:val="1"/>
          <w:color w:val="auto"/>
        </w:rPr>
      </w:pPr>
    </w:p>
    <w:p>
      <w:pPr>
        <w:ind w:firstLine="444"/>
        <w:spacing w:after="0" w:line="261" w:lineRule="auto"/>
        <w:tabs>
          <w:tab w:leader="none" w:pos="70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not take, and will ensure that no affiliate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will take, directly or indirectly,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71" w:lineRule="exact"/>
        <w:rPr>
          <w:rFonts w:ascii="Arial" w:cs="Arial" w:eastAsia="Arial" w:hAnsi="Arial"/>
          <w:sz w:val="18"/>
          <w:szCs w:val="18"/>
          <w:b w:val="1"/>
          <w:bCs w:val="1"/>
          <w:color w:val="auto"/>
        </w:rPr>
      </w:pPr>
    </w:p>
    <w:p>
      <w:pPr>
        <w:ind w:right="240" w:firstLine="444"/>
        <w:spacing w:after="0" w:line="261" w:lineRule="auto"/>
        <w:tabs>
          <w:tab w:leader="none" w:pos="70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75" w:lineRule="exact"/>
        <w:rPr>
          <w:rFonts w:ascii="Arial" w:cs="Arial" w:eastAsia="Arial" w:hAnsi="Arial"/>
          <w:sz w:val="18"/>
          <w:szCs w:val="18"/>
          <w:b w:val="1"/>
          <w:bCs w:val="1"/>
          <w:color w:val="auto"/>
        </w:rPr>
      </w:pPr>
    </w:p>
    <w:p>
      <w:pPr>
        <w:ind w:left="680" w:hanging="236"/>
        <w:spacing w:after="0"/>
        <w:tabs>
          <w:tab w:leader="none" w:pos="68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Permitted Section 5(d) Communications. </w:t>
      </w:r>
      <w:r>
        <w:rPr>
          <w:rFonts w:ascii="Arial" w:cs="Arial" w:eastAsia="Arial" w:hAnsi="Arial"/>
          <w:sz w:val="17"/>
          <w:szCs w:val="17"/>
          <w:color w:val="auto"/>
        </w:rPr>
        <w:t>If at any time following the distribution of any Permitted</w:t>
      </w:r>
    </w:p>
    <w:p>
      <w:pPr>
        <w:spacing w:after="0" w:line="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83" w:lineRule="exact"/>
        <w:rPr>
          <w:sz w:val="20"/>
          <w:szCs w:val="20"/>
          <w:color w:val="auto"/>
        </w:rPr>
      </w:pPr>
    </w:p>
    <w:p>
      <w:pPr>
        <w:jc w:val="both"/>
        <w:ind w:right="40" w:firstLine="444"/>
        <w:spacing w:after="0" w:line="259" w:lineRule="auto"/>
        <w:tabs>
          <w:tab w:leader="none" w:pos="67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Emerging Growth Company Status. </w:t>
      </w:r>
      <w:r>
        <w:rPr>
          <w:rFonts w:ascii="Arial" w:cs="Arial" w:eastAsia="Arial" w:hAnsi="Arial"/>
          <w:sz w:val="18"/>
          <w:szCs w:val="18"/>
          <w:color w:val="auto"/>
        </w:rPr>
        <w:t>The Company will promptly notify the Representatives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earlier of (A)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 or (B) December 31, 2019.</w:t>
      </w:r>
    </w:p>
    <w:p>
      <w:pPr>
        <w:spacing w:after="0" w:line="74" w:lineRule="exact"/>
        <w:rPr>
          <w:rFonts w:ascii="Arial" w:cs="Arial" w:eastAsia="Arial" w:hAnsi="Arial"/>
          <w:sz w:val="18"/>
          <w:szCs w:val="18"/>
          <w:b w:val="1"/>
          <w:bCs w:val="1"/>
          <w:color w:val="auto"/>
        </w:rPr>
      </w:pPr>
    </w:p>
    <w:p>
      <w:pPr>
        <w:ind w:right="20" w:firstLine="444"/>
        <w:spacing w:after="0" w:line="266" w:lineRule="auto"/>
        <w:tabs>
          <w:tab w:leader="none" w:pos="66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Announcement Regarding Lock-ups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agrees to announce the Underwriters’ intention to release any director or “officer”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meaning of Rule 16a-1(f) under the Exchange Act) of the Company from any of the restrictions imposed by any lock-up agreement, by issuing, through a major news service, a press release in form and substance satisfactory to the Representatives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2" w:name="page23"/>
    <w:bookmarkEnd w:id="2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following the Company’s receipt of any notification from the Representatives in which such intention is indicated, but in any case not later than the close of the third business day prior to the date on which such release or waiver is to become effective; provided, however, that nothing shall prevent the Representatives, on behalf of the Underwriters, from announcing the same through a major news service, irrespective of whether the Company has made the required announcement;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such announcement shall be made of any release or waiver granted solely to permit a transfer of securities that is not for consideration and where the transferee has agreed in writing to be bound by the terms of a lock-up agreement in the form set forth as Exhibit A hereto.</w:t>
      </w:r>
    </w:p>
    <w:p>
      <w:pPr>
        <w:spacing w:after="0" w:line="189" w:lineRule="exact"/>
        <w:rPr>
          <w:sz w:val="20"/>
          <w:szCs w:val="20"/>
          <w:color w:val="auto"/>
        </w:rPr>
      </w:pPr>
    </w:p>
    <w:p>
      <w:pPr>
        <w:ind w:right="40" w:firstLine="992"/>
        <w:spacing w:after="0" w:line="287"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w:t>
      </w:r>
    </w:p>
    <w:p>
      <w:pPr>
        <w:spacing w:after="0" w:line="3" w:lineRule="exact"/>
        <w:rPr>
          <w:sz w:val="20"/>
          <w:szCs w:val="20"/>
          <w:color w:val="auto"/>
        </w:rPr>
      </w:pPr>
    </w:p>
    <w:p>
      <w:pPr>
        <w:ind w:firstLine="4"/>
        <w:spacing w:after="0" w:line="283" w:lineRule="auto"/>
        <w:tabs>
          <w:tab w:leader="none" w:pos="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any supplements thereto, and advising the Underwriters of such qualifications, registrations and exemptions, provided that the amount of such fees of counsel to be paid shall not exceed $7,500 (excluding any filing fees),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provided that the amount of such legal fees to be paid shall not exceed $25,000 (excluding any filing fees)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provided that the Company and the Underwriters shall each be responsible for 50% of the cost of any aircraft chartered in connection with the road show, (ix) the fees and expenses associated with listing the Offered Shares on Nasdaq, and (x)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w:t>
      </w:r>
    </w:p>
    <w:p>
      <w:pPr>
        <w:spacing w:after="0" w:line="180" w:lineRule="exact"/>
        <w:rPr>
          <w:sz w:val="20"/>
          <w:szCs w:val="20"/>
          <w:color w:val="auto"/>
        </w:rPr>
      </w:pPr>
    </w:p>
    <w:p>
      <w:pPr>
        <w:jc w:val="both"/>
        <w:ind w:right="40" w:firstLine="992"/>
        <w:spacing w:after="0" w:line="314" w:lineRule="auto"/>
        <w:rPr>
          <w:sz w:val="20"/>
          <w:szCs w:val="20"/>
          <w:color w:val="auto"/>
        </w:rPr>
      </w:pPr>
      <w:r>
        <w:rPr>
          <w:rFonts w:ascii="Arial" w:cs="Arial" w:eastAsia="Arial" w:hAnsi="Arial"/>
          <w:sz w:val="16"/>
          <w:szCs w:val="16"/>
          <w:b w:val="1"/>
          <w:bCs w:val="1"/>
          <w:color w:val="auto"/>
        </w:rPr>
        <w:t xml:space="preserve">Section 5. Covenant of the Underwriters. </w:t>
      </w:r>
      <w:r>
        <w:rPr>
          <w:rFonts w:ascii="Arial" w:cs="Arial" w:eastAsia="Arial" w:hAnsi="Arial"/>
          <w:sz w:val="16"/>
          <w:szCs w:val="16"/>
          <w:color w:val="auto"/>
        </w:rPr>
        <w:t>Each Underwriter severally and not jointly covenants with the Company not to take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3" w:name="page24"/>
    <w:bookmarkEnd w:id="23"/>
    <w:p>
      <w:pPr>
        <w:ind w:right="80" w:firstLine="992"/>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Conditions of the Obligations of the Underwriters. </w:t>
      </w:r>
      <w:r>
        <w:rPr>
          <w:rFonts w:ascii="Arial" w:cs="Arial" w:eastAsia="Arial" w:hAnsi="Arial"/>
          <w:sz w:val="16"/>
          <w:szCs w:val="16"/>
          <w:color w:val="auto"/>
        </w:rPr>
        <w:t>The respective obligations of the several Underwriters hereunder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46" w:lineRule="exact"/>
        <w:rPr>
          <w:sz w:val="20"/>
          <w:szCs w:val="20"/>
          <w:color w:val="auto"/>
        </w:rPr>
      </w:pPr>
    </w:p>
    <w:p>
      <w:pPr>
        <w:ind w:firstLine="444"/>
        <w:spacing w:after="0" w:line="298" w:lineRule="auto"/>
        <w:tabs>
          <w:tab w:leader="none" w:pos="695"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date hereof, the Representatives shall have received from Ernst &amp; Young LLP, independent registered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or incorporated by reference in the Registration Statement, the Time of Sale Prospectus, and each free writing prospectus, if any.</w:t>
      </w:r>
    </w:p>
    <w:p>
      <w:pPr>
        <w:spacing w:after="0" w:line="50" w:lineRule="exact"/>
        <w:rPr>
          <w:rFonts w:ascii="Arial" w:cs="Arial" w:eastAsia="Arial" w:hAnsi="Arial"/>
          <w:sz w:val="16"/>
          <w:szCs w:val="16"/>
          <w:b w:val="1"/>
          <w:bCs w:val="1"/>
          <w:color w:val="auto"/>
        </w:rPr>
      </w:pPr>
    </w:p>
    <w:p>
      <w:pPr>
        <w:ind w:left="700" w:hanging="256"/>
        <w:spacing w:after="0"/>
        <w:tabs>
          <w:tab w:leader="none" w:pos="7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117" w:lineRule="exact"/>
        <w:rPr>
          <w:rFonts w:ascii="Arial" w:cs="Arial" w:eastAsia="Arial" w:hAnsi="Arial"/>
          <w:sz w:val="18"/>
          <w:szCs w:val="18"/>
          <w:b w:val="1"/>
          <w:bCs w:val="1"/>
          <w:color w:val="auto"/>
        </w:rPr>
      </w:pPr>
    </w:p>
    <w:p>
      <w:pPr>
        <w:jc w:val="both"/>
        <w:ind w:firstLine="996"/>
        <w:spacing w:after="0" w:line="279" w:lineRule="auto"/>
        <w:tabs>
          <w:tab w:leader="none" w:pos="1207"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spacing w:after="0" w:line="63" w:lineRule="exact"/>
        <w:rPr>
          <w:rFonts w:ascii="Arial" w:cs="Arial" w:eastAsia="Arial" w:hAnsi="Arial"/>
          <w:sz w:val="17"/>
          <w:szCs w:val="17"/>
          <w:color w:val="auto"/>
        </w:rPr>
      </w:pPr>
    </w:p>
    <w:p>
      <w:pPr>
        <w:ind w:right="720" w:firstLine="996"/>
        <w:spacing w:after="0" w:line="342" w:lineRule="auto"/>
        <w:tabs>
          <w:tab w:leader="none" w:pos="1257"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5" w:lineRule="exact"/>
        <w:rPr>
          <w:rFonts w:ascii="Arial" w:cs="Arial" w:eastAsia="Arial" w:hAnsi="Arial"/>
          <w:sz w:val="16"/>
          <w:szCs w:val="16"/>
          <w:color w:val="auto"/>
        </w:rPr>
      </w:pPr>
    </w:p>
    <w:p>
      <w:pPr>
        <w:ind w:right="240" w:firstLine="996"/>
        <w:spacing w:after="0" w:line="277" w:lineRule="auto"/>
        <w:tabs>
          <w:tab w:leader="none" w:pos="1307"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raised no objection to the fairness and reasonableness of the underwriting terms and arrangements.</w:t>
      </w:r>
    </w:p>
    <w:p>
      <w:pPr>
        <w:spacing w:after="0" w:line="58" w:lineRule="exact"/>
        <w:rPr>
          <w:rFonts w:ascii="Arial" w:cs="Arial" w:eastAsia="Arial" w:hAnsi="Arial"/>
          <w:sz w:val="18"/>
          <w:szCs w:val="18"/>
          <w:color w:val="auto"/>
        </w:rPr>
      </w:pPr>
    </w:p>
    <w:p>
      <w:pPr>
        <w:ind w:right="40" w:firstLine="444"/>
        <w:spacing w:after="0" w:line="313" w:lineRule="auto"/>
        <w:tabs>
          <w:tab w:leader="none" w:pos="685"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 or Ratings Agency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period from and after the date of this Agreement and through and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First Closing Date and, with respect to any Optional Shares purchased after the First Closing Date, each Option Closing Date:</w:t>
      </w:r>
    </w:p>
    <w:p>
      <w:pPr>
        <w:spacing w:after="0" w:line="34" w:lineRule="exact"/>
        <w:rPr>
          <w:rFonts w:ascii="Arial" w:cs="Arial" w:eastAsia="Arial" w:hAnsi="Arial"/>
          <w:sz w:val="17"/>
          <w:szCs w:val="17"/>
          <w:b w:val="1"/>
          <w:bCs w:val="1"/>
          <w:color w:val="auto"/>
        </w:rPr>
      </w:pPr>
    </w:p>
    <w:p>
      <w:pPr>
        <w:jc w:val="both"/>
        <w:ind w:right="140" w:firstLine="996"/>
        <w:spacing w:after="0" w:line="259" w:lineRule="auto"/>
        <w:tabs>
          <w:tab w:leader="none" w:pos="1207"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judgment of the Representatives there has been no material adverse change, or any development that could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8"/>
          <w:szCs w:val="18"/>
          <w:b w:val="1"/>
          <w:bCs w:val="1"/>
          <w:color w:val="auto"/>
        </w:rPr>
        <w:t>Material Adverse Change</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right="80" w:firstLine="996"/>
        <w:spacing w:after="0" w:line="312" w:lineRule="auto"/>
        <w:tabs>
          <w:tab w:leader="none" w:pos="1257"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0" w:right="439" w:bottom="1440" w:gutter="0" w:footer="0" w:header="0"/>
        </w:sectPr>
      </w:pPr>
    </w:p>
    <w:bookmarkStart w:id="24" w:name="page25"/>
    <w:bookmarkEnd w:id="24"/>
    <w:p>
      <w:pPr>
        <w:jc w:val="both"/>
        <w:ind w:left="-60" w:right="540" w:firstLine="444"/>
        <w:spacing w:after="0" w:line="266" w:lineRule="auto"/>
        <w:tabs>
          <w:tab w:leader="none" w:pos="6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 of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Latham &amp; Watkins, LLP, counsel for the Company, dated as of such date, and addressed to the Underwriters, in form and substance reasonably satisfactory to the Representatives.</w:t>
      </w:r>
    </w:p>
    <w:p>
      <w:pPr>
        <w:spacing w:after="0" w:line="176" w:lineRule="exact"/>
        <w:rPr>
          <w:rFonts w:ascii="Arial" w:cs="Arial" w:eastAsia="Arial" w:hAnsi="Arial"/>
          <w:sz w:val="18"/>
          <w:szCs w:val="18"/>
          <w:b w:val="1"/>
          <w:bCs w:val="1"/>
          <w:color w:val="auto"/>
        </w:rPr>
      </w:pPr>
    </w:p>
    <w:p>
      <w:pPr>
        <w:ind w:left="-60" w:right="180" w:firstLine="444"/>
        <w:spacing w:after="0" w:line="266" w:lineRule="auto"/>
        <w:tabs>
          <w:tab w:leader="none" w:pos="62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Davis Polk &amp; Wardwell, counsel for the Underwriters in connection with the offer and sale of the Offered Shares, in form and substance satisfactory to the Underwriters, dated as of such date.</w:t>
      </w:r>
    </w:p>
    <w:p>
      <w:pPr>
        <w:spacing w:after="0" w:line="68" w:lineRule="exact"/>
        <w:rPr>
          <w:rFonts w:ascii="Arial" w:cs="Arial" w:eastAsia="Arial" w:hAnsi="Arial"/>
          <w:sz w:val="18"/>
          <w:szCs w:val="18"/>
          <w:b w:val="1"/>
          <w:bCs w:val="1"/>
          <w:color w:val="auto"/>
        </w:rPr>
      </w:pPr>
    </w:p>
    <w:p>
      <w:pPr>
        <w:ind w:left="-60" w:right="260" w:firstLine="444"/>
        <w:spacing w:after="0" w:line="266" w:lineRule="auto"/>
        <w:tabs>
          <w:tab w:leader="none" w:pos="60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IP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Viksnins Harris Padys Malen LLP, intellectual property counsel for the Company, dated as of such date, and addressed to the Underwriters, in form and substance reasonably satisfactory to the Representatives.</w:t>
      </w:r>
    </w:p>
    <w:p>
      <w:pPr>
        <w:spacing w:after="0" w:line="68" w:lineRule="exact"/>
        <w:rPr>
          <w:rFonts w:ascii="Arial" w:cs="Arial" w:eastAsia="Arial" w:hAnsi="Arial"/>
          <w:sz w:val="18"/>
          <w:szCs w:val="18"/>
          <w:b w:val="1"/>
          <w:bCs w:val="1"/>
          <w:color w:val="auto"/>
        </w:rPr>
      </w:pPr>
    </w:p>
    <w:p>
      <w:pPr>
        <w:ind w:left="-60" w:right="240" w:firstLine="444"/>
        <w:spacing w:after="0" w:line="266" w:lineRule="auto"/>
        <w:tabs>
          <w:tab w:leader="none" w:pos="63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72" w:lineRule="exact"/>
        <w:rPr>
          <w:rFonts w:ascii="Arial" w:cs="Arial" w:eastAsia="Arial" w:hAnsi="Arial"/>
          <w:sz w:val="18"/>
          <w:szCs w:val="18"/>
          <w:b w:val="1"/>
          <w:bCs w:val="1"/>
          <w:color w:val="auto"/>
        </w:rPr>
      </w:pPr>
    </w:p>
    <w:p>
      <w:pPr>
        <w:ind w:left="-60" w:right="400" w:firstLine="996"/>
        <w:spacing w:after="0" w:line="342" w:lineRule="auto"/>
        <w:tabs>
          <w:tab w:leader="none" w:pos="1147" w:val="left"/>
        </w:tabs>
        <w:numPr>
          <w:ilvl w:val="1"/>
          <w:numId w:val="28"/>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not occurred any Material Adverse Change, except as set forth in or contemplated in the Time of Sale Prospectus or the Prospectus (exclusive of any supplement thereto);</w:t>
      </w:r>
    </w:p>
    <w:p>
      <w:pPr>
        <w:spacing w:after="0" w:line="15" w:lineRule="exact"/>
        <w:rPr>
          <w:rFonts w:ascii="Arial" w:cs="Arial" w:eastAsia="Arial" w:hAnsi="Arial"/>
          <w:sz w:val="16"/>
          <w:szCs w:val="16"/>
          <w:color w:val="auto"/>
        </w:rPr>
      </w:pPr>
    </w:p>
    <w:p>
      <w:pPr>
        <w:ind w:left="-60" w:right="280" w:firstLine="996"/>
        <w:spacing w:after="0" w:line="277" w:lineRule="auto"/>
        <w:tabs>
          <w:tab w:leader="none" w:pos="119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62" w:lineRule="exact"/>
        <w:rPr>
          <w:rFonts w:ascii="Arial" w:cs="Arial" w:eastAsia="Arial" w:hAnsi="Arial"/>
          <w:sz w:val="18"/>
          <w:szCs w:val="18"/>
          <w:color w:val="auto"/>
        </w:rPr>
      </w:pPr>
    </w:p>
    <w:p>
      <w:pPr>
        <w:ind w:left="-60" w:right="160" w:firstLine="996"/>
        <w:spacing w:after="0" w:line="277" w:lineRule="auto"/>
        <w:tabs>
          <w:tab w:leader="none" w:pos="12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58" w:lineRule="exact"/>
        <w:rPr>
          <w:rFonts w:ascii="Arial" w:cs="Arial" w:eastAsia="Arial" w:hAnsi="Arial"/>
          <w:sz w:val="18"/>
          <w:szCs w:val="18"/>
          <w:color w:val="auto"/>
        </w:rPr>
      </w:pPr>
    </w:p>
    <w:p>
      <w:pPr>
        <w:ind w:left="-60" w:right="220" w:firstLine="444"/>
        <w:spacing w:after="0" w:line="298" w:lineRule="auto"/>
        <w:tabs>
          <w:tab w:leader="none" w:pos="646"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Bring-down 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 received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Ernst &amp; Young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50" w:lineRule="exact"/>
        <w:rPr>
          <w:rFonts w:ascii="Arial" w:cs="Arial" w:eastAsia="Arial" w:hAnsi="Arial"/>
          <w:sz w:val="16"/>
          <w:szCs w:val="16"/>
          <w:b w:val="1"/>
          <w:bCs w:val="1"/>
          <w:color w:val="auto"/>
        </w:rPr>
      </w:pPr>
    </w:p>
    <w:p>
      <w:pPr>
        <w:ind w:left="-60" w:right="300" w:firstLine="444"/>
        <w:spacing w:after="0" w:line="264" w:lineRule="auto"/>
        <w:tabs>
          <w:tab w:leader="none" w:pos="59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Exhibit A hereto from each of the persons listed on Exhibit B hereto, and each such agreement shall be in full force and effect on each of the First Closing Date and each Option Closing Date.</w:t>
      </w:r>
    </w:p>
    <w:p>
      <w:pPr>
        <w:spacing w:after="0" w:line="73" w:lineRule="exact"/>
        <w:rPr>
          <w:rFonts w:ascii="Arial" w:cs="Arial" w:eastAsia="Arial" w:hAnsi="Arial"/>
          <w:sz w:val="18"/>
          <w:szCs w:val="18"/>
          <w:b w:val="1"/>
          <w:bCs w:val="1"/>
          <w:color w:val="auto"/>
        </w:rPr>
      </w:pPr>
    </w:p>
    <w:p>
      <w:pPr>
        <w:ind w:left="-60" w:firstLine="444"/>
        <w:spacing w:after="0" w:line="264" w:lineRule="auto"/>
        <w:tabs>
          <w:tab w:leader="none" w:pos="60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color w:val="auto"/>
        </w:rPr>
        <w:t>. 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500" w:top="270" w:right="499" w:bottom="1440" w:gutter="0" w:footer="0" w:header="0"/>
        </w:sectPr>
      </w:pPr>
    </w:p>
    <w:bookmarkStart w:id="25" w:name="page26"/>
    <w:bookmarkEnd w:id="25"/>
    <w:p>
      <w:pPr>
        <w:ind w:right="180" w:firstLine="444"/>
        <w:spacing w:after="0" w:line="273" w:lineRule="auto"/>
        <w:tabs>
          <w:tab w:leader="none" w:pos="706"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Documents</w:t>
      </w:r>
      <w:r>
        <w:rPr>
          <w:rFonts w:ascii="Arial" w:cs="Arial" w:eastAsia="Arial" w:hAnsi="Arial"/>
          <w:sz w:val="17"/>
          <w:szCs w:val="17"/>
          <w:color w:val="auto"/>
        </w:rPr>
        <w:t>. On or before each of the First Closing Date and each Option Closing Date, the Representatives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7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If any condition specified in this Section 6 is not satisfied when and as required to be satisfied, this Agreement may be terminated by the Representatives by notice from Citigroup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67" w:lineRule="exact"/>
        <w:rPr>
          <w:sz w:val="20"/>
          <w:szCs w:val="20"/>
          <w:color w:val="auto"/>
        </w:rPr>
      </w:pPr>
    </w:p>
    <w:p>
      <w:pPr>
        <w:ind w:right="140" w:firstLine="992"/>
        <w:spacing w:after="0" w:line="292" w:lineRule="auto"/>
        <w:rPr>
          <w:sz w:val="20"/>
          <w:szCs w:val="20"/>
          <w:color w:val="auto"/>
        </w:rPr>
      </w:pPr>
      <w:r>
        <w:rPr>
          <w:rFonts w:ascii="Arial" w:cs="Arial" w:eastAsia="Arial" w:hAnsi="Arial"/>
          <w:sz w:val="16"/>
          <w:szCs w:val="16"/>
          <w:b w:val="1"/>
          <w:bCs w:val="1"/>
          <w:color w:val="auto"/>
        </w:rPr>
        <w:t>Section 7. Reimbursement of Underwriters’ Expenses</w:t>
      </w:r>
      <w:r>
        <w:rPr>
          <w:rFonts w:ascii="Arial" w:cs="Arial" w:eastAsia="Arial" w:hAnsi="Arial"/>
          <w:sz w:val="16"/>
          <w:szCs w:val="16"/>
          <w:color w:val="auto"/>
        </w:rPr>
        <w:t>. If this Agreement is terminated by the Representatives pursuant to Section 6 or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12, or if the sale to the Underwriters of the Offered Shares on the First Closing Date is not consummated because of any refusal, inability or failure on the part of the Company to perform any agreement herein or to comply with any provision hereof other than by reason of a default by any of the Underwriters,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Section 8. Effectiveness of this Agreement</w:t>
      </w:r>
      <w:r>
        <w:rPr>
          <w:rFonts w:ascii="Arial" w:cs="Arial" w:eastAsia="Arial" w:hAnsi="Arial"/>
          <w:sz w:val="16"/>
          <w:szCs w:val="16"/>
          <w:color w:val="auto"/>
        </w:rPr>
        <w:t>. This Agreement shall become effective upon the execution and delivery hereof by the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Section 9. 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286" w:lineRule="auto"/>
        <w:tabs>
          <w:tab w:leader="none" w:pos="69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6" w:name="page27"/>
    <w:bookmarkEnd w:id="2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indemnity agreement shall not apply to any loss, claim, damage, liability or expense to the extent, but only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9(a) below. The indemnity agreement set forth in this Section 9(a) shall be in addition to any liabilities that the Company may otherwise have.</w:t>
      </w:r>
    </w:p>
    <w:p>
      <w:pPr>
        <w:spacing w:after="0" w:line="75" w:lineRule="exact"/>
        <w:rPr>
          <w:sz w:val="20"/>
          <w:szCs w:val="20"/>
          <w:color w:val="auto"/>
        </w:rPr>
      </w:pPr>
    </w:p>
    <w:p>
      <w:pPr>
        <w:ind w:right="40" w:firstLine="444"/>
        <w:spacing w:after="0" w:line="284" w:lineRule="auto"/>
        <w:tabs>
          <w:tab w:leader="none" w:pos="70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paragraphs three, five, sixteen, seventeen, eighteen, nineteen, twenty and twenty-one under the caption “Underwriting” in the Preliminary Prospectus Supplement and the Final Prospectus Supplement. The indemnity agreement set forth in this Section 9(a) shall be in addition to any liabilities that each Underwriter may otherwise have.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7" w:name="page28"/>
    <w:bookmarkEnd w:id="27"/>
    <w:p>
      <w:pPr>
        <w:ind w:firstLine="444"/>
        <w:spacing w:after="0" w:line="284" w:lineRule="auto"/>
        <w:tabs>
          <w:tab w:leader="none" w:pos="68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9 of 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Section 9,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Citigroup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68" w:lineRule="exact"/>
        <w:rPr>
          <w:rFonts w:ascii="Arial" w:cs="Arial" w:eastAsia="Arial" w:hAnsi="Arial"/>
          <w:sz w:val="16"/>
          <w:szCs w:val="16"/>
          <w:b w:val="1"/>
          <w:bCs w:val="1"/>
          <w:color w:val="auto"/>
        </w:rPr>
      </w:pPr>
    </w:p>
    <w:p>
      <w:pPr>
        <w:ind w:firstLine="444"/>
        <w:spacing w:after="0" w:line="287" w:lineRule="auto"/>
        <w:tabs>
          <w:tab w:leader="none" w:pos="70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9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(ii) such indemnifying party has not disputed in good faith and in writing such request for reimbursement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0" w:right="439" w:bottom="1440" w:gutter="0" w:footer="0" w:header="0"/>
        </w:sectPr>
      </w:pPr>
    </w:p>
    <w:bookmarkStart w:id="28" w:name="page29"/>
    <w:bookmarkEnd w:id="28"/>
    <w:p>
      <w:pPr>
        <w:ind w:firstLine="992"/>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Contribution</w:t>
      </w:r>
      <w:r>
        <w:rPr>
          <w:rFonts w:ascii="Arial" w:cs="Arial" w:eastAsia="Arial" w:hAnsi="Arial"/>
          <w:sz w:val="16"/>
          <w:szCs w:val="16"/>
          <w:color w:val="auto"/>
        </w:rPr>
        <w:t>. If the indemnification provided for in Section 9 is for any reason held to be unavailable to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69" w:lineRule="exact"/>
        <w:rPr>
          <w:sz w:val="20"/>
          <w:szCs w:val="20"/>
          <w:color w:val="auto"/>
        </w:rPr>
      </w:pPr>
    </w:p>
    <w:p>
      <w:pPr>
        <w:ind w:right="240" w:firstLine="441"/>
        <w:spacing w:after="0" w:line="276"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9(b), any legal or other fees or expenses reasonably incurred by such party in connection with investigating or defending any action or claim. The provisions set forth in Section 9(b) with respect to notice of commencement of any action shall apply if a claim for contribution is to be made under this Section 10;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Section 9(b) for purposes of indemnification.</w:t>
      </w:r>
    </w:p>
    <w:p>
      <w:pPr>
        <w:spacing w:after="0" w:line="173"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0" w:right="439" w:bottom="1440" w:gutter="0" w:footer="0" w:header="0"/>
        </w:sectPr>
      </w:pPr>
    </w:p>
    <w:bookmarkStart w:id="29" w:name="page30"/>
    <w:bookmarkEnd w:id="29"/>
    <w:p>
      <w:pPr>
        <w:ind w:firstLine="992"/>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 Default of One or More of the Several Underwriters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First Closing Date or any Option Closing Date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6"/>
          <w:szCs w:val="16"/>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5" w:lineRule="exact"/>
        <w:rPr>
          <w:sz w:val="20"/>
          <w:szCs w:val="20"/>
          <w:color w:val="auto"/>
        </w:rPr>
      </w:pPr>
    </w:p>
    <w:p>
      <w:pPr>
        <w:ind w:right="300" w:firstLine="441"/>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b w:val="1"/>
          <w:bCs w:val="1"/>
          <w:color w:val="auto"/>
        </w:rPr>
        <w:t>Section 12.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New York Stock Exchange shall have been suspended or limited, or minimum or maximum prices shall have been generally established on any of such stock exchanges; (ii) a general banking moratorium shall have been declared by any of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provisions of Section 9 and Section 10 shall at all times be effective and shall survive such termination.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30" w:name="page31"/>
    <w:bookmarkEnd w:id="30"/>
    <w:p>
      <w:pPr>
        <w:ind w:firstLine="992"/>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No Advisory or Fiduciary Relationship. </w:t>
      </w:r>
      <w:r>
        <w:rPr>
          <w:rFonts w:ascii="Arial" w:cs="Arial" w:eastAsia="Arial" w:hAnsi="Arial"/>
          <w:sz w:val="16"/>
          <w:szCs w:val="16"/>
          <w:color w:val="auto"/>
        </w:rPr>
        <w:t>The Company acknowledges and agrees that (a) the purchase and sale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64" w:lineRule="exact"/>
        <w:rPr>
          <w:sz w:val="20"/>
          <w:szCs w:val="20"/>
          <w:color w:val="auto"/>
        </w:rPr>
      </w:pPr>
    </w:p>
    <w:p>
      <w:pPr>
        <w:ind w:right="80" w:firstLine="992"/>
        <w:spacing w:after="0" w:line="277" w:lineRule="auto"/>
        <w:rPr>
          <w:sz w:val="20"/>
          <w:szCs w:val="20"/>
          <w:color w:val="auto"/>
        </w:rPr>
      </w:pPr>
      <w:r>
        <w:rPr>
          <w:rFonts w:ascii="Arial" w:cs="Arial" w:eastAsia="Arial" w:hAnsi="Arial"/>
          <w:sz w:val="17"/>
          <w:szCs w:val="17"/>
          <w:b w:val="1"/>
          <w:bCs w:val="1"/>
          <w:color w:val="auto"/>
        </w:rPr>
        <w:t>Section 14. Representations and Indemnities to Survive Delivery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indemnities, agreements,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68" w:lineRule="exact"/>
        <w:rPr>
          <w:sz w:val="20"/>
          <w:szCs w:val="20"/>
          <w:color w:val="auto"/>
        </w:rPr>
      </w:pPr>
    </w:p>
    <w:p>
      <w:pPr>
        <w:ind w:right="20" w:firstLine="992"/>
        <w:spacing w:after="0" w:line="282" w:lineRule="auto"/>
        <w:rPr>
          <w:sz w:val="20"/>
          <w:szCs w:val="20"/>
          <w:color w:val="auto"/>
        </w:rPr>
      </w:pPr>
      <w:r>
        <w:rPr>
          <w:rFonts w:ascii="Arial" w:cs="Arial" w:eastAsia="Arial" w:hAnsi="Arial"/>
          <w:sz w:val="18"/>
          <w:szCs w:val="18"/>
          <w:b w:val="1"/>
          <w:bCs w:val="1"/>
          <w:color w:val="auto"/>
        </w:rPr>
        <w:t>Section 15. Notices</w:t>
      </w:r>
      <w:r>
        <w:rPr>
          <w:rFonts w:ascii="Arial" w:cs="Arial" w:eastAsia="Arial" w:hAnsi="Arial"/>
          <w:sz w:val="18"/>
          <w:szCs w:val="18"/>
          <w:color w:val="auto"/>
        </w:rPr>
        <w:t>. All communications hereunder shall be in writing and shall be mailed, hand delivered or telecopied and confirmed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as follows:</w:t>
      </w:r>
    </w:p>
    <w:p>
      <w:pPr>
        <w:sectPr>
          <w:pgSz w:w="11900" w:h="16838" w:orient="portrait"/>
          <w:cols w:equalWidth="0" w:num="1">
            <w:col w:w="10960"/>
          </w:cols>
          <w:pgMar w:left="440" w:top="270" w:right="499" w:bottom="1440" w:gutter="0" w:footer="0" w:header="0"/>
        </w:sectPr>
      </w:pP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(646) 291-1469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ind w:left="2980"/>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Attention: Legal Department</w:t>
      </w:r>
    </w:p>
    <w:p>
      <w:pPr>
        <w:spacing w:after="0" w:line="10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SVB Leerink LLC</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One Federal Street,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Facsimile: (617) 918-4664</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Attention: John I. Fitzgerald, Esq.</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960"/>
          </w:cols>
          <w:pgMar w:left="440" w:top="270" w:right="499" w:bottom="1440" w:gutter="0" w:footer="0" w:header="0"/>
          <w:type w:val="continuous"/>
        </w:sectPr>
      </w:pPr>
    </w:p>
    <w:bookmarkStart w:id="31" w:name="page32"/>
    <w:bookmarkEnd w:id="31"/>
    <w:p>
      <w:pPr>
        <w:ind w:left="2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Piper Jaffray &amp; Co.</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345 Park Avenue, 12th Floor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Attention: Equity Syndicate Desk with a copy to the Legal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Department at 800 Nicollet Mall, Suite 1000, Minneapolis, MN 55402</w:t>
      </w:r>
    </w:p>
    <w:p>
      <w:pPr>
        <w:sectPr>
          <w:pgSz w:w="11900" w:h="16838" w:orient="portrait"/>
          <w:cols w:equalWidth="0" w:num="1">
            <w:col w:w="11000"/>
          </w:cols>
          <w:pgMar w:left="440" w:top="274" w:right="459" w:bottom="1440" w:gutter="0" w:footer="0" w:header="0"/>
        </w:sectPr>
      </w:pP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1600 El Camino Real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(650) 752-2115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Alan F. Denenberg; Stephen Salmon</w:t>
      </w:r>
    </w:p>
    <w:p>
      <w:pPr>
        <w:spacing w:after="0" w:line="126" w:lineRule="exact"/>
        <w:rPr>
          <w:sz w:val="20"/>
          <w:szCs w:val="20"/>
          <w:color w:val="auto"/>
        </w:rPr>
      </w:pPr>
    </w:p>
    <w:p>
      <w:pPr>
        <w:sectPr>
          <w:pgSz w:w="11900" w:h="16838" w:orient="portrait"/>
          <w:cols w:equalWidth="0" w:num="2">
            <w:col w:w="2260" w:space="720"/>
            <w:col w:w="8020"/>
          </w:cols>
          <w:pgMar w:left="44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Ardelyx,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34175 Ardenwood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(510) 745-0493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Executive Officer and General Counsel</w:t>
      </w:r>
    </w:p>
    <w:p>
      <w:pPr>
        <w:spacing w:after="0" w:line="126" w:lineRule="exact"/>
        <w:rPr>
          <w:sz w:val="20"/>
          <w:szCs w:val="20"/>
          <w:color w:val="auto"/>
        </w:rPr>
      </w:pPr>
    </w:p>
    <w:p>
      <w:pPr>
        <w:sectPr>
          <w:pgSz w:w="11900" w:h="16838" w:orient="portrait"/>
          <w:cols w:equalWidth="0" w:num="2">
            <w:col w:w="2260" w:space="720"/>
            <w:col w:w="8020"/>
          </w:cols>
          <w:pgMar w:left="440" w:top="274" w:right="4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mark.roeder@lw.com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Roeder</w:t>
      </w:r>
    </w:p>
    <w:p>
      <w:pPr>
        <w:spacing w:after="0" w:line="200" w:lineRule="exact"/>
        <w:rPr>
          <w:sz w:val="20"/>
          <w:szCs w:val="20"/>
          <w:color w:val="auto"/>
        </w:rPr>
      </w:pPr>
    </w:p>
    <w:p>
      <w:pPr>
        <w:sectPr>
          <w:pgSz w:w="11900" w:h="16838" w:orient="portrait"/>
          <w:cols w:equalWidth="0" w:num="2">
            <w:col w:w="2260" w:space="720"/>
            <w:col w:w="8020"/>
          </w:cols>
          <w:pgMar w:left="440" w:top="274" w:right="4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20" w:firstLine="992"/>
        <w:spacing w:after="0" w:line="258" w:lineRule="auto"/>
        <w:rPr>
          <w:sz w:val="20"/>
          <w:szCs w:val="20"/>
          <w:color w:val="auto"/>
        </w:rPr>
      </w:pPr>
      <w:r>
        <w:rPr>
          <w:rFonts w:ascii="Arial" w:cs="Arial" w:eastAsia="Arial" w:hAnsi="Arial"/>
          <w:sz w:val="18"/>
          <w:szCs w:val="18"/>
          <w:b w:val="1"/>
          <w:bCs w:val="1"/>
          <w:color w:val="auto"/>
        </w:rPr>
        <w:t>Section 16. Successors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inure to the benefit of and be binding upon the parties hereto, including any substitute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Arial" w:cs="Arial" w:eastAsia="Arial" w:hAnsi="Arial"/>
          <w:sz w:val="18"/>
          <w:szCs w:val="18"/>
          <w:b w:val="1"/>
          <w:bCs w:val="1"/>
          <w:color w:val="auto"/>
        </w:rPr>
        <w:t>successors</w:t>
      </w:r>
      <w:r>
        <w:rPr>
          <w:rFonts w:ascii="Arial" w:cs="Arial" w:eastAsia="Arial" w:hAnsi="Arial"/>
          <w:sz w:val="18"/>
          <w:szCs w:val="18"/>
          <w:color w:val="auto"/>
        </w:rPr>
        <w:t>” shall not include any purchaser of the Offered Shares as such from any of the Underwriters merely by reason of such purchase.</w:t>
      </w:r>
    </w:p>
    <w:p>
      <w:pPr>
        <w:spacing w:after="0" w:line="184" w:lineRule="exact"/>
        <w:rPr>
          <w:sz w:val="20"/>
          <w:szCs w:val="20"/>
          <w:color w:val="auto"/>
        </w:rPr>
      </w:pPr>
    </w:p>
    <w:p>
      <w:pPr>
        <w:jc w:val="both"/>
        <w:ind w:right="200" w:firstLine="992"/>
        <w:spacing w:after="0" w:line="261" w:lineRule="auto"/>
        <w:rPr>
          <w:sz w:val="20"/>
          <w:szCs w:val="20"/>
          <w:color w:val="auto"/>
        </w:rPr>
      </w:pPr>
      <w:r>
        <w:rPr>
          <w:rFonts w:ascii="Arial" w:cs="Arial" w:eastAsia="Arial" w:hAnsi="Arial"/>
          <w:sz w:val="18"/>
          <w:szCs w:val="18"/>
          <w:b w:val="1"/>
          <w:bCs w:val="1"/>
          <w:color w:val="auto"/>
        </w:rPr>
        <w:t>Section 17. Partial Unenforceability</w:t>
      </w:r>
      <w:r>
        <w:rPr>
          <w:rFonts w:ascii="Arial" w:cs="Arial" w:eastAsia="Arial" w:hAnsi="Arial"/>
          <w:sz w:val="18"/>
          <w:szCs w:val="18"/>
          <w:color w:val="auto"/>
        </w:rPr>
        <w:t>. The invalidity or unenforceability of any section, paragraph or provision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firstLine="992"/>
        <w:spacing w:after="0" w:line="292" w:lineRule="auto"/>
        <w:rPr>
          <w:sz w:val="20"/>
          <w:szCs w:val="20"/>
          <w:color w:val="auto"/>
        </w:rPr>
      </w:pPr>
      <w:r>
        <w:rPr>
          <w:rFonts w:ascii="Arial" w:cs="Arial" w:eastAsia="Arial" w:hAnsi="Arial"/>
          <w:sz w:val="16"/>
          <w:szCs w:val="16"/>
          <w:b w:val="1"/>
          <w:bCs w:val="1"/>
          <w:color w:val="auto"/>
        </w:rPr>
        <w:t>Section 18. Governing Law Provisions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type w:val="continuous"/>
        </w:sectPr>
      </w:pPr>
    </w:p>
    <w:bookmarkStart w:id="32" w:name="page33"/>
    <w:bookmarkEnd w:id="3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3" w:lineRule="exact"/>
        <w:rPr>
          <w:sz w:val="20"/>
          <w:szCs w:val="20"/>
          <w:color w:val="auto"/>
        </w:rPr>
      </w:pPr>
    </w:p>
    <w:p>
      <w:pPr>
        <w:ind w:firstLine="992"/>
        <w:spacing w:after="0" w:line="274" w:lineRule="auto"/>
        <w:rPr>
          <w:sz w:val="20"/>
          <w:szCs w:val="20"/>
          <w:color w:val="auto"/>
        </w:rPr>
      </w:pPr>
      <w:r>
        <w:rPr>
          <w:rFonts w:ascii="Arial" w:cs="Arial" w:eastAsia="Arial" w:hAnsi="Arial"/>
          <w:sz w:val="17"/>
          <w:szCs w:val="17"/>
          <w:b w:val="1"/>
          <w:bCs w:val="1"/>
          <w:color w:val="auto"/>
        </w:rPr>
        <w:t xml:space="preserve">Section 19. General Provisions. </w:t>
      </w:r>
      <w:r>
        <w:rPr>
          <w:rFonts w:ascii="Arial" w:cs="Arial" w:eastAsia="Arial" w:hAnsi="Arial"/>
          <w:sz w:val="17"/>
          <w:szCs w:val="17"/>
          <w:color w:val="auto"/>
        </w:rPr>
        <w:t>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21" w:lineRule="exact"/>
        <w:rPr>
          <w:sz w:val="20"/>
          <w:szCs w:val="20"/>
          <w:color w:val="auto"/>
        </w:rPr>
      </w:pPr>
    </w:p>
    <w:p>
      <w:pPr>
        <w:ind w:right="60" w:firstLine="444"/>
        <w:spacing w:after="0" w:line="259" w:lineRule="auto"/>
        <w:tabs>
          <w:tab w:leader="none" w:pos="69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b w:val="1"/>
          <w:bCs w:val="1"/>
          <w:color w:val="auto"/>
        </w:rPr>
      </w:pPr>
    </w:p>
    <w:p>
      <w:pPr>
        <w:ind w:right="20" w:firstLine="444"/>
        <w:spacing w:after="0" w:line="259" w:lineRule="auto"/>
        <w:tabs>
          <w:tab w:leader="none" w:pos="706"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Section 20:</w:t>
      </w:r>
    </w:p>
    <w:p>
      <w:pPr>
        <w:spacing w:after="0" w:line="117"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“BHC Act Affiliate” has the meaning assigned to the term “affiliate” in, and shall be interpreted in accordance with, 12 U.S.C. § 1841(k). 30</w:t>
      </w:r>
    </w:p>
    <w:p>
      <w:pPr>
        <w:sectPr>
          <w:pgSz w:w="11900" w:h="16838" w:orient="portrait"/>
          <w:cols w:equalWidth="0" w:num="1">
            <w:col w:w="11020"/>
          </w:cols>
          <w:pgMar w:left="440" w:top="274"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Entity” means any of the following:</w:t>
      </w:r>
    </w:p>
    <w:p>
      <w:pPr>
        <w:spacing w:after="0" w:line="117" w:lineRule="exact"/>
        <w:rPr>
          <w:sz w:val="20"/>
          <w:szCs w:val="20"/>
          <w:color w:val="auto"/>
        </w:rPr>
      </w:pPr>
    </w:p>
    <w:p>
      <w:pPr>
        <w:ind w:left="780" w:hanging="224"/>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880" w:hanging="3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80"/>
          </w:cols>
          <w:pgMar w:left="880" w:top="274" w:right="439" w:bottom="1440" w:gutter="0" w:footer="0" w:header="0"/>
        </w:sectPr>
      </w:pPr>
    </w:p>
    <w:bookmarkStart w:id="34" w:name="page35"/>
    <w:bookmarkEnd w:id="34"/>
    <w:p>
      <w:pPr>
        <w:ind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ARDELYX,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Mike Raab</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&amp; CEO</w:t>
      </w:r>
    </w:p>
    <w:p>
      <w:pPr>
        <w:spacing w:after="0" w:line="1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720"/>
          </w:cols>
          <w:pgMar w:left="440" w:top="274" w:right="739" w:bottom="1440" w:gutter="0" w:footer="0" w:header="0"/>
        </w:sectPr>
      </w:pPr>
    </w:p>
    <w:bookmarkStart w:id="35" w:name="page36"/>
    <w:bookmarkEnd w:id="35"/>
    <w:p>
      <w:pPr>
        <w:ind w:firstLine="143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Underwriting Agreement is hereby confirmed and accepted by the Representatives in New York, New York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LEERINK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JAFFRAY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Bradley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Bradley Wolff</w:t>
      </w:r>
    </w:p>
    <w:p>
      <w:pPr>
        <w:spacing w:after="0" w:line="23" w:lineRule="exact"/>
        <w:rPr>
          <w:sz w:val="20"/>
          <w:szCs w:val="20"/>
          <w:color w:val="auto"/>
        </w:rPr>
      </w:pPr>
    </w:p>
    <w:p>
      <w:pPr>
        <w:jc w:val="center"/>
        <w:ind w:right="836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David Bohn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David Bohn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LEERINK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Daniel Dubin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Chairman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JAFFRAY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Chad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Chad Huber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900"/>
          </w:cols>
          <w:pgMar w:left="440" w:top="274" w:right="5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w w:val="87"/>
              </w:rPr>
              <w:t>Schedule A</w:t>
            </w:r>
          </w:p>
        </w:tc>
      </w:tr>
      <w:tr>
        <w:trPr>
          <w:trHeight w:val="36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Firm Shares</w:t>
            </w:r>
          </w:p>
        </w:tc>
      </w:tr>
      <w:tr>
        <w:trPr>
          <w:trHeight w:val="185"/>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4960" w:type="dxa"/>
            <w:vAlign w:val="bottom"/>
            <w:gridSpan w:val="3"/>
          </w:tcPr>
          <w:p>
            <w:pPr>
              <w:jc w:val="center"/>
              <w:ind w:left="3734"/>
              <w:spacing w:after="0"/>
              <w:rPr>
                <w:sz w:val="20"/>
                <w:szCs w:val="20"/>
                <w:color w:val="auto"/>
              </w:rPr>
            </w:pPr>
            <w:r>
              <w:rPr>
                <w:rFonts w:ascii="Arial" w:cs="Arial" w:eastAsia="Arial" w:hAnsi="Arial"/>
                <w:sz w:val="14"/>
                <w:szCs w:val="14"/>
                <w:b w:val="1"/>
                <w:bCs w:val="1"/>
                <w:color w:val="auto"/>
                <w:w w:val="89"/>
              </w:rPr>
              <w:t>to be Purchased</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Cowen and Company, LLC</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4,900,000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SVB Leerink LLC</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Piper Jaffray &amp; Co.</w:t>
            </w:r>
          </w:p>
        </w:tc>
        <w:tc>
          <w:tcPr>
            <w:tcW w:w="39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u w:val="single" w:color="auto"/>
          <w:color w:val="auto"/>
        </w:rPr>
        <w:t>Free Writing Prospectuses Included in the Time of Sale Prospectus</w:t>
      </w:r>
    </w:p>
    <w:p>
      <w:pPr>
        <w:spacing w:after="0" w:line="24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0020"/>
          </w:cols>
          <w:pgMar w:left="1440" w:top="270"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u w:val="single" w:color="auto"/>
          <w:color w:val="auto"/>
        </w:rPr>
        <w:t>Permitted Section 5(d) Communications</w:t>
      </w:r>
    </w:p>
    <w:p>
      <w:pPr>
        <w:spacing w:after="0" w:line="24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0020"/>
          </w:cols>
          <w:pgMar w:left="1440" w:top="270"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571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A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SVB Leerink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Jaffray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2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Ardelyx, Inc.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undersigned is an owner of shares of common stock, par value $0.0001 per share, of the Company (“</w:t>
      </w:r>
      <w:r>
        <w:rPr>
          <w:rFonts w:ascii="Arial" w:cs="Arial" w:eastAsia="Arial" w:hAnsi="Arial"/>
          <w:sz w:val="18"/>
          <w:szCs w:val="18"/>
          <w:b w:val="1"/>
          <w:bCs w:val="1"/>
          <w:color w:val="auto"/>
        </w:rPr>
        <w:t>Shares</w:t>
      </w:r>
      <w:r>
        <w:rPr>
          <w:rFonts w:ascii="Arial" w:cs="Arial" w:eastAsia="Arial" w:hAnsi="Arial"/>
          <w:sz w:val="18"/>
          <w:szCs w:val="18"/>
          <w:color w:val="auto"/>
        </w:rPr>
        <w:t>”) or of securities convertible into or exchangeable or exercisable for Shares. The Company proposes to conduct a public offering of Shares (the “</w:t>
      </w:r>
      <w:r>
        <w:rPr>
          <w:rFonts w:ascii="Arial" w:cs="Arial" w:eastAsia="Arial" w:hAnsi="Arial"/>
          <w:sz w:val="18"/>
          <w:szCs w:val="18"/>
          <w:b w:val="1"/>
          <w:bCs w:val="1"/>
          <w:color w:val="auto"/>
        </w:rPr>
        <w:t>Offering</w:t>
      </w:r>
      <w:r>
        <w:rPr>
          <w:rFonts w:ascii="Arial" w:cs="Arial" w:eastAsia="Arial" w:hAnsi="Arial"/>
          <w:sz w:val="18"/>
          <w:szCs w:val="18"/>
          <w:color w:val="auto"/>
        </w:rPr>
        <w:t>”) for which Citigroup Global Markets Inc. (“</w:t>
      </w:r>
      <w:r>
        <w:rPr>
          <w:rFonts w:ascii="Arial" w:cs="Arial" w:eastAsia="Arial" w:hAnsi="Arial"/>
          <w:sz w:val="18"/>
          <w:szCs w:val="18"/>
          <w:b w:val="1"/>
          <w:bCs w:val="1"/>
          <w:color w:val="auto"/>
        </w:rPr>
        <w:t>Citi</w:t>
      </w:r>
      <w:r>
        <w:rPr>
          <w:rFonts w:ascii="Arial" w:cs="Arial" w:eastAsia="Arial" w:hAnsi="Arial"/>
          <w:sz w:val="18"/>
          <w:szCs w:val="18"/>
          <w:color w:val="auto"/>
        </w:rPr>
        <w:t>”), Cowen and Company, LLC (“</w:t>
      </w:r>
      <w:r>
        <w:rPr>
          <w:rFonts w:ascii="Arial" w:cs="Arial" w:eastAsia="Arial" w:hAnsi="Arial"/>
          <w:sz w:val="18"/>
          <w:szCs w:val="18"/>
          <w:b w:val="1"/>
          <w:bCs w:val="1"/>
          <w:color w:val="auto"/>
        </w:rPr>
        <w:t>Cowen</w:t>
      </w:r>
      <w:r>
        <w:rPr>
          <w:rFonts w:ascii="Arial" w:cs="Arial" w:eastAsia="Arial" w:hAnsi="Arial"/>
          <w:sz w:val="18"/>
          <w:szCs w:val="18"/>
          <w:color w:val="auto"/>
        </w:rPr>
        <w:t>”), SVB Leerink LLC (“</w:t>
      </w:r>
      <w:r>
        <w:rPr>
          <w:rFonts w:ascii="Arial" w:cs="Arial" w:eastAsia="Arial" w:hAnsi="Arial"/>
          <w:sz w:val="18"/>
          <w:szCs w:val="18"/>
          <w:b w:val="1"/>
          <w:bCs w:val="1"/>
          <w:color w:val="auto"/>
        </w:rPr>
        <w:t>SVB Leerink</w:t>
      </w:r>
      <w:r>
        <w:rPr>
          <w:rFonts w:ascii="Arial" w:cs="Arial" w:eastAsia="Arial" w:hAnsi="Arial"/>
          <w:sz w:val="18"/>
          <w:szCs w:val="18"/>
          <w:color w:val="auto"/>
        </w:rPr>
        <w:t>”) and Piper Jaffray &amp; Co. (“</w:t>
      </w:r>
      <w:r>
        <w:rPr>
          <w:rFonts w:ascii="Arial" w:cs="Arial" w:eastAsia="Arial" w:hAnsi="Arial"/>
          <w:sz w:val="18"/>
          <w:szCs w:val="18"/>
          <w:b w:val="1"/>
          <w:bCs w:val="1"/>
          <w:color w:val="auto"/>
        </w:rPr>
        <w:t>Piper</w:t>
      </w:r>
      <w:r>
        <w:rPr>
          <w:rFonts w:ascii="Arial" w:cs="Arial" w:eastAsia="Arial" w:hAnsi="Arial"/>
          <w:sz w:val="18"/>
          <w:szCs w:val="18"/>
          <w:color w:val="auto"/>
        </w:rPr>
        <w:t>”)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the Company with respect to the Offering.</w:t>
      </w:r>
    </w:p>
    <w:p>
      <w:pPr>
        <w:sectPr>
          <w:pgSz w:w="11900" w:h="16838" w:orient="portrait"/>
          <w:cols w:equalWidth="0" w:num="1">
            <w:col w:w="11020"/>
          </w:cols>
          <w:pgMar w:left="440" w:top="270" w:right="439" w:bottom="1440" w:gutter="0" w:footer="0" w:header="0"/>
        </w:sectPr>
      </w:pPr>
    </w:p>
    <w:bookmarkStart w:id="40" w:name="page41"/>
    <w:bookmarkEnd w:id="40"/>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subject to the exceptions set forth in this letter agreement, without the prior written consent of Citi, Cowen, SVB Leerink and Piper, which may withhold their consent in their sole discretion:</w:t>
      </w:r>
    </w:p>
    <w:p>
      <w:pPr>
        <w:spacing w:after="0" w:line="92" w:lineRule="exact"/>
        <w:rPr>
          <w:sz w:val="20"/>
          <w:szCs w:val="20"/>
          <w:color w:val="auto"/>
        </w:rPr>
      </w:pPr>
    </w:p>
    <w:p>
      <w:pPr>
        <w:ind w:left="980" w:right="40" w:hanging="436"/>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30" w:lineRule="exact"/>
        <w:rPr>
          <w:rFonts w:ascii="Arial" w:cs="Arial" w:eastAsia="Arial" w:hAnsi="Arial"/>
          <w:sz w:val="18"/>
          <w:szCs w:val="18"/>
          <w:color w:val="auto"/>
        </w:rPr>
      </w:pPr>
    </w:p>
    <w:p>
      <w:pPr>
        <w:ind w:left="980" w:right="80" w:hanging="436"/>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currently or hereafter owned either of record or beneficially by the undersigned or such Family Member, or cause to be filed a registration statement, prospectus or prospectus supplement (or an amendment or supplement thereto) with respect to any such registration, or</w:t>
      </w:r>
    </w:p>
    <w:p>
      <w:pPr>
        <w:spacing w:after="0" w:line="92" w:lineRule="exact"/>
        <w:rPr>
          <w:rFonts w:ascii="Arial" w:cs="Arial" w:eastAsia="Arial" w:hAnsi="Arial"/>
          <w:sz w:val="18"/>
          <w:szCs w:val="18"/>
          <w:color w:val="auto"/>
        </w:rPr>
      </w:pPr>
    </w:p>
    <w:p>
      <w:pPr>
        <w:ind w:left="980" w:hanging="43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restrictions will not apply to:</w:t>
      </w:r>
    </w:p>
    <w:p>
      <w:pPr>
        <w:spacing w:after="0" w:line="131" w:lineRule="exact"/>
        <w:rPr>
          <w:sz w:val="20"/>
          <w:szCs w:val="20"/>
          <w:color w:val="auto"/>
        </w:rPr>
      </w:pPr>
    </w:p>
    <w:p>
      <w:pPr>
        <w:ind w:left="980" w:right="180" w:hanging="54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registration of the offer and sale of Shares in the Offering, and the sale of Shares to the underwriters, in each case as contemplated by the Underwriting Agreement;</w:t>
      </w:r>
    </w:p>
    <w:p>
      <w:pPr>
        <w:spacing w:after="0" w:line="75" w:lineRule="exact"/>
        <w:rPr>
          <w:rFonts w:ascii="Arial" w:cs="Arial" w:eastAsia="Arial" w:hAnsi="Arial"/>
          <w:sz w:val="18"/>
          <w:szCs w:val="18"/>
          <w:color w:val="auto"/>
        </w:rPr>
      </w:pPr>
    </w:p>
    <w:p>
      <w:pPr>
        <w:ind w:left="980" w:right="40" w:hanging="544"/>
        <w:spacing w:after="0" w:line="273"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transfer of Shares or Related Securities: (a) by bona fide gift or gifts, will or intestacy; (b) to a Family Member of the undersigned or any trust or other entity formed for estate planning purposes for the direct or indirect benefit of the undersigned or a Family Member of the undersigned; (c) if the undersigned is a corporation, partnership or other business entity, (1) as a distribution to general and/or limited partners, stockholders or members of the undersigned or (2) to the undersigned’s affiliates or to any investment fund or other entity controlled or managed by the undersigned or as a part of a disposition, transfer or distribution without consideration by the undersigned to its equity holders; or (d) if the undersigned is a trust, to a trustor or beneficiary of the trust;</w:t>
      </w:r>
    </w:p>
    <w:p>
      <w:pPr>
        <w:spacing w:after="0" w:line="83" w:lineRule="exact"/>
        <w:rPr>
          <w:rFonts w:ascii="Arial" w:cs="Arial" w:eastAsia="Arial" w:hAnsi="Arial"/>
          <w:sz w:val="17"/>
          <w:szCs w:val="17"/>
          <w:color w:val="auto"/>
        </w:rPr>
      </w:pPr>
    </w:p>
    <w:p>
      <w:pPr>
        <w:ind w:left="980" w:hanging="54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transfer of Shares or Related Securities to the Company upon a vesting event of the Company’s securities or upon the exercise or conversion of options or warrants to purchase the Company’s securities, in each case, on a “cashless” or “net exercise” basis or to cover tax withholding obligations of the undersigned in connection with such vesting or exercise;</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transfer of Shares or Related Securities by operation of law, including pursuant to a domestic order or a negotiated divorce settlement;</w:t>
      </w:r>
    </w:p>
    <w:p>
      <w:pPr>
        <w:spacing w:after="0" w:line="153" w:lineRule="exact"/>
        <w:rPr>
          <w:rFonts w:ascii="Arial" w:cs="Arial" w:eastAsia="Arial" w:hAnsi="Arial"/>
          <w:sz w:val="16"/>
          <w:szCs w:val="16"/>
          <w:color w:val="auto"/>
        </w:rPr>
      </w:pPr>
    </w:p>
    <w:p>
      <w:pPr>
        <w:ind w:left="980" w:right="140" w:hanging="544"/>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transfer of Shares or Related Securities pursuant to agreements under which the Company has the option to repurchase such Shares or Related Securities or the Company has a right of first refusal with respect to transfers of such Shares or Related Securities; or</w:t>
      </w:r>
    </w:p>
    <w:p>
      <w:pPr>
        <w:spacing w:after="0" w:line="29" w:lineRule="exact"/>
        <w:rPr>
          <w:rFonts w:ascii="Arial" w:cs="Arial" w:eastAsia="Arial" w:hAnsi="Arial"/>
          <w:sz w:val="16"/>
          <w:szCs w:val="16"/>
          <w:color w:val="auto"/>
        </w:rPr>
      </w:pPr>
    </w:p>
    <w:p>
      <w:pPr>
        <w:ind w:left="980" w:right="780" w:hanging="54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transfer of Shares or Related Securities pursuant to a bona fide third party tender offer, merger, consolidation or other similar transaction made to all holders of Shares or Related Securities involving a change of control of the Company;</w:t>
      </w:r>
    </w:p>
    <w:p>
      <w:pPr>
        <w:sectPr>
          <w:pgSz w:w="11900" w:h="16838" w:orient="portrait"/>
          <w:cols w:equalWidth="0" w:num="1">
            <w:col w:w="11020"/>
          </w:cols>
          <w:pgMar w:left="440" w:top="274" w:right="439" w:bottom="1440" w:gutter="0" w:footer="0" w:header="0"/>
        </w:sectPr>
      </w:pPr>
    </w:p>
    <w:bookmarkStart w:id="41" w:name="page42"/>
    <w:bookmarkEnd w:id="41"/>
    <w:p>
      <w:pPr>
        <w:ind w:right="40"/>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w:t>
      </w:r>
      <w:r>
        <w:rPr>
          <w:rFonts w:ascii="Arial" w:cs="Arial" w:eastAsia="Arial" w:hAnsi="Arial"/>
          <w:sz w:val="17"/>
          <w:szCs w:val="17"/>
          <w:color w:val="auto"/>
        </w:rPr>
        <w:t>, that for clause (ii) above, (1) the Representatives receive a signed lock-up agreement in substantially the form of this letter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for the balance of the Lock-Up Period from each donee, trustee, distributee or transferee, as the case may be, (2) any such transfer shall not involve a disposition for value, (3) such transfers are not required to be reported, during the Lock-Up Period, with the SEC on Form 4 in accordance with Section 16 of the Exchange Act, and (4) the undersigned does not otherwise voluntarily effect any public filing or report regarding such transfers during the Lock-Up Period;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clause (iii) above, other than in respect of warrants that will expire or automatically exercise by their terms in connection with the Offering (and in such case, the applicable Form 4 shall indicate in the footnotes thereto that the filing relates to the applicable circumstances described in clause (iii) above), (1) such transfers are not required to be reported, during the Lock-Up Period, with the SEC on Form 4 in accordance with Section 16 of the Exchange Act and (2) the undersigned does not otherwise voluntarily effect any public filing or report regarding such transfers during the Lock-Up Period;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clause (iv) above, any Shares or Related Securities received upon such transfer remain subject to the terms of this letter agreement;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clause (vi) above, in the event that the tender offer, merger, consolidation or other such transaction is not completed, the Shares or Related Securities owned by the undersigned shall remain subject to the restrictions contained in this letter agreement.</w:t>
      </w:r>
    </w:p>
    <w:p>
      <w:pPr>
        <w:spacing w:after="0" w:line="18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Furthermore, during the Lock-Up Period, the undersigned may: (a) sell Shares of the Company purchased by the undersigned in the Offering or on the open market following the Offering if and only if (x) such sales are not required during the Lock-Up Period to be reported in any press release or public report or filing with the SEC, or otherwise, and (y) the undersigned does not otherwise voluntarily effect any press release, public filing or report regarding such sales during the Lock-Up Period; and (b) exercise any rights to purchase, exchange or convert any stock options granted pursuant to the Company’s equity incentive or employee stock plans existing as of the date of the Underwriting Agreement or warrants or any other securities existing as of the date of the Underwriting Agreement, which securities are convertible into or exchangeable or exercisable for Shares, if and only if (but subject to clause (iii), including the proviso related to such clause, in the immediately preceding paragraph) the Shares received upon such exercise, purchase, exchange or conversion shall remain subject to the terms of this letter agreement.</w:t>
      </w:r>
    </w:p>
    <w:p>
      <w:pPr>
        <w:spacing w:after="0" w:line="1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the restrictions on transfer and disposition of the Shares or Related Securities during the Lock-Up Period shall not apply to the forfeiture or repurchase of Shares or Related Securities by the Company in connection with the termination of the undersigned’s employment or other service with the Company.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Notwithstanding anything herein to the contrary, nothing herein shall prevent the undersigned from (A) selling Shares or Related Securities under a 10b5-l trading plan existing as of the date hereof that complies with Rule 10b5-l under the Exchange Act (a “10b5-1 Trading Plan”), or (B) establishing a 10b5-1 Trading Plan for the sale of Shares provided that such plan does not provide for any sales of Shares or Related Securities during the Lock-Up Period.</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ectPr>
          <w:pgSz w:w="11900" w:h="16838" w:orient="portrait"/>
          <w:cols w:equalWidth="0" w:num="1">
            <w:col w:w="11000"/>
          </w:cols>
          <w:pgMar w:left="440" w:top="274" w:right="459" w:bottom="1440" w:gutter="0" w:footer="0" w:header="0"/>
        </w:sectPr>
      </w:pPr>
    </w:p>
    <w:bookmarkStart w:id="42" w:name="page43"/>
    <w:bookmarkEnd w:id="4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understands that, if the Underwriting Agreement does not become effective by January 15, 2020, or if the Underwriting Agreement (other than the provisions thereof which survive termination) shall terminate or be terminated prior to payment for and delivery of the Shares to be sold thereunder, the undersigned shall be released from, all obligations under this letter agreement. The undersigned understands that the Underwriters are entering into the Underwriting Agreement and proceeding with the Offering in reliance upon this letter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00"/>
          </w:cols>
          <w:pgMar w:left="440" w:top="274" w:right="5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5260" w:type="dxa"/>
            <w:vAlign w:val="bottom"/>
            <w:gridSpan w:val="4"/>
          </w:tcPr>
          <w:p>
            <w:pPr>
              <w:spacing w:after="0"/>
              <w:rPr>
                <w:sz w:val="20"/>
                <w:szCs w:val="20"/>
                <w:color w:val="auto"/>
              </w:rPr>
            </w:pPr>
            <w:r>
              <w:rPr>
                <w:rFonts w:ascii="Arial" w:cs="Arial" w:eastAsia="Arial" w:hAnsi="Arial"/>
                <w:sz w:val="18"/>
                <w:szCs w:val="18"/>
                <w:color w:val="auto"/>
              </w:rPr>
              <w:t>Very truly yours,</w:t>
            </w: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IF AN INDIVIDUAL:</w:t>
            </w:r>
          </w:p>
        </w:tc>
        <w:tc>
          <w:tcPr>
            <w:tcW w:w="5780" w:type="dxa"/>
            <w:vAlign w:val="bottom"/>
            <w:gridSpan w:val="4"/>
          </w:tcPr>
          <w:p>
            <w:pPr>
              <w:ind w:left="640"/>
              <w:spacing w:after="0"/>
              <w:rPr>
                <w:sz w:val="20"/>
                <w:szCs w:val="20"/>
                <w:color w:val="auto"/>
              </w:rPr>
            </w:pPr>
            <w:r>
              <w:rPr>
                <w:rFonts w:ascii="Arial" w:cs="Arial" w:eastAsia="Arial" w:hAnsi="Arial"/>
                <w:sz w:val="18"/>
                <w:szCs w:val="18"/>
                <w:b w:val="1"/>
                <w:bCs w:val="1"/>
                <w:color w:val="auto"/>
              </w:rPr>
              <w:t>IF AN ENTITY:</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40" w:type="dxa"/>
            <w:vAlign w:val="bottom"/>
            <w:gridSpan w:val="3"/>
          </w:tcPr>
          <w:p>
            <w:pPr>
              <w:ind w:left="520"/>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5780" w:type="dxa"/>
            <w:vAlign w:val="bottom"/>
            <w:gridSpan w:val="4"/>
            <w:vMerge w:val="restart"/>
          </w:tcPr>
          <w:p>
            <w:pPr>
              <w:ind w:left="640"/>
              <w:spacing w:after="0"/>
              <w:rPr>
                <w:sz w:val="20"/>
                <w:szCs w:val="20"/>
                <w:color w:val="auto"/>
              </w:rPr>
            </w:pPr>
            <w:r>
              <w:rPr>
                <w:rFonts w:ascii="Arial" w:cs="Arial" w:eastAsia="Arial" w:hAnsi="Arial"/>
                <w:sz w:val="18"/>
                <w:szCs w:val="18"/>
                <w:i w:val="1"/>
                <w:iCs w:val="1"/>
                <w:color w:val="auto"/>
              </w:rPr>
              <w:t>(please print complete name of entity)</w:t>
            </w: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(duly authorized signature)</w:t>
            </w:r>
          </w:p>
        </w:tc>
        <w:tc>
          <w:tcPr>
            <w:tcW w:w="57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240" w:type="dxa"/>
            <w:vAlign w:val="bottom"/>
            <w:gridSpan w:val="3"/>
          </w:tcPr>
          <w:p>
            <w:pPr>
              <w:ind w:left="960"/>
              <w:spacing w:after="0"/>
              <w:rPr>
                <w:sz w:val="20"/>
                <w:szCs w:val="20"/>
                <w:color w:val="auto"/>
              </w:rPr>
            </w:pPr>
            <w:r>
              <w:rPr>
                <w:rFonts w:ascii="Arial" w:cs="Arial" w:eastAsia="Arial" w:hAnsi="Arial"/>
                <w:sz w:val="18"/>
                <w:szCs w:val="18"/>
                <w:color w:val="auto"/>
              </w:rPr>
              <w:t>Name:</w:t>
            </w:r>
          </w:p>
        </w:tc>
        <w:tc>
          <w:tcPr>
            <w:tcW w:w="660" w:type="dxa"/>
            <w:vAlign w:val="bottom"/>
          </w:tcPr>
          <w:p>
            <w:pPr>
              <w:spacing w:after="0"/>
              <w:rPr>
                <w:sz w:val="24"/>
                <w:szCs w:val="24"/>
                <w:color w:val="auto"/>
              </w:rPr>
            </w:pPr>
          </w:p>
        </w:tc>
        <w:tc>
          <w:tcPr>
            <w:tcW w:w="5120" w:type="dxa"/>
            <w:vAlign w:val="bottom"/>
            <w:gridSpan w:val="3"/>
          </w:tcPr>
          <w:p>
            <w:pPr>
              <w:ind w:left="5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(please print full name)</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18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(duly authorized signature)</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20" w:type="dxa"/>
            <w:vAlign w:val="bottom"/>
            <w:gridSpan w:val="3"/>
          </w:tcPr>
          <w:p>
            <w:pPr>
              <w:ind w:left="94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(please print full name)</w:t>
            </w:r>
          </w:p>
        </w:tc>
        <w:tc>
          <w:tcPr>
            <w:tcW w:w="0" w:type="dxa"/>
            <w:vAlign w:val="bottom"/>
          </w:tcPr>
          <w:p>
            <w:pPr>
              <w:spacing w:after="0"/>
              <w:rPr>
                <w:sz w:val="1"/>
                <w:szCs w:val="1"/>
                <w:color w:val="auto"/>
              </w:rPr>
            </w:pPr>
          </w:p>
        </w:tc>
      </w:tr>
      <w:tr>
        <w:trPr>
          <w:trHeight w:val="431"/>
        </w:trPr>
        <w:tc>
          <w:tcPr>
            <w:tcW w:w="526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5780" w:type="dxa"/>
            <w:vAlign w:val="bottom"/>
            <w:gridSpan w:val="4"/>
          </w:tcPr>
          <w:p>
            <w:pPr>
              <w:ind w:left="6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Defined Terms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127" w:lineRule="exact"/>
        <w:rPr>
          <w:sz w:val="20"/>
          <w:szCs w:val="20"/>
          <w:color w:val="auto"/>
        </w:rPr>
      </w:pPr>
    </w:p>
    <w:p>
      <w:pPr>
        <w:ind w:left="980" w:hanging="43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30" w:lineRule="exact"/>
        <w:rPr>
          <w:rFonts w:ascii="Arial" w:cs="Arial" w:eastAsia="Arial" w:hAnsi="Arial"/>
          <w:sz w:val="18"/>
          <w:szCs w:val="18"/>
          <w:color w:val="auto"/>
        </w:rPr>
      </w:pPr>
    </w:p>
    <w:p>
      <w:pPr>
        <w:ind w:left="980" w:right="80" w:hanging="436"/>
        <w:spacing w:after="0" w:line="277"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Family Member</w:t>
      </w:r>
      <w:r>
        <w:rPr>
          <w:rFonts w:ascii="Arial" w:cs="Arial" w:eastAsia="Arial" w:hAnsi="Arial"/>
          <w:sz w:val="17"/>
          <w:szCs w:val="17"/>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7"/>
          <w:szCs w:val="17"/>
          <w:b w:val="1"/>
          <w:bCs w:val="1"/>
          <w:color w:val="auto"/>
        </w:rPr>
        <w:t>Immediate family member</w:t>
      </w:r>
      <w:r>
        <w:rPr>
          <w:rFonts w:ascii="Arial" w:cs="Arial" w:eastAsia="Arial" w:hAnsi="Arial"/>
          <w:sz w:val="17"/>
          <w:szCs w:val="17"/>
          <w:color w:val="auto"/>
        </w:rPr>
        <w:t>” as used above shall have the meaning set forth in Rule 16a-1(e) under the Exchange Act.</w:t>
      </w:r>
    </w:p>
    <w:p>
      <w:pPr>
        <w:spacing w:after="0" w:line="73" w:lineRule="exact"/>
        <w:rPr>
          <w:rFonts w:ascii="Arial" w:cs="Arial" w:eastAsia="Arial" w:hAnsi="Arial"/>
          <w:sz w:val="17"/>
          <w:szCs w:val="17"/>
          <w:color w:val="auto"/>
        </w:rPr>
      </w:pPr>
    </w:p>
    <w:p>
      <w:pPr>
        <w:ind w:left="980" w:right="260" w:hanging="436"/>
        <w:spacing w:after="0" w:line="282"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60 days after the date of the Prospectus (as defined in the Underwriting Agreement).</w:t>
      </w:r>
    </w:p>
    <w:p>
      <w:pPr>
        <w:spacing w:after="0" w:line="67" w:lineRule="exact"/>
        <w:rPr>
          <w:rFonts w:ascii="Arial" w:cs="Arial" w:eastAsia="Arial" w:hAnsi="Arial"/>
          <w:sz w:val="18"/>
          <w:szCs w:val="18"/>
          <w:color w:val="auto"/>
        </w:rPr>
      </w:pPr>
    </w:p>
    <w:p>
      <w:pPr>
        <w:ind w:left="980" w:hanging="43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30" w:lineRule="exact"/>
        <w:rPr>
          <w:rFonts w:ascii="Arial" w:cs="Arial" w:eastAsia="Arial" w:hAnsi="Arial"/>
          <w:sz w:val="18"/>
          <w:szCs w:val="18"/>
          <w:color w:val="auto"/>
        </w:rPr>
      </w:pPr>
    </w:p>
    <w:p>
      <w:pPr>
        <w:ind w:left="980" w:hanging="436"/>
        <w:spacing w:after="0" w:line="347"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1" w:lineRule="exact"/>
        <w:rPr>
          <w:rFonts w:ascii="Arial" w:cs="Arial" w:eastAsia="Arial" w:hAnsi="Arial"/>
          <w:sz w:val="16"/>
          <w:szCs w:val="16"/>
          <w:color w:val="auto"/>
        </w:rPr>
      </w:pPr>
    </w:p>
    <w:p>
      <w:pPr>
        <w:ind w:left="980" w:hanging="43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34" w:lineRule="exact"/>
        <w:rPr>
          <w:rFonts w:ascii="Arial" w:cs="Arial" w:eastAsia="Arial" w:hAnsi="Arial"/>
          <w:sz w:val="18"/>
          <w:szCs w:val="18"/>
          <w:color w:val="auto"/>
        </w:rPr>
      </w:pPr>
    </w:p>
    <w:p>
      <w:pPr>
        <w:ind w:left="1420" w:hanging="322"/>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effect any short sale or establish or increase a Put Equivalent Position or liquidate or decrease any Call Equivalent Position</w:t>
      </w:r>
    </w:p>
    <w:p>
      <w:pPr>
        <w:spacing w:after="0" w:line="142" w:lineRule="exact"/>
        <w:rPr>
          <w:rFonts w:ascii="Arial" w:cs="Arial" w:eastAsia="Arial" w:hAnsi="Arial"/>
          <w:sz w:val="17"/>
          <w:szCs w:val="17"/>
          <w:color w:val="auto"/>
        </w:rPr>
      </w:pPr>
    </w:p>
    <w:p>
      <w:pPr>
        <w:ind w:left="1420" w:hanging="322"/>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each case whether effected directly or indirectly.</w:t>
      </w:r>
    </w:p>
    <w:p>
      <w:pPr>
        <w:spacing w:after="0" w:line="127" w:lineRule="exact"/>
        <w:rPr>
          <w:sz w:val="20"/>
          <w:szCs w:val="20"/>
          <w:color w:val="auto"/>
        </w:rPr>
      </w:pPr>
    </w:p>
    <w:p>
      <w:pPr>
        <w:ind w:left="980" w:right="260" w:hanging="436"/>
        <w:spacing w:after="0" w:line="347"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ectPr>
          <w:pgSz w:w="11900" w:h="16838" w:orient="portrait"/>
          <w:cols w:equalWidth="0" w:num="1">
            <w:col w:w="10980"/>
          </w:cols>
          <w:pgMar w:left="440" w:top="270" w:right="4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w w:val="94"/>
              </w:rPr>
              <w:t>List of Persons Signing Lock-Up Agreement</w:t>
            </w:r>
          </w:p>
        </w:tc>
        <w:tc>
          <w:tcPr>
            <w:tcW w:w="2260" w:type="dxa"/>
            <w:vAlign w:val="bottom"/>
          </w:tcPr>
          <w:p>
            <w:pPr>
              <w:spacing w:after="0"/>
              <w:rPr>
                <w:sz w:val="17"/>
                <w:szCs w:val="17"/>
                <w:color w:val="auto"/>
              </w:rPr>
            </w:pPr>
          </w:p>
        </w:tc>
      </w:tr>
      <w:tr>
        <w:trPr>
          <w:trHeight w:val="480"/>
        </w:trPr>
        <w:tc>
          <w:tcPr>
            <w:tcW w:w="3820" w:type="dxa"/>
            <w:vAlign w:val="bottom"/>
          </w:tcPr>
          <w:p>
            <w:pPr>
              <w:spacing w:after="0"/>
              <w:rPr>
                <w:sz w:val="20"/>
                <w:szCs w:val="20"/>
                <w:color w:val="auto"/>
              </w:rPr>
            </w:pPr>
            <w:r>
              <w:rPr>
                <w:rFonts w:ascii="Arial" w:cs="Arial" w:eastAsia="Arial" w:hAnsi="Arial"/>
                <w:sz w:val="18"/>
                <w:szCs w:val="18"/>
                <w:color w:val="auto"/>
              </w:rPr>
              <w:t>Michael Raab</w:t>
            </w:r>
          </w:p>
        </w:tc>
        <w:tc>
          <w:tcPr>
            <w:tcW w:w="3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David Mott</w:t>
            </w:r>
          </w:p>
        </w:tc>
        <w:tc>
          <w:tcPr>
            <w:tcW w:w="220" w:type="dxa"/>
            <w:vAlign w:val="bottom"/>
          </w:tcPr>
          <w:p>
            <w:pPr>
              <w:spacing w:after="0"/>
              <w:rPr>
                <w:sz w:val="24"/>
                <w:szCs w:val="24"/>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Jan M. Lundberg</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Mark Kaufmann</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Annalisa Jenkins</w:t>
            </w:r>
          </w:p>
        </w:tc>
        <w:tc>
          <w:tcPr>
            <w:tcW w:w="2260" w:type="dxa"/>
            <w:vAlign w:val="bottom"/>
          </w:tcPr>
          <w:p>
            <w:pPr>
              <w:ind w:left="200"/>
              <w:spacing w:after="0"/>
              <w:rPr>
                <w:sz w:val="20"/>
                <w:szCs w:val="20"/>
                <w:color w:val="auto"/>
              </w:rPr>
            </w:pPr>
            <w:r>
              <w:rPr>
                <w:rFonts w:ascii="Arial" w:cs="Arial" w:eastAsia="Arial" w:hAnsi="Arial"/>
                <w:sz w:val="18"/>
                <w:szCs w:val="18"/>
                <w:color w:val="auto"/>
              </w:rPr>
              <w:t>William Bertrand</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David Rosenbaum</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Gordon Ringold</w:t>
            </w:r>
          </w:p>
        </w:tc>
        <w:tc>
          <w:tcPr>
            <w:tcW w:w="2260" w:type="dxa"/>
            <w:vAlign w:val="bottom"/>
          </w:tcPr>
          <w:p>
            <w:pPr>
              <w:ind w:left="200"/>
              <w:spacing w:after="0"/>
              <w:rPr>
                <w:sz w:val="20"/>
                <w:szCs w:val="20"/>
                <w:color w:val="auto"/>
              </w:rPr>
            </w:pPr>
            <w:r>
              <w:rPr>
                <w:rFonts w:ascii="Arial" w:cs="Arial" w:eastAsia="Arial" w:hAnsi="Arial"/>
                <w:sz w:val="18"/>
                <w:szCs w:val="18"/>
                <w:color w:val="auto"/>
              </w:rPr>
              <w:t>Robert Blanks</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Elizabeth Grammer</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Richard Rodgers</w:t>
            </w:r>
          </w:p>
        </w:tc>
        <w:tc>
          <w:tcPr>
            <w:tcW w:w="2260" w:type="dxa"/>
            <w:vAlign w:val="bottom"/>
          </w:tcPr>
          <w:p>
            <w:pPr>
              <w:ind w:left="200"/>
              <w:spacing w:after="0"/>
              <w:rPr>
                <w:sz w:val="20"/>
                <w:szCs w:val="20"/>
                <w:color w:val="auto"/>
              </w:rPr>
            </w:pPr>
            <w:r>
              <w:rPr>
                <w:rFonts w:ascii="Arial" w:cs="Arial" w:eastAsia="Arial" w:hAnsi="Arial"/>
                <w:sz w:val="18"/>
                <w:szCs w:val="18"/>
                <w:color w:val="auto"/>
              </w:rPr>
              <w:t>Jeffrey Jacobs</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Geoffrey A. Block, M.D.</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Robert Bazemore</w:t>
            </w:r>
          </w:p>
        </w:tc>
        <w:tc>
          <w:tcPr>
            <w:tcW w:w="2260" w:type="dxa"/>
            <w:vAlign w:val="bottom"/>
          </w:tcPr>
          <w:p>
            <w:pPr>
              <w:ind w:left="200"/>
              <w:spacing w:after="0"/>
              <w:rPr>
                <w:sz w:val="20"/>
                <w:szCs w:val="20"/>
                <w:color w:val="auto"/>
              </w:rPr>
            </w:pPr>
            <w:r>
              <w:rPr>
                <w:rFonts w:ascii="Arial" w:cs="Arial" w:eastAsia="Arial" w:hAnsi="Arial"/>
                <w:sz w:val="18"/>
                <w:szCs w:val="18"/>
                <w:color w:val="auto"/>
                <w:w w:val="92"/>
              </w:rPr>
              <w:t>Barthold Family Foundation</w:t>
            </w:r>
          </w:p>
        </w:tc>
      </w:tr>
    </w:tbl>
    <w:p>
      <w:pPr>
        <w:sectPr>
          <w:pgSz w:w="11900" w:h="16838" w:orient="portrait"/>
          <w:cols w:equalWidth="0" w:num="1">
            <w:col w:w="11020"/>
          </w:cols>
          <w:pgMar w:left="440" w:top="270" w:right="4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20" w:type="dxa"/>
            <w:vAlign w:val="bottom"/>
          </w:tcPr>
          <w:p>
            <w:pPr>
              <w:ind w:left="1380"/>
              <w:spacing w:after="0"/>
              <w:rPr>
                <w:sz w:val="20"/>
                <w:szCs w:val="20"/>
                <w:color w:val="auto"/>
              </w:rPr>
            </w:pPr>
            <w:r>
              <w:rPr>
                <w:rFonts w:ascii="Arial" w:cs="Arial" w:eastAsia="Arial" w:hAnsi="Arial"/>
                <w:sz w:val="18"/>
                <w:szCs w:val="18"/>
                <w:b w:val="1"/>
                <w:bCs w:val="1"/>
                <w:color w:val="auto"/>
                <w:w w:val="91"/>
              </w:rPr>
              <w:t>Exhibit 5.1</w:t>
            </w:r>
          </w:p>
        </w:tc>
      </w:tr>
      <w:tr>
        <w:trPr>
          <w:trHeight w:val="445"/>
        </w:trPr>
        <w:tc>
          <w:tcPr>
            <w:tcW w:w="4940" w:type="dxa"/>
            <w:vAlign w:val="bottom"/>
          </w:tcPr>
          <w:p>
            <w:pPr>
              <w:spacing w:after="0"/>
              <w:rPr>
                <w:sz w:val="24"/>
                <w:szCs w:val="24"/>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140 Scott Drive</w:t>
            </w:r>
          </w:p>
        </w:tc>
        <w:tc>
          <w:tcPr>
            <w:tcW w:w="2220" w:type="dxa"/>
            <w:vAlign w:val="bottom"/>
          </w:tcPr>
          <w:p>
            <w:pPr>
              <w:spacing w:after="0"/>
              <w:rPr>
                <w:sz w:val="24"/>
                <w:szCs w:val="24"/>
                <w:color w:val="auto"/>
              </w:rPr>
            </w:pPr>
          </w:p>
        </w:tc>
      </w:tr>
      <w:tr>
        <w:trPr>
          <w:trHeight w:val="216"/>
        </w:trPr>
        <w:tc>
          <w:tcPr>
            <w:tcW w:w="4940" w:type="dxa"/>
            <w:vAlign w:val="bottom"/>
          </w:tcPr>
          <w:p>
            <w:pPr>
              <w:spacing w:after="0"/>
              <w:rPr>
                <w:sz w:val="18"/>
                <w:szCs w:val="18"/>
                <w:color w:val="auto"/>
              </w:rPr>
            </w:pPr>
          </w:p>
        </w:tc>
        <w:tc>
          <w:tcPr>
            <w:tcW w:w="6080" w:type="dxa"/>
            <w:vAlign w:val="bottom"/>
            <w:gridSpan w:val="2"/>
          </w:tcPr>
          <w:p>
            <w:pPr>
              <w:ind w:left="2360"/>
              <w:spacing w:after="0"/>
              <w:rPr>
                <w:sz w:val="20"/>
                <w:szCs w:val="20"/>
                <w:color w:val="auto"/>
              </w:rPr>
            </w:pPr>
            <w:r>
              <w:rPr>
                <w:rFonts w:ascii="Arial" w:cs="Arial" w:eastAsia="Arial" w:hAnsi="Arial"/>
                <w:sz w:val="18"/>
                <w:szCs w:val="18"/>
                <w:color w:val="auto"/>
              </w:rPr>
              <w:t>Menlo Park, California 94025</w:t>
            </w:r>
          </w:p>
        </w:tc>
      </w:tr>
      <w:tr>
        <w:trPr>
          <w:trHeight w:val="216"/>
        </w:trPr>
        <w:tc>
          <w:tcPr>
            <w:tcW w:w="4940" w:type="dxa"/>
            <w:vAlign w:val="bottom"/>
          </w:tcPr>
          <w:p>
            <w:pPr>
              <w:spacing w:after="0"/>
              <w:rPr>
                <w:sz w:val="18"/>
                <w:szCs w:val="18"/>
                <w:color w:val="auto"/>
              </w:rPr>
            </w:pPr>
          </w:p>
        </w:tc>
        <w:tc>
          <w:tcPr>
            <w:tcW w:w="6080" w:type="dxa"/>
            <w:vAlign w:val="bottom"/>
            <w:gridSpan w:val="2"/>
          </w:tcPr>
          <w:p>
            <w:pPr>
              <w:ind w:left="2360"/>
              <w:spacing w:after="0"/>
              <w:rPr>
                <w:sz w:val="20"/>
                <w:szCs w:val="20"/>
                <w:color w:val="auto"/>
              </w:rPr>
            </w:pPr>
            <w:r>
              <w:rPr>
                <w:rFonts w:ascii="Arial" w:cs="Arial" w:eastAsia="Arial" w:hAnsi="Arial"/>
                <w:sz w:val="18"/>
                <w:szCs w:val="18"/>
                <w:color w:val="auto"/>
              </w:rPr>
              <w:t>Tel: +1.650.328.4600 Fax: +1.650.463.2600</w:t>
            </w:r>
          </w:p>
        </w:tc>
      </w:tr>
      <w:tr>
        <w:trPr>
          <w:trHeight w:val="230"/>
        </w:trPr>
        <w:tc>
          <w:tcPr>
            <w:tcW w:w="4940" w:type="dxa"/>
            <w:vAlign w:val="bottom"/>
          </w:tcPr>
          <w:p>
            <w:pPr>
              <w:spacing w:after="0"/>
              <w:rPr>
                <w:sz w:val="20"/>
                <w:szCs w:val="20"/>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www.lw.com</w:t>
            </w:r>
          </w:p>
        </w:tc>
        <w:tc>
          <w:tcPr>
            <w:tcW w:w="2220" w:type="dxa"/>
            <w:vAlign w:val="bottom"/>
          </w:tcPr>
          <w:p>
            <w:pPr>
              <w:spacing w:after="0"/>
              <w:rPr>
                <w:sz w:val="20"/>
                <w:szCs w:val="20"/>
                <w:color w:val="auto"/>
              </w:rPr>
            </w:pPr>
          </w:p>
        </w:tc>
      </w:tr>
      <w:tr>
        <w:trPr>
          <w:trHeight w:val="310"/>
        </w:trPr>
        <w:tc>
          <w:tcPr>
            <w:tcW w:w="4940" w:type="dxa"/>
            <w:vAlign w:val="bottom"/>
          </w:tcPr>
          <w:p>
            <w:pPr>
              <w:spacing w:after="0"/>
              <w:rPr>
                <w:sz w:val="24"/>
                <w:szCs w:val="24"/>
                <w:color w:val="auto"/>
              </w:rPr>
            </w:pPr>
          </w:p>
        </w:tc>
        <w:tc>
          <w:tcPr>
            <w:tcW w:w="6080" w:type="dxa"/>
            <w:vAlign w:val="bottom"/>
            <w:gridSpan w:val="2"/>
          </w:tcPr>
          <w:p>
            <w:pPr>
              <w:ind w:left="2360"/>
              <w:spacing w:after="0"/>
              <w:rPr>
                <w:sz w:val="20"/>
                <w:szCs w:val="20"/>
                <w:color w:val="auto"/>
              </w:rPr>
            </w:pPr>
            <w:r>
              <w:rPr>
                <w:rFonts w:ascii="Arial" w:cs="Arial" w:eastAsia="Arial" w:hAnsi="Arial"/>
                <w:sz w:val="18"/>
                <w:szCs w:val="18"/>
                <w:color w:val="auto"/>
              </w:rPr>
              <w:t>FIRM / AFFILIATE OFFICES</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Beijing</w:t>
            </w:r>
          </w:p>
        </w:tc>
        <w:tc>
          <w:tcPr>
            <w:tcW w:w="2220" w:type="dxa"/>
            <w:vAlign w:val="bottom"/>
          </w:tcPr>
          <w:p>
            <w:pPr>
              <w:ind w:left="360"/>
              <w:spacing w:after="0"/>
              <w:rPr>
                <w:sz w:val="20"/>
                <w:szCs w:val="20"/>
                <w:color w:val="auto"/>
              </w:rPr>
            </w:pPr>
            <w:r>
              <w:rPr>
                <w:rFonts w:ascii="Arial" w:cs="Arial" w:eastAsia="Arial" w:hAnsi="Arial"/>
                <w:sz w:val="18"/>
                <w:szCs w:val="18"/>
                <w:color w:val="auto"/>
              </w:rPr>
              <w:t>Moscow</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Boston</w:t>
            </w:r>
          </w:p>
        </w:tc>
        <w:tc>
          <w:tcPr>
            <w:tcW w:w="2220" w:type="dxa"/>
            <w:vAlign w:val="bottom"/>
          </w:tcPr>
          <w:p>
            <w:pPr>
              <w:ind w:left="360"/>
              <w:spacing w:after="0"/>
              <w:rPr>
                <w:sz w:val="20"/>
                <w:szCs w:val="20"/>
                <w:color w:val="auto"/>
              </w:rPr>
            </w:pPr>
            <w:r>
              <w:rPr>
                <w:rFonts w:ascii="Arial" w:cs="Arial" w:eastAsia="Arial" w:hAnsi="Arial"/>
                <w:sz w:val="18"/>
                <w:szCs w:val="18"/>
                <w:color w:val="auto"/>
              </w:rPr>
              <w:t>Munich</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Brussels</w:t>
            </w:r>
          </w:p>
        </w:tc>
        <w:tc>
          <w:tcPr>
            <w:tcW w:w="2220" w:type="dxa"/>
            <w:vAlign w:val="bottom"/>
          </w:tcPr>
          <w:p>
            <w:pPr>
              <w:ind w:left="360"/>
              <w:spacing w:after="0"/>
              <w:rPr>
                <w:sz w:val="20"/>
                <w:szCs w:val="20"/>
                <w:color w:val="auto"/>
              </w:rPr>
            </w:pPr>
            <w:r>
              <w:rPr>
                <w:rFonts w:ascii="Arial" w:cs="Arial" w:eastAsia="Arial" w:hAnsi="Arial"/>
                <w:sz w:val="18"/>
                <w:szCs w:val="18"/>
                <w:color w:val="auto"/>
              </w:rPr>
              <w:t>New York</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Century City</w:t>
            </w:r>
          </w:p>
        </w:tc>
        <w:tc>
          <w:tcPr>
            <w:tcW w:w="2220" w:type="dxa"/>
            <w:vAlign w:val="bottom"/>
          </w:tcPr>
          <w:p>
            <w:pPr>
              <w:ind w:left="360"/>
              <w:spacing w:after="0"/>
              <w:rPr>
                <w:sz w:val="20"/>
                <w:szCs w:val="20"/>
                <w:color w:val="auto"/>
              </w:rPr>
            </w:pPr>
            <w:r>
              <w:rPr>
                <w:rFonts w:ascii="Arial" w:cs="Arial" w:eastAsia="Arial" w:hAnsi="Arial"/>
                <w:sz w:val="18"/>
                <w:szCs w:val="18"/>
                <w:color w:val="auto"/>
              </w:rPr>
              <w:t>Orange County</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Chicago</w:t>
            </w:r>
          </w:p>
        </w:tc>
        <w:tc>
          <w:tcPr>
            <w:tcW w:w="2220" w:type="dxa"/>
            <w:vAlign w:val="bottom"/>
          </w:tcPr>
          <w:p>
            <w:pPr>
              <w:ind w:left="360"/>
              <w:spacing w:after="0"/>
              <w:rPr>
                <w:sz w:val="20"/>
                <w:szCs w:val="20"/>
                <w:color w:val="auto"/>
              </w:rPr>
            </w:pPr>
            <w:r>
              <w:rPr>
                <w:rFonts w:ascii="Arial" w:cs="Arial" w:eastAsia="Arial" w:hAnsi="Arial"/>
                <w:sz w:val="18"/>
                <w:szCs w:val="18"/>
                <w:color w:val="auto"/>
              </w:rPr>
              <w:t>Paris</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Dubai</w:t>
            </w:r>
          </w:p>
        </w:tc>
        <w:tc>
          <w:tcPr>
            <w:tcW w:w="2220" w:type="dxa"/>
            <w:vAlign w:val="bottom"/>
          </w:tcPr>
          <w:p>
            <w:pPr>
              <w:ind w:left="360"/>
              <w:spacing w:after="0"/>
              <w:rPr>
                <w:sz w:val="20"/>
                <w:szCs w:val="20"/>
                <w:color w:val="auto"/>
              </w:rPr>
            </w:pPr>
            <w:r>
              <w:rPr>
                <w:rFonts w:ascii="Arial" w:cs="Arial" w:eastAsia="Arial" w:hAnsi="Arial"/>
                <w:sz w:val="18"/>
                <w:szCs w:val="18"/>
                <w:color w:val="auto"/>
              </w:rPr>
              <w:t>Riyadh</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December 5, 2019</w:t>
            </w:r>
          </w:p>
        </w:tc>
        <w:tc>
          <w:tcPr>
            <w:tcW w:w="3860" w:type="dxa"/>
            <w:vAlign w:val="bottom"/>
          </w:tcPr>
          <w:p>
            <w:pPr>
              <w:ind w:left="2360"/>
              <w:spacing w:after="0"/>
              <w:rPr>
                <w:sz w:val="20"/>
                <w:szCs w:val="20"/>
                <w:color w:val="auto"/>
              </w:rPr>
            </w:pPr>
            <w:r>
              <w:rPr>
                <w:rFonts w:ascii="Arial" w:cs="Arial" w:eastAsia="Arial" w:hAnsi="Arial"/>
                <w:sz w:val="18"/>
                <w:szCs w:val="18"/>
                <w:color w:val="auto"/>
              </w:rPr>
              <w:t>Düsseldorf</w:t>
            </w:r>
          </w:p>
        </w:tc>
        <w:tc>
          <w:tcPr>
            <w:tcW w:w="2220" w:type="dxa"/>
            <w:vAlign w:val="bottom"/>
          </w:tcPr>
          <w:p>
            <w:pPr>
              <w:ind w:left="360"/>
              <w:spacing w:after="0"/>
              <w:rPr>
                <w:sz w:val="20"/>
                <w:szCs w:val="20"/>
                <w:color w:val="auto"/>
              </w:rPr>
            </w:pPr>
            <w:r>
              <w:rPr>
                <w:rFonts w:ascii="Arial" w:cs="Arial" w:eastAsia="Arial" w:hAnsi="Arial"/>
                <w:sz w:val="18"/>
                <w:szCs w:val="18"/>
                <w:color w:val="auto"/>
              </w:rPr>
              <w:t>San Diego</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Frankfurt</w:t>
            </w:r>
          </w:p>
        </w:tc>
        <w:tc>
          <w:tcPr>
            <w:tcW w:w="2220" w:type="dxa"/>
            <w:vAlign w:val="bottom"/>
          </w:tcPr>
          <w:p>
            <w:pPr>
              <w:ind w:left="360"/>
              <w:spacing w:after="0"/>
              <w:rPr>
                <w:sz w:val="20"/>
                <w:szCs w:val="20"/>
                <w:color w:val="auto"/>
              </w:rPr>
            </w:pPr>
            <w:r>
              <w:rPr>
                <w:rFonts w:ascii="Arial" w:cs="Arial" w:eastAsia="Arial" w:hAnsi="Arial"/>
                <w:sz w:val="18"/>
                <w:szCs w:val="18"/>
                <w:color w:val="auto"/>
              </w:rPr>
              <w:t>San Francisco</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Hamburg</w:t>
            </w:r>
          </w:p>
        </w:tc>
        <w:tc>
          <w:tcPr>
            <w:tcW w:w="2220" w:type="dxa"/>
            <w:vAlign w:val="bottom"/>
          </w:tcPr>
          <w:p>
            <w:pPr>
              <w:ind w:left="360"/>
              <w:spacing w:after="0"/>
              <w:rPr>
                <w:sz w:val="20"/>
                <w:szCs w:val="20"/>
                <w:color w:val="auto"/>
              </w:rPr>
            </w:pPr>
            <w:r>
              <w:rPr>
                <w:rFonts w:ascii="Arial" w:cs="Arial" w:eastAsia="Arial" w:hAnsi="Arial"/>
                <w:sz w:val="18"/>
                <w:szCs w:val="18"/>
                <w:color w:val="auto"/>
              </w:rPr>
              <w:t>Seoul</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Hong Kong</w:t>
            </w:r>
          </w:p>
        </w:tc>
        <w:tc>
          <w:tcPr>
            <w:tcW w:w="2220" w:type="dxa"/>
            <w:vAlign w:val="bottom"/>
          </w:tcPr>
          <w:p>
            <w:pPr>
              <w:ind w:left="360"/>
              <w:spacing w:after="0"/>
              <w:rPr>
                <w:sz w:val="20"/>
                <w:szCs w:val="20"/>
                <w:color w:val="auto"/>
              </w:rPr>
            </w:pPr>
            <w:r>
              <w:rPr>
                <w:rFonts w:ascii="Arial" w:cs="Arial" w:eastAsia="Arial" w:hAnsi="Arial"/>
                <w:sz w:val="18"/>
                <w:szCs w:val="18"/>
                <w:color w:val="auto"/>
              </w:rPr>
              <w:t>Shanghai</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Houston</w:t>
            </w:r>
          </w:p>
        </w:tc>
        <w:tc>
          <w:tcPr>
            <w:tcW w:w="2220" w:type="dxa"/>
            <w:vAlign w:val="bottom"/>
          </w:tcPr>
          <w:p>
            <w:pPr>
              <w:ind w:left="360"/>
              <w:spacing w:after="0"/>
              <w:rPr>
                <w:sz w:val="20"/>
                <w:szCs w:val="20"/>
                <w:color w:val="auto"/>
              </w:rPr>
            </w:pPr>
            <w:r>
              <w:rPr>
                <w:rFonts w:ascii="Arial" w:cs="Arial" w:eastAsia="Arial" w:hAnsi="Arial"/>
                <w:sz w:val="18"/>
                <w:szCs w:val="18"/>
                <w:color w:val="auto"/>
              </w:rPr>
              <w:t>Silicon Valley</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London</w:t>
            </w:r>
          </w:p>
        </w:tc>
        <w:tc>
          <w:tcPr>
            <w:tcW w:w="2220" w:type="dxa"/>
            <w:vAlign w:val="bottom"/>
          </w:tcPr>
          <w:p>
            <w:pPr>
              <w:ind w:left="360"/>
              <w:spacing w:after="0"/>
              <w:rPr>
                <w:sz w:val="20"/>
                <w:szCs w:val="20"/>
                <w:color w:val="auto"/>
              </w:rPr>
            </w:pPr>
            <w:r>
              <w:rPr>
                <w:rFonts w:ascii="Arial" w:cs="Arial" w:eastAsia="Arial" w:hAnsi="Arial"/>
                <w:sz w:val="18"/>
                <w:szCs w:val="18"/>
                <w:color w:val="auto"/>
              </w:rPr>
              <w:t>Singapore</w:t>
            </w:r>
          </w:p>
        </w:tc>
      </w:tr>
      <w:tr>
        <w:trPr>
          <w:trHeight w:val="216"/>
        </w:trPr>
        <w:tc>
          <w:tcPr>
            <w:tcW w:w="4940" w:type="dxa"/>
            <w:vAlign w:val="bottom"/>
          </w:tcPr>
          <w:p>
            <w:pPr>
              <w:spacing w:after="0"/>
              <w:rPr>
                <w:sz w:val="18"/>
                <w:szCs w:val="18"/>
                <w:color w:val="auto"/>
              </w:rPr>
            </w:pPr>
          </w:p>
        </w:tc>
        <w:tc>
          <w:tcPr>
            <w:tcW w:w="3860" w:type="dxa"/>
            <w:vAlign w:val="bottom"/>
          </w:tcPr>
          <w:p>
            <w:pPr>
              <w:ind w:left="2360"/>
              <w:spacing w:after="0"/>
              <w:rPr>
                <w:sz w:val="20"/>
                <w:szCs w:val="20"/>
                <w:color w:val="auto"/>
              </w:rPr>
            </w:pPr>
            <w:r>
              <w:rPr>
                <w:rFonts w:ascii="Arial" w:cs="Arial" w:eastAsia="Arial" w:hAnsi="Arial"/>
                <w:sz w:val="18"/>
                <w:szCs w:val="18"/>
                <w:color w:val="auto"/>
              </w:rPr>
              <w:t>Los Angeles</w:t>
            </w:r>
          </w:p>
        </w:tc>
        <w:tc>
          <w:tcPr>
            <w:tcW w:w="2220" w:type="dxa"/>
            <w:vAlign w:val="bottom"/>
          </w:tcPr>
          <w:p>
            <w:pPr>
              <w:ind w:left="360"/>
              <w:spacing w:after="0"/>
              <w:rPr>
                <w:sz w:val="20"/>
                <w:szCs w:val="20"/>
                <w:color w:val="auto"/>
              </w:rPr>
            </w:pPr>
            <w:r>
              <w:rPr>
                <w:rFonts w:ascii="Arial" w:cs="Arial" w:eastAsia="Arial" w:hAnsi="Arial"/>
                <w:sz w:val="18"/>
                <w:szCs w:val="18"/>
                <w:color w:val="auto"/>
              </w:rPr>
              <w:t>Tokyo</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Ardelyx, Inc.</w:t>
            </w:r>
          </w:p>
        </w:tc>
        <w:tc>
          <w:tcPr>
            <w:tcW w:w="3860" w:type="dxa"/>
            <w:vAlign w:val="bottom"/>
          </w:tcPr>
          <w:p>
            <w:pPr>
              <w:ind w:left="2360"/>
              <w:spacing w:after="0"/>
              <w:rPr>
                <w:sz w:val="20"/>
                <w:szCs w:val="20"/>
                <w:color w:val="auto"/>
              </w:rPr>
            </w:pPr>
            <w:r>
              <w:rPr>
                <w:rFonts w:ascii="Arial" w:cs="Arial" w:eastAsia="Arial" w:hAnsi="Arial"/>
                <w:sz w:val="18"/>
                <w:szCs w:val="18"/>
                <w:color w:val="auto"/>
              </w:rPr>
              <w:t>Madrid</w:t>
            </w:r>
          </w:p>
        </w:tc>
        <w:tc>
          <w:tcPr>
            <w:tcW w:w="2220" w:type="dxa"/>
            <w:vAlign w:val="bottom"/>
          </w:tcPr>
          <w:p>
            <w:pPr>
              <w:ind w:left="360"/>
              <w:spacing w:after="0"/>
              <w:rPr>
                <w:sz w:val="20"/>
                <w:szCs w:val="20"/>
                <w:color w:val="auto"/>
              </w:rPr>
            </w:pPr>
            <w:r>
              <w:rPr>
                <w:rFonts w:ascii="Arial" w:cs="Arial" w:eastAsia="Arial" w:hAnsi="Arial"/>
                <w:sz w:val="18"/>
                <w:szCs w:val="18"/>
                <w:color w:val="auto"/>
              </w:rPr>
              <w:t>Washington, D.C.</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34175 Ardenwood Blvd., Suite 200</w:t>
            </w:r>
          </w:p>
        </w:tc>
        <w:tc>
          <w:tcPr>
            <w:tcW w:w="3860" w:type="dxa"/>
            <w:vAlign w:val="bottom"/>
          </w:tcPr>
          <w:p>
            <w:pPr>
              <w:ind w:left="2360"/>
              <w:spacing w:after="0"/>
              <w:rPr>
                <w:sz w:val="20"/>
                <w:szCs w:val="20"/>
                <w:color w:val="auto"/>
              </w:rPr>
            </w:pPr>
            <w:r>
              <w:rPr>
                <w:rFonts w:ascii="Arial" w:cs="Arial" w:eastAsia="Arial" w:hAnsi="Arial"/>
                <w:sz w:val="18"/>
                <w:szCs w:val="18"/>
                <w:color w:val="auto"/>
              </w:rPr>
              <w:t>Milan</w:t>
            </w:r>
          </w:p>
        </w:tc>
        <w:tc>
          <w:tcPr>
            <w:tcW w:w="222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Fremont, CA 94555</w:t>
            </w:r>
          </w:p>
        </w:tc>
        <w:tc>
          <w:tcPr>
            <w:tcW w:w="38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-2331720</wp:posOffset>
            </wp:positionV>
            <wp:extent cx="242697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6970" cy="2743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No. 333-217441 on Form S-3; Up to 23,000,000 shares of Common Stock, par value $0.0001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We have acted as special counsel to Ardelyx,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proposed issuance of up to 23,000,000 shares of common stock, $0.0001 par value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included in a registration statement on Form S-3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April 24, 2017 (Registration No. 333-217441) (as so filed and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 base prospectus dated May 4, 2017 (the “</w:t>
      </w:r>
      <w:r>
        <w:rPr>
          <w:rFonts w:ascii="Arial" w:cs="Arial" w:eastAsia="Arial" w:hAnsi="Arial"/>
          <w:sz w:val="16"/>
          <w:szCs w:val="16"/>
          <w:b w:val="1"/>
          <w:bCs w:val="1"/>
          <w:i w:val="1"/>
          <w:i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a prospectus supplement dated December 4, 2019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an underwriting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dated December 4, 2019, by and among Citigroup Global Markets, Inc., Cowen and Company, LLC, SVB Leerink LLC, and Piper Jaffray &amp; Co., as representatives of the several underwriters named in the underwriting agreement, and the Company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w:t>
      </w:r>
    </w:p>
    <w:p>
      <w:pPr>
        <w:spacing w:after="0" w:line="167"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ectPr>
          <w:pgSz w:w="11900" w:h="16838" w:orient="portrait"/>
          <w:cols w:equalWidth="0" w:num="1">
            <w:col w:w="11020"/>
          </w:cols>
          <w:pgMar w:left="440" w:top="121"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December 5,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1680845"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808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the Shares have been duly authorized by all necessary corporate action of the Company, and, when the Shares shall have been duly registered on the books of the transfer agent and registrar therefor in the name or on behalf of the purchasers, and have been issued by the Company against payment therefor in the circumstances contemplated by the Underwriting Agreement, the Shares will be validly issued, fully paid and nonassessable. In rendering the foregoing opinion, we have assumed that the Company will comply with all applicable notice requirements regarding uncertificated shares provided in the DGCL.</w:t>
      </w:r>
    </w:p>
    <w:p>
      <w:pPr>
        <w:spacing w:after="0" w:line="15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opinion is for your benefit in connection with the Registration Statement and the Prospectus and may be relied upon by you and by persons entitled to rely upon it pursuant to the applicable provisions of the Act. We consent to your filing this opinion as an exhibit to the Company’s Current Report on Form 8-K filed with the Commission on December 5, 2019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Latham &amp; Watkins LLP</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Roman"/>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lowerLetter"/>
      <w:start w:val="3"/>
    </w:lvl>
  </w:abstractNum>
  <w:abstractNum w:abstractNumId="4">
    <w:nsid w:val="333AB105"/>
    <w:multiLevelType w:val="hybridMultilevel"/>
    <w:lvl w:ilvl="0">
      <w:lvlJc w:val="left"/>
      <w:lvlText w:val="%1"/>
      <w:numFmt w:val="lowerLetter"/>
      <w:start w:val="1"/>
    </w:lvl>
    <w:lvl w:ilvl="1">
      <w:lvlJc w:val="left"/>
      <w:lvlText w:val="(%2)"/>
      <w:numFmt w:val="lowerLetter"/>
      <w:start w:val="6"/>
    </w:lvl>
  </w:abstractNum>
  <w:abstractNum w:abstractNumId="5">
    <w:nsid w:val="721DA317"/>
    <w:multiLevelType w:val="hybridMultilevel"/>
    <w:lvl w:ilvl="0">
      <w:lvlJc w:val="left"/>
      <w:lvlText w:val="(%1)"/>
      <w:numFmt w:val="lowerLetter"/>
      <w:start w:val="9"/>
    </w:lvl>
    <w:lvl w:ilvl="1">
      <w:lvlJc w:val="left"/>
      <w:lvlText w:val="(%2)"/>
      <w:numFmt w:val="lowerLetter"/>
      <w:start w:val="9"/>
    </w:lvl>
  </w:abstractNum>
  <w:abstractNum w:abstractNumId="6">
    <w:nsid w:val="2443A858"/>
    <w:multiLevelType w:val="hybridMultilevel"/>
    <w:lvl w:ilvl="0">
      <w:lvlJc w:val="left"/>
      <w:lvlText w:val="(%1)"/>
      <w:numFmt w:val="lowerLetter"/>
      <w:start w:val="11"/>
    </w:lvl>
  </w:abstractNum>
  <w:abstractNum w:abstractNumId="7">
    <w:nsid w:val="2D1D5AE9"/>
    <w:multiLevelType w:val="hybridMultilevel"/>
    <w:lvl w:ilvl="0">
      <w:lvlJc w:val="left"/>
      <w:lvlText w:val="(%1)"/>
      <w:numFmt w:val="lowerLetter"/>
      <w:start w:val="17"/>
    </w:lvl>
  </w:abstractNum>
  <w:abstractNum w:abstractNumId="8">
    <w:nsid w:val="6763845E"/>
    <w:multiLevelType w:val="hybridMultilevel"/>
    <w:lvl w:ilvl="0">
      <w:lvlJc w:val="left"/>
      <w:lvlText w:val="(%1)"/>
      <w:numFmt w:val="lowerLetter"/>
      <w:start w:val="21"/>
    </w:lvl>
  </w:abstractNum>
  <w:abstractNum w:abstractNumId="9">
    <w:nsid w:val="75A2A8D4"/>
    <w:multiLevelType w:val="hybridMultilevel"/>
    <w:lvl w:ilvl="0">
      <w:lvlJc w:val="left"/>
      <w:lvlText w:val="(%1)"/>
      <w:numFmt w:val="lowerLetter"/>
      <w:start w:val="23"/>
    </w:lvl>
  </w:abstractNum>
  <w:abstractNum w:abstractNumId="10">
    <w:nsid w:val="8EDBDAB"/>
    <w:multiLevelType w:val="hybridMultilevel"/>
    <w:lvl w:ilvl="0">
      <w:lvlJc w:val="left"/>
      <w:lvlText w:val="(%1)"/>
      <w:numFmt w:val="lowerLetter"/>
      <w:start w:val="27"/>
    </w:lvl>
  </w:abstractNum>
  <w:abstractNum w:abstractNumId="11">
    <w:nsid w:val="79838CB2"/>
    <w:multiLevelType w:val="hybridMultilevel"/>
    <w:lvl w:ilvl="0">
      <w:lvlJc w:val="left"/>
      <w:lvlText w:val="%1"/>
      <w:numFmt w:val="lowerLetter"/>
      <w:start w:val="1"/>
    </w:lvl>
    <w:lvl w:ilvl="1">
      <w:lvlJc w:val="left"/>
      <w:lvlText w:val="(%2)"/>
      <w:numFmt w:val="lowerLetter"/>
      <w:start w:val="31"/>
    </w:lvl>
  </w:abstractNum>
  <w:abstractNum w:abstractNumId="12">
    <w:nsid w:val="4353D0CD"/>
    <w:multiLevelType w:val="hybridMultilevel"/>
    <w:lvl w:ilvl="0">
      <w:lvlJc w:val="left"/>
      <w:lvlText w:val="(%1)"/>
      <w:numFmt w:val="lowerLetter"/>
      <w:start w:val="61"/>
    </w:lvl>
    <w:lvl w:ilvl="1">
      <w:lvlJc w:val="left"/>
      <w:lvlText w:val="(%2)"/>
      <w:numFmt w:val="lowerLetter"/>
      <w:start w:val="35"/>
    </w:lvl>
  </w:abstractNum>
  <w:abstractNum w:abstractNumId="13">
    <w:nsid w:val="B03E0C6"/>
    <w:multiLevelType w:val="hybridMultilevel"/>
    <w:lvl w:ilvl="0">
      <w:lvlJc w:val="left"/>
      <w:lvlText w:val="(%1)"/>
      <w:numFmt w:val="lowerLetter"/>
      <w:start w:val="36"/>
    </w:lvl>
  </w:abstractNum>
  <w:abstractNum w:abstractNumId="14">
    <w:nsid w:val="189A769B"/>
    <w:multiLevelType w:val="hybridMultilevel"/>
    <w:lvl w:ilvl="0">
      <w:lvlJc w:val="left"/>
      <w:lvlText w:val="(%1)"/>
      <w:numFmt w:val="lowerLetter"/>
      <w:start w:val="39"/>
    </w:lvl>
  </w:abstractNum>
  <w:abstractNum w:abstractNumId="15">
    <w:nsid w:val="54E49EB4"/>
    <w:multiLevelType w:val="hybridMultilevel"/>
    <w:lvl w:ilvl="0">
      <w:lvlJc w:val="left"/>
      <w:lvlText w:val="%1"/>
      <w:numFmt w:val="lowerLetter"/>
      <w:start w:val="1"/>
    </w:lvl>
    <w:lvl w:ilvl="1">
      <w:lvlJc w:val="left"/>
      <w:lvlText w:val="(%2)"/>
      <w:numFmt w:val="lowerLetter"/>
      <w:start w:val="1"/>
    </w:lvl>
  </w:abstractNum>
  <w:abstractNum w:abstractNumId="16">
    <w:nsid w:val="71F32454"/>
    <w:multiLevelType w:val="hybridMultilevel"/>
    <w:lvl w:ilvl="0">
      <w:lvlJc w:val="left"/>
      <w:lvlText w:val="(%1)"/>
      <w:numFmt w:val="lowerLetter"/>
      <w:start w:val="9"/>
    </w:lvl>
    <w:lvl w:ilvl="1">
      <w:lvlJc w:val="left"/>
      <w:lvlText w:val="(%2)"/>
      <w:numFmt w:val="lowerLetter"/>
      <w:start w:val="4"/>
    </w:lvl>
  </w:abstractNum>
  <w:abstractNum w:abstractNumId="17">
    <w:nsid w:val="2CA88611"/>
    <w:multiLevelType w:val="hybridMultilevel"/>
    <w:lvl w:ilvl="0">
      <w:lvlJc w:val="left"/>
      <w:lvlText w:val="%1"/>
      <w:numFmt w:val="lowerLetter"/>
      <w:start w:val="1"/>
    </w:lvl>
    <w:lvl w:ilvl="1">
      <w:lvlJc w:val="left"/>
      <w:lvlText w:val="(%2)"/>
      <w:numFmt w:val="lowerLetter"/>
      <w:start w:val="35"/>
    </w:lvl>
  </w:abstractNum>
  <w:abstractNum w:abstractNumId="18">
    <w:nsid w:val="836C40E"/>
    <w:multiLevelType w:val="hybridMultilevel"/>
    <w:lvl w:ilvl="0">
      <w:lvlJc w:val="left"/>
      <w:lvlText w:val="(%1)"/>
      <w:numFmt w:val="lowerLetter"/>
      <w:start w:val="6"/>
    </w:lvl>
    <w:lvl w:ilvl="1">
      <w:lvlJc w:val="left"/>
      <w:lvlText w:val="%2"/>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3"/>
    </w:lvl>
  </w:abstractNum>
  <w:abstractNum w:abstractNumId="21">
    <w:nsid w:val="8138641"/>
    <w:multiLevelType w:val="hybridMultilevel"/>
    <w:lvl w:ilvl="0">
      <w:lvlJc w:val="left"/>
      <w:lvlText w:val="(%1)"/>
      <w:numFmt w:val="lowerLetter"/>
      <w:start w:val="6"/>
    </w:lvl>
  </w:abstractNum>
  <w:abstractNum w:abstractNumId="22">
    <w:nsid w:val="1E7FF521"/>
    <w:multiLevelType w:val="hybridMultilevel"/>
    <w:lvl w:ilvl="0">
      <w:lvlJc w:val="left"/>
      <w:lvlText w:val="(%1)"/>
      <w:numFmt w:val="lowerLetter"/>
      <w:start w:val="11"/>
    </w:lvl>
  </w:abstractNum>
  <w:abstractNum w:abstractNumId="23">
    <w:nsid w:val="7C3DBD3D"/>
    <w:multiLevelType w:val="hybridMultilevel"/>
    <w:lvl w:ilvl="0">
      <w:lvlJc w:val="left"/>
      <w:lvlText w:val="(%1)"/>
      <w:numFmt w:val="lowerLetter"/>
      <w:start w:val="15"/>
    </w:lvl>
  </w:abstractNum>
  <w:abstractNum w:abstractNumId="24">
    <w:nsid w:val="737B8DDC"/>
    <w:multiLevelType w:val="hybridMultilevel"/>
    <w:lvl w:ilvl="0">
      <w:lvlJc w:val="left"/>
      <w:lvlText w:val="(%1)"/>
      <w:numFmt w:val="lowerLetter"/>
      <w:start w:val="19"/>
    </w:lvl>
  </w:abstractNum>
  <w:abstractNum w:abstractNumId="25">
    <w:nsid w:val="6CEAF087"/>
    <w:multiLevelType w:val="hybridMultilevel"/>
    <w:lvl w:ilvl="0">
      <w:lvlJc w:val="left"/>
      <w:lvlText w:val="(%1)"/>
      <w:numFmt w:val="lowerRoman"/>
      <w:start w:val="4"/>
    </w:lvl>
  </w:abstractNum>
  <w:abstractNum w:abstractNumId="26">
    <w:nsid w:val="22221A70"/>
    <w:multiLevelType w:val="hybridMultilevel"/>
    <w:lvl w:ilvl="0">
      <w:lvlJc w:val="left"/>
      <w:lvlText w:val="(%1)"/>
      <w:numFmt w:val="lowerLetter"/>
      <w:start w:val="1"/>
    </w:lvl>
    <w:lvl w:ilvl="1">
      <w:lvlJc w:val="left"/>
      <w:lvlText w:val="(%2)"/>
      <w:numFmt w:val="lowerRoman"/>
      <w:start w:val="1"/>
    </w:lvl>
  </w:abstractNum>
  <w:abstractNum w:abstractNumId="27">
    <w:nsid w:val="4516DDE9"/>
    <w:multiLevelType w:val="hybridMultilevel"/>
    <w:lvl w:ilvl="0">
      <w:lvlJc w:val="left"/>
      <w:lvlText w:val="(%1)"/>
      <w:numFmt w:val="lowerLetter"/>
      <w:start w:val="4"/>
    </w:lvl>
    <w:lvl w:ilvl="1">
      <w:lvlJc w:val="left"/>
      <w:lvlText w:val="(%2)"/>
      <w:numFmt w:val="lowerRoman"/>
      <w:start w:val="1"/>
    </w:lvl>
  </w:abstractNum>
  <w:abstractNum w:abstractNumId="28">
    <w:nsid w:val="3006C83E"/>
    <w:multiLevelType w:val="hybridMultilevel"/>
    <w:lvl w:ilvl="0">
      <w:lvlJc w:val="left"/>
      <w:lvlText w:val="(%1)"/>
      <w:numFmt w:val="lowerLetter"/>
      <w:start w:val="1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lowerLetter"/>
      <w:start w:val="3"/>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Roman"/>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lowerRoman"/>
      <w:start w:val="1"/>
    </w:lvl>
  </w:abstractNum>
  <w:abstractNum w:abstractNumId="36">
    <w:nsid w:val="7724C67E"/>
    <w:multiLevelType w:val="hybridMultilevel"/>
    <w:lvl w:ilvl="0">
      <w:lvlJc w:val="left"/>
      <w:lvlText w:val="•"/>
      <w:numFmt w:val="bullet"/>
      <w:start w:val="1"/>
    </w:lvl>
    <w:lvl w:ilvl="1">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2019-12-28T01:10:54Z</dcterms:created>
  <dcterms:modified xsi:type="dcterms:W3CDTF">2019-12-28T01:10:54Z</dcterms:modified>
</cp:coreProperties>
</file>