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-219075</wp:posOffset>
            </wp:positionV>
            <wp:extent cx="575437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jc w:val="center"/>
        <w:ind w:right="-19"/>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87630</wp:posOffset>
            </wp:positionH>
            <wp:positionV relativeFrom="paragraph">
              <wp:posOffset>55880</wp:posOffset>
            </wp:positionV>
            <wp:extent cx="55829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2920" cy="8890"/>
                    </a:xfrm>
                    <a:prstGeom prst="rect">
                      <a:avLst/>
                    </a:prstGeom>
                    <a:noFill/>
                  </pic:spPr>
                </pic:pic>
              </a:graphicData>
            </a:graphic>
          </wp:anchor>
        </w:drawing>
      </w:r>
    </w:p>
    <w:p>
      <w:pPr>
        <w:spacing w:after="0" w:line="135" w:lineRule="exact"/>
        <w:rPr>
          <w:sz w:val="24"/>
          <w:szCs w:val="24"/>
          <w:color w:val="auto"/>
        </w:rPr>
      </w:pPr>
    </w:p>
    <w:p>
      <w:pPr>
        <w:jc w:val="center"/>
        <w:ind w:right="-19"/>
        <w:spacing w:after="0" w:line="368" w:lineRule="exact"/>
        <w:rPr>
          <w:sz w:val="20"/>
          <w:szCs w:val="20"/>
          <w:color w:val="auto"/>
        </w:rPr>
      </w:pPr>
      <w:r>
        <w:rPr>
          <w:rFonts w:ascii="Arial" w:cs="Arial" w:eastAsia="Arial" w:hAnsi="Arial"/>
          <w:sz w:val="32"/>
          <w:szCs w:val="32"/>
          <w:b w:val="1"/>
          <w:bCs w:val="1"/>
          <w:color w:val="auto"/>
        </w:rPr>
        <w:t>FORM 8</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87630</wp:posOffset>
            </wp:positionH>
            <wp:positionV relativeFrom="paragraph">
              <wp:posOffset>75565</wp:posOffset>
            </wp:positionV>
            <wp:extent cx="55829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2920" cy="8890"/>
                    </a:xfrm>
                    <a:prstGeom prst="rect">
                      <a:avLst/>
                    </a:prstGeom>
                    <a:noFill/>
                  </pic:spPr>
                </pic:pic>
              </a:graphicData>
            </a:graphic>
          </wp:anchor>
        </w:drawing>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jc w:val="center"/>
        <w:ind w:right="-19"/>
        <w:spacing w:after="0" w:line="205" w:lineRule="auto"/>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March 14,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87630</wp:posOffset>
            </wp:positionH>
            <wp:positionV relativeFrom="paragraph">
              <wp:posOffset>71120</wp:posOffset>
            </wp:positionV>
            <wp:extent cx="55829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2920" cy="8890"/>
                    </a:xfrm>
                    <a:prstGeom prst="rect">
                      <a:avLst/>
                    </a:prstGeom>
                    <a:noFill/>
                  </pic:spPr>
                </pic:pic>
              </a:graphicData>
            </a:graphic>
          </wp:anchor>
        </w:drawing>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ARDELYX, INC.</w:t>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87630</wp:posOffset>
            </wp:positionH>
            <wp:positionV relativeFrom="paragraph">
              <wp:posOffset>125095</wp:posOffset>
            </wp:positionV>
            <wp:extent cx="55829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82920" cy="8890"/>
                    </a:xfrm>
                    <a:prstGeom prst="rect">
                      <a:avLst/>
                    </a:prstGeom>
                    <a:noFill/>
                  </pic:spPr>
                </pic:pic>
              </a:graphicData>
            </a:graphic>
          </wp:anchor>
        </w:drawing>
      </w:r>
    </w:p>
    <w:p>
      <w:pPr>
        <w:sectPr>
          <w:pgSz w:w="11900" w:h="16838" w:orient="portrait"/>
          <w:cols w:equalWidth="0" w:num="1">
            <w:col w:w="9040"/>
          </w:cols>
          <w:pgMar w:left="1420" w:top="226" w:right="1439" w:bottom="1440" w:gutter="0" w:footer="0" w:header="0"/>
        </w:sectPr>
      </w:pPr>
    </w:p>
    <w:p>
      <w:pPr>
        <w:spacing w:after="0" w:line="200" w:lineRule="exact"/>
        <w:rPr>
          <w:sz w:val="24"/>
          <w:szCs w:val="24"/>
          <w:color w:val="auto"/>
        </w:rPr>
      </w:pPr>
    </w:p>
    <w:p>
      <w:pPr>
        <w:spacing w:after="0" w:line="275" w:lineRule="exact"/>
        <w:rPr>
          <w:sz w:val="24"/>
          <w:szCs w:val="24"/>
          <w:color w:val="auto"/>
        </w:rPr>
      </w:pPr>
    </w:p>
    <w:p>
      <w:pPr>
        <w:ind w:left="11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jc w:val="center"/>
        <w:ind w:right="1420"/>
        <w:spacing w:after="0" w:line="184" w:lineRule="exact"/>
        <w:rPr>
          <w:sz w:val="20"/>
          <w:szCs w:val="20"/>
          <w:color w:val="auto"/>
        </w:rPr>
      </w:pPr>
      <w:r>
        <w:rPr>
          <w:rFonts w:ascii="Arial" w:cs="Arial" w:eastAsia="Arial" w:hAnsi="Arial"/>
          <w:sz w:val="16"/>
          <w:szCs w:val="16"/>
          <w:b w:val="1"/>
          <w:bCs w:val="1"/>
          <w:color w:val="auto"/>
        </w:rPr>
        <w:t>001</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36485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26</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1303944</w:t>
      </w:r>
    </w:p>
    <w:p>
      <w:pPr>
        <w:spacing w:after="0" w:line="1" w:lineRule="exact"/>
        <w:rPr>
          <w:sz w:val="24"/>
          <w:szCs w:val="24"/>
          <w:color w:val="auto"/>
        </w:rPr>
      </w:pPr>
    </w:p>
    <w:p>
      <w:pPr>
        <w:sectPr>
          <w:pgSz w:w="11900" w:h="16838" w:orient="portrait"/>
          <w:cols w:equalWidth="0" w:num="3">
            <w:col w:w="3540" w:space="720"/>
            <w:col w:w="2200" w:space="720"/>
            <w:col w:w="1860"/>
          </w:cols>
          <w:pgMar w:left="1420" w:top="226" w:right="1439" w:bottom="1440" w:gutter="0" w:footer="0" w:header="0"/>
          <w:type w:val="continuous"/>
        </w:sectPr>
      </w:pPr>
    </w:p>
    <w:p>
      <w:pPr>
        <w:jc w:val="center"/>
        <w:ind w:right="400"/>
        <w:spacing w:after="0" w:line="221" w:lineRule="auto"/>
        <w:rPr>
          <w:sz w:val="20"/>
          <w:szCs w:val="20"/>
          <w:color w:val="auto"/>
        </w:rPr>
      </w:pPr>
      <w:r>
        <w:rPr>
          <w:rFonts w:ascii="Arial" w:cs="Arial" w:eastAsia="Arial" w:hAnsi="Arial"/>
          <w:sz w:val="13"/>
          <w:szCs w:val="13"/>
          <w:b w:val="1"/>
          <w:bCs w:val="1"/>
          <w:color w:val="auto"/>
        </w:rPr>
        <w:t>(State or other jurisdiction</w:t>
      </w:r>
    </w:p>
    <w:p>
      <w:pPr>
        <w:spacing w:after="0" w:line="1" w:lineRule="exact"/>
        <w:rPr>
          <w:sz w:val="24"/>
          <w:szCs w:val="24"/>
          <w:color w:val="auto"/>
        </w:rPr>
      </w:pPr>
    </w:p>
    <w:p>
      <w:pPr>
        <w:jc w:val="center"/>
        <w:ind w:right="4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700"/>
        <w:spacing w:after="0" w:line="206" w:lineRule="auto"/>
        <w:rPr>
          <w:sz w:val="20"/>
          <w:szCs w:val="20"/>
          <w:color w:val="auto"/>
        </w:rPr>
      </w:pPr>
      <w:r>
        <w:rPr>
          <w:rFonts w:ascii="Arial" w:cs="Arial" w:eastAsia="Arial" w:hAnsi="Arial"/>
          <w:sz w:val="14"/>
          <w:szCs w:val="14"/>
          <w:b w:val="1"/>
          <w:bCs w:val="1"/>
          <w:color w:val="auto"/>
        </w:rPr>
        <w:t>(IRS Employer</w:t>
      </w:r>
    </w:p>
    <w:p>
      <w:pPr>
        <w:jc w:val="center"/>
        <w:ind w:right="700"/>
        <w:spacing w:after="0"/>
        <w:rPr>
          <w:sz w:val="20"/>
          <w:szCs w:val="20"/>
          <w:color w:val="auto"/>
        </w:rPr>
      </w:pPr>
      <w:r>
        <w:rPr>
          <w:rFonts w:ascii="Arial" w:cs="Arial" w:eastAsia="Arial" w:hAnsi="Arial"/>
          <w:sz w:val="13"/>
          <w:szCs w:val="13"/>
          <w:b w:val="1"/>
          <w:bCs w:val="1"/>
          <w:color w:val="auto"/>
        </w:rPr>
        <w:t>Identification Number)</w:t>
      </w:r>
    </w:p>
    <w:p>
      <w:pPr>
        <w:spacing w:after="0" w:line="165" w:lineRule="exact"/>
        <w:rPr>
          <w:sz w:val="24"/>
          <w:szCs w:val="24"/>
          <w:color w:val="auto"/>
        </w:rPr>
      </w:pPr>
    </w:p>
    <w:p>
      <w:pPr>
        <w:sectPr>
          <w:pgSz w:w="11900" w:h="16838" w:orient="portrait"/>
          <w:cols w:equalWidth="0" w:num="3">
            <w:col w:w="3500" w:space="720"/>
            <w:col w:w="1960" w:space="720"/>
            <w:col w:w="2140"/>
          </w:cols>
          <w:pgMar w:left="1420" w:top="226" w:right="143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34175 Ardenwood Blvd., Suite 200</w:t>
      </w:r>
    </w:p>
    <w:p>
      <w:pPr>
        <w:jc w:val="center"/>
        <w:ind w:right="-39"/>
        <w:spacing w:after="0" w:line="193" w:lineRule="auto"/>
        <w:rPr>
          <w:sz w:val="20"/>
          <w:szCs w:val="20"/>
          <w:color w:val="auto"/>
        </w:rPr>
      </w:pPr>
      <w:r>
        <w:rPr>
          <w:rFonts w:ascii="Arial" w:cs="Arial" w:eastAsia="Arial" w:hAnsi="Arial"/>
          <w:sz w:val="18"/>
          <w:szCs w:val="18"/>
          <w:b w:val="1"/>
          <w:bCs w:val="1"/>
          <w:color w:val="auto"/>
        </w:rPr>
        <w:t>Fremont, CA 94555</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ectPr>
          <w:pgSz w:w="11900" w:h="16838" w:orient="portrait"/>
          <w:cols w:equalWidth="0" w:num="1">
            <w:col w:w="9040"/>
          </w:cols>
          <w:pgMar w:left="1420" w:top="226" w:right="1439" w:bottom="1440" w:gutter="0" w:footer="0" w:header="0"/>
          <w:type w:val="continuous"/>
        </w:sectPr>
      </w:pPr>
    </w:p>
    <w:p>
      <w:pPr>
        <w:spacing w:after="0" w:line="161"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Registrant’s telephone number, including area code: (510) 745</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87630</wp:posOffset>
            </wp:positionH>
            <wp:positionV relativeFrom="paragraph">
              <wp:posOffset>68580</wp:posOffset>
            </wp:positionV>
            <wp:extent cx="55829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82920" cy="8890"/>
                    </a:xfrm>
                    <a:prstGeom prst="rect">
                      <a:avLst/>
                    </a:prstGeom>
                    <a:noFill/>
                  </pic:spPr>
                </pic:pic>
              </a:graphicData>
            </a:graphic>
          </wp:anchor>
        </w:drawing>
      </w:r>
    </w:p>
    <w:p>
      <w:pPr>
        <w:spacing w:after="0" w:line="263" w:lineRule="exact"/>
        <w:rPr>
          <w:sz w:val="24"/>
          <w:szCs w:val="24"/>
          <w:color w:val="auto"/>
        </w:rPr>
      </w:pPr>
    </w:p>
    <w:p>
      <w:pPr>
        <w:ind w:right="440"/>
        <w:spacing w:after="0" w:line="20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w:t>
      </w:r>
    </w:p>
    <w:p>
      <w:pPr>
        <w:spacing w:after="0" w:line="67" w:lineRule="exact"/>
        <w:rPr>
          <w:sz w:val="24"/>
          <w:szCs w:val="24"/>
          <w:color w:val="auto"/>
        </w:rPr>
      </w:pPr>
    </w:p>
    <w:p>
      <w:pPr>
        <w:ind w:left="360" w:hanging="357"/>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360" w:hanging="357"/>
        <w:spacing w:after="0" w:line="207" w:lineRule="exact"/>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90" w:lineRule="exact"/>
        <w:rPr>
          <w:rFonts w:ascii="MS PGothic" w:cs="MS PGothic" w:eastAsia="MS PGothic" w:hAnsi="MS PGothic"/>
          <w:sz w:val="18"/>
          <w:szCs w:val="18"/>
          <w:color w:val="auto"/>
        </w:rPr>
      </w:pPr>
    </w:p>
    <w:p>
      <w:pPr>
        <w:ind w:left="360" w:hanging="357"/>
        <w:spacing w:after="0" w:line="196" w:lineRule="exact"/>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w:t>
      </w:r>
      <w:r>
        <w:rPr>
          <w:rFonts w:ascii="MS PGothic" w:cs="MS PGothic" w:eastAsia="MS PGothic" w:hAnsi="MS PGothic"/>
          <w:sz w:val="17"/>
          <w:szCs w:val="17"/>
          <w:color w:val="auto"/>
        </w:rPr>
        <w:t>‑</w:t>
      </w:r>
      <w:r>
        <w:rPr>
          <w:rFonts w:ascii="Arial" w:cs="Arial" w:eastAsia="Arial" w:hAnsi="Arial"/>
          <w:sz w:val="17"/>
          <w:szCs w:val="17"/>
          <w:color w:val="auto"/>
        </w:rPr>
        <w:t>2(b) under the Exchange Act (17 CFR 240.14d</w:t>
      </w:r>
      <w:r>
        <w:rPr>
          <w:rFonts w:ascii="MS PGothic" w:cs="MS PGothic" w:eastAsia="MS PGothic" w:hAnsi="MS PGothic"/>
          <w:sz w:val="17"/>
          <w:szCs w:val="17"/>
          <w:color w:val="auto"/>
        </w:rPr>
        <w:t>‑</w:t>
      </w:r>
      <w:r>
        <w:rPr>
          <w:rFonts w:ascii="Arial" w:cs="Arial" w:eastAsia="Arial" w:hAnsi="Arial"/>
          <w:sz w:val="17"/>
          <w:szCs w:val="17"/>
          <w:color w:val="auto"/>
        </w:rPr>
        <w:t>2(b))</w:t>
      </w:r>
    </w:p>
    <w:p>
      <w:pPr>
        <w:spacing w:after="0" w:line="101" w:lineRule="exact"/>
        <w:rPr>
          <w:rFonts w:ascii="MS PGothic" w:cs="MS PGothic" w:eastAsia="MS PGothic" w:hAnsi="MS PGothic"/>
          <w:sz w:val="17"/>
          <w:szCs w:val="17"/>
          <w:color w:val="auto"/>
        </w:rPr>
      </w:pPr>
    </w:p>
    <w:p>
      <w:pPr>
        <w:ind w:left="360" w:hanging="357"/>
        <w:spacing w:after="0" w:line="196" w:lineRule="exact"/>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w:t>
      </w:r>
      <w:r>
        <w:rPr>
          <w:rFonts w:ascii="MS PGothic" w:cs="MS PGothic" w:eastAsia="MS PGothic" w:hAnsi="MS PGothic"/>
          <w:sz w:val="17"/>
          <w:szCs w:val="17"/>
          <w:color w:val="auto"/>
        </w:rPr>
        <w:t>‑</w:t>
      </w:r>
      <w:r>
        <w:rPr>
          <w:rFonts w:ascii="Arial" w:cs="Arial" w:eastAsia="Arial" w:hAnsi="Arial"/>
          <w:sz w:val="17"/>
          <w:szCs w:val="17"/>
          <w:color w:val="auto"/>
        </w:rPr>
        <w:t>4(c) under the Exchange Act (17 CFR 240.13e</w:t>
      </w:r>
      <w:r>
        <w:rPr>
          <w:rFonts w:ascii="MS PGothic" w:cs="MS PGothic" w:eastAsia="MS PGothic" w:hAnsi="MS PGothic"/>
          <w:sz w:val="17"/>
          <w:szCs w:val="17"/>
          <w:color w:val="auto"/>
        </w:rPr>
        <w:t>‑</w:t>
      </w:r>
      <w:r>
        <w:rPr>
          <w:rFonts w:ascii="Arial" w:cs="Arial" w:eastAsia="Arial" w:hAnsi="Arial"/>
          <w:sz w:val="17"/>
          <w:szCs w:val="17"/>
          <w:color w:val="auto"/>
        </w:rPr>
        <w:t>4(c))</w:t>
      </w:r>
    </w:p>
    <w:p>
      <w:pPr>
        <w:spacing w:after="0" w:line="88" w:lineRule="exact"/>
        <w:rPr>
          <w:sz w:val="24"/>
          <w:szCs w:val="24"/>
          <w:color w:val="auto"/>
        </w:rPr>
      </w:pPr>
    </w:p>
    <w:p>
      <w:pPr>
        <w:spacing w:after="0" w:line="203" w:lineRule="exact"/>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w:t>
      </w:r>
      <w:r>
        <w:rPr>
          <w:rFonts w:ascii="MS PGothic" w:cs="MS PGothic" w:eastAsia="MS PGothic" w:hAnsi="MS PGothic"/>
          <w:sz w:val="16"/>
          <w:szCs w:val="16"/>
          <w:color w:val="auto"/>
        </w:rPr>
        <w:t>‑</w:t>
      </w:r>
      <w:r>
        <w:rPr>
          <w:rFonts w:ascii="Arial" w:cs="Arial" w:eastAsia="Arial" w:hAnsi="Arial"/>
          <w:sz w:val="16"/>
          <w:szCs w:val="16"/>
          <w:color w:val="auto"/>
        </w:rPr>
        <w:t>2 of the Securities Exchange Act of 1934 (§240.12b</w:t>
      </w:r>
      <w:r>
        <w:rPr>
          <w:rFonts w:ascii="MS PGothic" w:cs="MS PGothic" w:eastAsia="MS PGothic" w:hAnsi="MS PGothic"/>
          <w:sz w:val="16"/>
          <w:szCs w:val="16"/>
          <w:color w:val="auto"/>
        </w:rPr>
        <w:t>‑</w:t>
      </w:r>
      <w:r>
        <w:rPr>
          <w:rFonts w:ascii="Arial" w:cs="Arial" w:eastAsia="Arial" w:hAnsi="Arial"/>
          <w:sz w:val="16"/>
          <w:szCs w:val="16"/>
          <w:color w:val="auto"/>
        </w:rPr>
        <w:t>2 of this chapter).</w:t>
      </w:r>
    </w:p>
    <w:p>
      <w:pPr>
        <w:spacing w:after="0" w:line="2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09" w:lineRule="exact"/>
        <w:rPr>
          <w:sz w:val="24"/>
          <w:szCs w:val="24"/>
          <w:color w:val="auto"/>
        </w:rPr>
      </w:pPr>
    </w:p>
    <w:p>
      <w:pPr>
        <w:ind w:right="60"/>
        <w:spacing w:after="0" w:line="20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305435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468630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226" w:right="1439" w:bottom="1440" w:gutter="0" w:footer="0" w:header="0"/>
          <w:type w:val="continuous"/>
        </w:sectPr>
      </w:pPr>
    </w:p>
    <w:bookmarkStart w:id="1" w:name="page2"/>
    <w:bookmarkEnd w:id="1"/>
    <w:p>
      <w:pPr>
        <w:ind w:right="359"/>
        <w:spacing w:after="0" w:line="251"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5" w:lineRule="exact"/>
        <w:rPr>
          <w:sz w:val="20"/>
          <w:szCs w:val="20"/>
          <w:color w:val="auto"/>
        </w:rPr>
      </w:pPr>
    </w:p>
    <w:p>
      <w:pPr>
        <w:ind w:right="139" w:firstLine="648"/>
        <w:spacing w:after="0" w:line="253" w:lineRule="auto"/>
        <w:rPr>
          <w:sz w:val="20"/>
          <w:szCs w:val="20"/>
          <w:color w:val="auto"/>
        </w:rPr>
      </w:pPr>
      <w:r>
        <w:rPr>
          <w:rFonts w:ascii="Arial" w:cs="Arial" w:eastAsia="Arial" w:hAnsi="Arial"/>
          <w:sz w:val="16"/>
          <w:szCs w:val="16"/>
          <w:color w:val="auto"/>
        </w:rPr>
        <w:t>On March 14, 2019, Ardelyx, Inc. (the “Company”) appointed Geoffrey A. Block, M.D. as a member of its board of directors (the “Board”), effective immediately, to serve in Class II until the 2019 Annual Meeting of Stockholders and until his successor is duly elected and qualified, or until his earlier death, resignation or removal. In connection with</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Dr. Block’s appointment, the Board increased the authorized number of members of the Board from eight to nine members.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Following Dr. Block’s appointment, Class II will consist of David Mott, Michael Raab and Dr. Block.</w:t>
      </w:r>
    </w:p>
    <w:p>
      <w:pPr>
        <w:spacing w:after="0" w:line="182" w:lineRule="exact"/>
        <w:rPr>
          <w:sz w:val="20"/>
          <w:szCs w:val="20"/>
          <w:color w:val="auto"/>
        </w:rPr>
      </w:pPr>
    </w:p>
    <w:p>
      <w:pPr>
        <w:ind w:right="19" w:firstLine="648"/>
        <w:spacing w:after="0" w:line="276" w:lineRule="auto"/>
        <w:rPr>
          <w:sz w:val="20"/>
          <w:szCs w:val="20"/>
          <w:color w:val="auto"/>
        </w:rPr>
      </w:pPr>
      <w:r>
        <w:rPr>
          <w:rFonts w:ascii="Arial" w:cs="Arial" w:eastAsia="Arial" w:hAnsi="Arial"/>
          <w:sz w:val="16"/>
          <w:szCs w:val="16"/>
          <w:color w:val="auto"/>
        </w:rPr>
        <w:t>Dr. Block was also appointed to serve as a member of the Nominating and Goverance Committee of the Board effective June 13, 2019. Following the effective date of Dr. Block’s appointment, the Nominating and Governance Committee will consist of Gordon Ringold, Ph.D., as chairman, David Mott, Annalisa Jenkins, MBBS, FRCP, and Dr. Block.</w:t>
      </w:r>
    </w:p>
    <w:p>
      <w:pPr>
        <w:spacing w:after="0" w:line="149" w:lineRule="exact"/>
        <w:rPr>
          <w:sz w:val="20"/>
          <w:szCs w:val="20"/>
          <w:color w:val="auto"/>
        </w:rPr>
      </w:pPr>
    </w:p>
    <w:p>
      <w:pPr>
        <w:ind w:right="79" w:firstLine="648"/>
        <w:spacing w:after="0" w:line="237" w:lineRule="auto"/>
        <w:rPr>
          <w:sz w:val="20"/>
          <w:szCs w:val="20"/>
          <w:color w:val="auto"/>
        </w:rPr>
      </w:pPr>
      <w:r>
        <w:rPr>
          <w:rFonts w:ascii="Arial" w:cs="Arial" w:eastAsia="Arial" w:hAnsi="Arial"/>
          <w:sz w:val="17"/>
          <w:szCs w:val="17"/>
          <w:color w:val="auto"/>
        </w:rPr>
        <w:t>The Board has determined that Dr. Block is independent as defined in Listing Rule 5605 of The Nasdaq Stock Market LLC for purposes of serving on the Board. Pursuant to the Company’s compensation program for its non-employee directors, (the “Director Compensation Program”), Dr. Block will receive an option to purchase 75,000 shares of the Company’s common stock. Dr. Block’s options will have a per share exercise price equal to the last reporting sale price reported by The Nasdaq Stock Market on the date of grant, and the option will vest over three years in substantially equal installments on each monthly anniversary of the grant date so long as Dr. Block remains on the Board through each such vesting date. In addition, Dr. Block will be entitled to receive annual cash retainers in the amount of $40,000 per year for his service on the Board and $5,000 per year for his service on our Nominating and Governance Committee and any other compensation provided pursuant to the Director Compensation Program.</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intends to enter into its standard form of indemnification agreement with Dr. Block.</w:t>
      </w: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61595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400" w:lineRule="exact"/>
        <w:rPr>
          <w:sz w:val="20"/>
          <w:szCs w:val="20"/>
          <w:color w:val="auto"/>
        </w:rPr>
      </w:pPr>
    </w:p>
    <w:p>
      <w:pPr>
        <w:spacing w:after="0"/>
        <w:tabs>
          <w:tab w:leader="none" w:pos="4620" w:val="left"/>
        </w:tabs>
        <w:rPr>
          <w:sz w:val="20"/>
          <w:szCs w:val="20"/>
          <w:color w:val="auto"/>
        </w:rPr>
      </w:pPr>
      <w:r>
        <w:rPr>
          <w:rFonts w:ascii="Arial" w:cs="Arial" w:eastAsia="Arial" w:hAnsi="Arial"/>
          <w:sz w:val="18"/>
          <w:szCs w:val="18"/>
          <w:color w:val="auto"/>
        </w:rPr>
        <w:t>Date: March 18, 2019</w:t>
      </w:r>
      <w:r>
        <w:rPr>
          <w:sz w:val="20"/>
          <w:szCs w:val="20"/>
          <w:color w:val="auto"/>
        </w:rPr>
        <w:tab/>
      </w:r>
      <w:r>
        <w:rPr>
          <w:rFonts w:ascii="Arial" w:cs="Arial" w:eastAsia="Arial" w:hAnsi="Arial"/>
          <w:sz w:val="17"/>
          <w:szCs w:val="17"/>
          <w:color w:val="auto"/>
        </w:rPr>
        <w:t>ARDELYX, INC.</w:t>
      </w:r>
    </w:p>
    <w:p>
      <w:pPr>
        <w:spacing w:after="0" w:line="14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By: /s/ 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3157855</wp:posOffset>
            </wp:positionH>
            <wp:positionV relativeFrom="paragraph">
              <wp:posOffset>6350</wp:posOffset>
            </wp:positionV>
            <wp:extent cx="25984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ind w:left="4980"/>
        <w:spacing w:after="0" w:line="217" w:lineRule="auto"/>
        <w:rPr>
          <w:sz w:val="20"/>
          <w:szCs w:val="20"/>
          <w:color w:val="auto"/>
        </w:rPr>
      </w:pPr>
      <w:r>
        <w:rPr>
          <w:rFonts w:ascii="Arial" w:cs="Arial" w:eastAsia="Arial" w:hAnsi="Arial"/>
          <w:sz w:val="18"/>
          <w:szCs w:val="18"/>
          <w:color w:val="auto"/>
        </w:rPr>
        <w:t>Mark Kaufmann</w:t>
      </w:r>
    </w:p>
    <w:p>
      <w:pPr>
        <w:ind w:left="49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61595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40"/>
      </w:cols>
      <w:pgMar w:left="1420" w:top="108" w:right="1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2019-12-03T23:21:51Z</dcterms:created>
  <dcterms:modified xsi:type="dcterms:W3CDTF">2019-12-03T23:21:51Z</dcterms:modified>
</cp:coreProperties>
</file>