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699798.xml.htm"/>
      <w:bookmarkStart w:id="1" w:name="kswkform4_178769979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Bishop John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ARDELYX,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400 FIFTH AVENUE, 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ARDELYX, INC.</w:t>
              </w:r>
            </w:hyperlink>
            <w:r>
              <w:rPr/>
              <w:t xml:space="preserve"> [ </w:t>
            </w:r>
            <w:r>
              <w:rPr>
                <w:rFonts w:ascii="Times;serif" w:hAnsi="Times;serif"/>
                <w:color w:val="0000FF"/>
                <w:sz w:val="24"/>
                <w:shd w:fill="FFFFFF" w:val="clear"/>
              </w:rPr>
              <w:t>ARDX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9"/>
        <w:gridCol w:w="903"/>
        <w:gridCol w:w="773"/>
        <w:gridCol w:w="600"/>
        <w:gridCol w:w="346"/>
        <w:gridCol w:w="925"/>
        <w:gridCol w:w="448"/>
        <w:gridCol w:w="838"/>
        <w:gridCol w:w="1152"/>
        <w:gridCol w:w="990"/>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17,281</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3.8569</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319,564</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2,469</w:t>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3.8569</w:t>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317,095</w:t>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Pursuant to an automatic sell-to-cover imposed by the terms of the initial grant of the restricted stock units ("RSUs") awards, the shares were sold upon the vesting of the RSUs solely to cover applicable withholding taxes. The transaction was executed in multiple trades in prices ranging from $3.648 to $3.984, inclusive. The price reported in Column 4 above reflects the weighted average sale price. The Reporting Person hereby undertakes to provide to the Securities and Exchange Commission staff, the Issuer, or a security holder of the Issuer, upon request, full information regarding the number of shares sold at each respective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Chief Technical and Quality Officer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Felecia Ettenberg, Attorney-in-Fact for John E. Bishop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08911" TargetMode="External"/><Relationship Id="rId5" Type="http://schemas.openxmlformats.org/officeDocument/2006/relationships/hyperlink" Target="http://www.sec.gov/cgi-bin/browse-edgar?action=getcompany&amp;CIK=000143740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694</Words>
  <Characters>3759</Characters>
  <CharactersWithSpaces>4375</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