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417830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48" w:lineRule="exact"/>
        <w:rPr>
          <w:sz w:val="24"/>
          <w:szCs w:val="24"/>
          <w:color w:val="auto"/>
        </w:rPr>
      </w:pPr>
    </w:p>
    <w:p>
      <w:pPr>
        <w:jc w:val="center"/>
        <w:ind w:right="-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92710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7" w:lineRule="exact"/>
        <w:rPr>
          <w:sz w:val="24"/>
          <w:szCs w:val="24"/>
          <w:color w:val="auto"/>
        </w:rPr>
      </w:pPr>
    </w:p>
    <w:p>
      <w:pPr>
        <w:ind w:left="10"/>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430" w:right="160" w:hanging="430"/>
        <w:spacing w:after="0" w:line="195" w:lineRule="auto"/>
        <w:tabs>
          <w:tab w:leader="none" w:pos="430" w:val="left"/>
        </w:tabs>
        <w:numPr>
          <w:ilvl w:val="0"/>
          <w:numId w:val="1"/>
        </w:numPr>
        <w:rPr>
          <w:rFonts w:ascii="Arial" w:cs="Arial" w:eastAsia="Arial" w:hAnsi="Arial"/>
          <w:sz w:val="29"/>
          <w:szCs w:val="29"/>
          <w:color w:val="auto"/>
          <w:vertAlign w:val="superscript"/>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-297815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430" w:right="160" w:hanging="430"/>
        <w:spacing w:after="0" w:line="195" w:lineRule="auto"/>
        <w:tabs>
          <w:tab w:leader="none" w:pos="430" w:val="left"/>
        </w:tabs>
        <w:numPr>
          <w:ilvl w:val="0"/>
          <w:numId w:val="2"/>
        </w:numPr>
        <w:rPr>
          <w:rFonts w:ascii="Arial" w:cs="Arial" w:eastAsia="Arial" w:hAnsi="Arial"/>
          <w:sz w:val="29"/>
          <w:szCs w:val="29"/>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-297815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1" w:lineRule="exact"/>
        <w:rPr>
          <w:sz w:val="24"/>
          <w:szCs w:val="24"/>
          <w:color w:val="auto"/>
        </w:rPr>
      </w:pPr>
    </w:p>
    <w:p>
      <w:pPr>
        <w:ind w:left="2990"/>
        <w:spacing w:after="0"/>
        <w:tabs>
          <w:tab w:leader="none" w:pos="697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0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85725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1"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ARDELYX, INC.</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66"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320" w:type="dxa"/>
            <w:vAlign w:val="bottom"/>
            <w:gridSpan w:val="2"/>
          </w:tcPr>
          <w:p>
            <w:pPr>
              <w:jc w:val="center"/>
              <w:ind w:left="1775"/>
              <w:spacing w:after="0"/>
              <w:rPr>
                <w:sz w:val="20"/>
                <w:szCs w:val="20"/>
                <w:color w:val="auto"/>
              </w:rPr>
            </w:pPr>
            <w:r>
              <w:rPr>
                <w:rFonts w:ascii="Arial" w:cs="Arial" w:eastAsia="Arial" w:hAnsi="Arial"/>
                <w:sz w:val="18"/>
                <w:szCs w:val="18"/>
                <w:b w:val="1"/>
                <w:bCs w:val="1"/>
                <w:color w:val="auto"/>
                <w:w w:val="98"/>
              </w:rPr>
              <w:t>DELAWARE</w:t>
            </w:r>
          </w:p>
        </w:tc>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gridSpan w:val="2"/>
          </w:tcPr>
          <w:p>
            <w:pPr>
              <w:jc w:val="center"/>
              <w:ind w:right="979"/>
              <w:spacing w:after="0"/>
              <w:rPr>
                <w:sz w:val="20"/>
                <w:szCs w:val="20"/>
                <w:color w:val="auto"/>
              </w:rPr>
            </w:pPr>
            <w:r>
              <w:rPr>
                <w:rFonts w:ascii="Arial" w:cs="Arial" w:eastAsia="Arial" w:hAnsi="Arial"/>
                <w:sz w:val="18"/>
                <w:szCs w:val="18"/>
                <w:b w:val="1"/>
                <w:bCs w:val="1"/>
                <w:color w:val="auto"/>
                <w:w w:val="91"/>
              </w:rPr>
              <w:t>26-1303944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5"/>
          </w:tcPr>
          <w:p>
            <w:pPr>
              <w:jc w:val="center"/>
              <w:ind w:right="1080"/>
              <w:spacing w:after="0"/>
              <w:rPr>
                <w:sz w:val="20"/>
                <w:szCs w:val="20"/>
                <w:color w:val="auto"/>
              </w:rPr>
            </w:pPr>
            <w:r>
              <w:rPr>
                <w:rFonts w:ascii="Arial" w:cs="Arial" w:eastAsia="Arial" w:hAnsi="Arial"/>
                <w:sz w:val="18"/>
                <w:szCs w:val="18"/>
                <w:color w:val="auto"/>
                <w:w w:val="94"/>
              </w:rPr>
              <w:t>(STATE OR OTHER JURISDICTION</w:t>
            </w:r>
          </w:p>
        </w:tc>
        <w:tc>
          <w:tcPr>
            <w:tcW w:w="100" w:type="dxa"/>
            <w:vAlign w:val="bottom"/>
          </w:tcPr>
          <w:p>
            <w:pPr>
              <w:spacing w:after="0"/>
              <w:rPr>
                <w:sz w:val="18"/>
                <w:szCs w:val="18"/>
                <w:color w:val="auto"/>
              </w:rPr>
            </w:pPr>
          </w:p>
        </w:tc>
        <w:tc>
          <w:tcPr>
            <w:tcW w:w="3840" w:type="dxa"/>
            <w:vAlign w:val="bottom"/>
          </w:tcPr>
          <w:p>
            <w:pPr>
              <w:jc w:val="center"/>
              <w:ind w:right="1079"/>
              <w:spacing w:after="0"/>
              <w:rPr>
                <w:sz w:val="20"/>
                <w:szCs w:val="20"/>
                <w:color w:val="auto"/>
              </w:rPr>
            </w:pPr>
            <w:r>
              <w:rPr>
                <w:rFonts w:ascii="Arial" w:cs="Arial" w:eastAsia="Arial" w:hAnsi="Arial"/>
                <w:sz w:val="18"/>
                <w:szCs w:val="18"/>
                <w:color w:val="auto"/>
                <w:w w:val="94"/>
              </w:rPr>
              <w:t>(I.R.S. EMPLOYER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5"/>
          </w:tcPr>
          <w:p>
            <w:pPr>
              <w:jc w:val="center"/>
              <w:ind w:right="1100"/>
              <w:spacing w:after="0"/>
              <w:rPr>
                <w:sz w:val="20"/>
                <w:szCs w:val="20"/>
                <w:color w:val="auto"/>
              </w:rPr>
            </w:pPr>
            <w:r>
              <w:rPr>
                <w:rFonts w:ascii="Arial" w:cs="Arial" w:eastAsia="Arial" w:hAnsi="Arial"/>
                <w:sz w:val="18"/>
                <w:szCs w:val="18"/>
                <w:color w:val="auto"/>
                <w:w w:val="96"/>
              </w:rPr>
              <w:t>OF INCORPORATION OR ORGANIZATION)</w:t>
            </w:r>
          </w:p>
        </w:tc>
        <w:tc>
          <w:tcPr>
            <w:tcW w:w="100" w:type="dxa"/>
            <w:vAlign w:val="bottom"/>
          </w:tcPr>
          <w:p>
            <w:pPr>
              <w:spacing w:after="0"/>
              <w:rPr>
                <w:sz w:val="20"/>
                <w:szCs w:val="20"/>
                <w:color w:val="auto"/>
              </w:rPr>
            </w:pPr>
          </w:p>
        </w:tc>
        <w:tc>
          <w:tcPr>
            <w:tcW w:w="3840" w:type="dxa"/>
            <w:vAlign w:val="bottom"/>
          </w:tcPr>
          <w:p>
            <w:pPr>
              <w:jc w:val="center"/>
              <w:ind w:right="1099"/>
              <w:spacing w:after="0"/>
              <w:rPr>
                <w:sz w:val="20"/>
                <w:szCs w:val="20"/>
                <w:color w:val="auto"/>
              </w:rPr>
            </w:pPr>
            <w:r>
              <w:rPr>
                <w:rFonts w:ascii="Arial" w:cs="Arial" w:eastAsia="Arial" w:hAnsi="Arial"/>
                <w:sz w:val="18"/>
                <w:szCs w:val="18"/>
                <w:color w:val="auto"/>
                <w:w w:val="99"/>
              </w:rPr>
              <w:t>IDENTIFICATION NUMBER)</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60" w:type="dxa"/>
            <w:vAlign w:val="bottom"/>
            <w:gridSpan w:val="2"/>
          </w:tcPr>
          <w:p>
            <w:pPr>
              <w:jc w:val="center"/>
              <w:ind w:left="19"/>
              <w:spacing w:after="0"/>
              <w:rPr>
                <w:sz w:val="20"/>
                <w:szCs w:val="20"/>
                <w:color w:val="auto"/>
              </w:rPr>
            </w:pPr>
            <w:r>
              <w:rPr>
                <w:rFonts w:ascii="Arial" w:cs="Arial" w:eastAsia="Arial" w:hAnsi="Arial"/>
                <w:sz w:val="18"/>
                <w:szCs w:val="18"/>
                <w:b w:val="1"/>
                <w:bCs w:val="1"/>
                <w:color w:val="auto"/>
                <w:w w:val="90"/>
              </w:rPr>
              <w:t>34175 Ardenwood Boulevard,</w:t>
            </w: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60" w:type="dxa"/>
            <w:vAlign w:val="bottom"/>
            <w:gridSpan w:val="2"/>
          </w:tcPr>
          <w:p>
            <w:pPr>
              <w:jc w:val="center"/>
              <w:ind w:left="19"/>
              <w:spacing w:after="0"/>
              <w:rPr>
                <w:sz w:val="20"/>
                <w:szCs w:val="20"/>
                <w:color w:val="auto"/>
              </w:rPr>
            </w:pPr>
            <w:r>
              <w:rPr>
                <w:rFonts w:ascii="Arial" w:cs="Arial" w:eastAsia="Arial" w:hAnsi="Arial"/>
                <w:sz w:val="18"/>
                <w:szCs w:val="18"/>
                <w:b w:val="1"/>
                <w:bCs w:val="1"/>
                <w:color w:val="auto"/>
                <w:w w:val="92"/>
              </w:rPr>
              <w:t>Fremont, California 94555</w:t>
            </w:r>
          </w:p>
        </w:tc>
        <w:tc>
          <w:tcPr>
            <w:tcW w:w="1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0" w:type="dxa"/>
            <w:vAlign w:val="bottom"/>
            <w:gridSpan w:val="7"/>
          </w:tcPr>
          <w:p>
            <w:pPr>
              <w:jc w:val="center"/>
              <w:spacing w:after="0"/>
              <w:rPr>
                <w:sz w:val="20"/>
                <w:szCs w:val="20"/>
                <w:color w:val="auto"/>
              </w:rPr>
            </w:pPr>
            <w:r>
              <w:rPr>
                <w:rFonts w:ascii="Arial" w:cs="Arial" w:eastAsia="Arial" w:hAnsi="Arial"/>
                <w:sz w:val="18"/>
                <w:szCs w:val="18"/>
                <w:color w:val="auto"/>
                <w:w w:val="95"/>
              </w:rPr>
              <w:t>(ADDRESS OF PRINCIPAL EXECUTIVE OFFICES, INCLUDING ZIP CODE)</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0"/>
              </w:rPr>
              <w:t>(510) 745-1700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0" w:type="dxa"/>
            <w:vAlign w:val="bottom"/>
            <w:gridSpan w:val="7"/>
          </w:tcPr>
          <w:p>
            <w:pPr>
              <w:jc w:val="center"/>
              <w:spacing w:after="0"/>
              <w:rPr>
                <w:sz w:val="20"/>
                <w:szCs w:val="20"/>
                <w:color w:val="auto"/>
              </w:rPr>
            </w:pPr>
            <w:r>
              <w:rPr>
                <w:rFonts w:ascii="Arial" w:cs="Arial" w:eastAsia="Arial" w:hAnsi="Arial"/>
                <w:sz w:val="18"/>
                <w:szCs w:val="18"/>
                <w:color w:val="auto"/>
                <w:w w:val="97"/>
              </w:rPr>
              <w:t>(REGISTRANT’S TELEPHONE NUMBER, INCLUDING AREA CODE)</w:t>
            </w:r>
          </w:p>
        </w:tc>
        <w:tc>
          <w:tcPr>
            <w:tcW w:w="0" w:type="dxa"/>
            <w:vAlign w:val="bottom"/>
          </w:tcPr>
          <w:p>
            <w:pPr>
              <w:spacing w:after="0"/>
              <w:rPr>
                <w:sz w:val="1"/>
                <w:szCs w:val="1"/>
                <w:color w:val="auto"/>
              </w:rPr>
            </w:pPr>
          </w:p>
        </w:tc>
      </w:tr>
      <w:tr>
        <w:trPr>
          <w:trHeight w:val="115"/>
        </w:trPr>
        <w:tc>
          <w:tcPr>
            <w:tcW w:w="3340" w:type="dxa"/>
            <w:vAlign w:val="bottom"/>
            <w:gridSpan w:val="3"/>
            <w:vMerge w:val="restart"/>
          </w:tcPr>
          <w:p>
            <w:pP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480" w:type="dxa"/>
            <w:vAlign w:val="bottom"/>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334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Pr>
          <w:p>
            <w:pPr>
              <w:spacing w:after="0"/>
              <w:rPr>
                <w:sz w:val="21"/>
                <w:szCs w:val="21"/>
                <w:color w:val="auto"/>
              </w:rPr>
            </w:pPr>
          </w:p>
        </w:tc>
        <w:tc>
          <w:tcPr>
            <w:tcW w:w="24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Trading Symbol(s)</w:t>
            </w:r>
          </w:p>
        </w:tc>
        <w:tc>
          <w:tcPr>
            <w:tcW w:w="100" w:type="dxa"/>
            <w:vAlign w:val="bottom"/>
          </w:tcPr>
          <w:p>
            <w:pPr>
              <w:spacing w:after="0"/>
              <w:rPr>
                <w:sz w:val="21"/>
                <w:szCs w:val="21"/>
                <w:color w:val="auto"/>
              </w:rPr>
            </w:pPr>
          </w:p>
        </w:tc>
        <w:tc>
          <w:tcPr>
            <w:tcW w:w="384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w w:val="92"/>
              </w:rPr>
              <w:t>Common Stock, par value $0.0001</w:t>
            </w:r>
          </w:p>
        </w:tc>
        <w:tc>
          <w:tcPr>
            <w:tcW w:w="2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center"/>
              <w:ind w:right="419"/>
              <w:spacing w:after="0"/>
              <w:rPr>
                <w:sz w:val="20"/>
                <w:szCs w:val="20"/>
                <w:color w:val="auto"/>
              </w:rPr>
            </w:pPr>
            <w:r>
              <w:rPr>
                <w:rFonts w:ascii="Arial" w:cs="Arial" w:eastAsia="Arial" w:hAnsi="Arial"/>
                <w:sz w:val="14"/>
                <w:szCs w:val="14"/>
                <w:color w:val="auto"/>
              </w:rPr>
              <w:t>ARDX</w:t>
            </w:r>
          </w:p>
        </w:tc>
        <w:tc>
          <w:tcPr>
            <w:tcW w:w="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tcPr>
          <w:p>
            <w:pPr>
              <w:jc w:val="center"/>
              <w:ind w:right="39"/>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left="10" w:right="42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10"/>
        <w:spacing w:after="0" w:line="188" w:lineRule="exact"/>
        <w:tabs>
          <w:tab w:leader="none" w:pos="610" w:val="left"/>
          <w:tab w:leader="none" w:pos="1130" w:val="left"/>
        </w:tabs>
        <w:rPr>
          <w:sz w:val="20"/>
          <w:szCs w:val="20"/>
          <w:color w:val="auto"/>
        </w:rPr>
      </w:pPr>
      <w:r>
        <w:rPr>
          <w:rFonts w:ascii="Arial" w:cs="Arial" w:eastAsia="Arial" w:hAnsi="Arial"/>
          <w:sz w:val="14"/>
          <w:szCs w:val="14"/>
          <w:color w:val="auto"/>
        </w:rPr>
        <w:t>90 days.</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559435</wp:posOffset>
            </wp:positionH>
            <wp:positionV relativeFrom="paragraph">
              <wp:posOffset>-104140</wp:posOffset>
            </wp:positionV>
            <wp:extent cx="69215" cy="7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-104140</wp:posOffset>
            </wp:positionV>
            <wp:extent cx="69215" cy="70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9" w:lineRule="exact"/>
        <w:rPr>
          <w:sz w:val="24"/>
          <w:szCs w:val="24"/>
          <w:color w:val="auto"/>
        </w:rPr>
      </w:pPr>
    </w:p>
    <w:p>
      <w:pPr>
        <w:ind w:left="10" w:right="2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5" w:lineRule="exact"/>
        <w:rPr>
          <w:sz w:val="24"/>
          <w:szCs w:val="24"/>
          <w:color w:val="auto"/>
        </w:rPr>
      </w:pPr>
    </w:p>
    <w:p>
      <w:pPr>
        <w:ind w:left="10" w:right="320" w:firstLine="44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88" w:lineRule="exact"/>
        <w:rPr>
          <w:sz w:val="24"/>
          <w:szCs w:val="24"/>
          <w:color w:val="auto"/>
        </w:rPr>
      </w:pPr>
    </w:p>
    <w:p>
      <w:pPr>
        <w:ind w:left="89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69215" cy="7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77" w:lineRule="exact"/>
        <w:rPr>
          <w:sz w:val="24"/>
          <w:szCs w:val="24"/>
          <w:color w:val="auto"/>
        </w:rPr>
      </w:pPr>
    </w:p>
    <w:p>
      <w:pPr>
        <w:sectPr>
          <w:pgSz w:w="11900" w:h="16838" w:orient="portrait"/>
          <w:cols w:equalWidth="0" w:num="4">
            <w:col w:w="2190" w:space="360"/>
            <w:col w:w="3980" w:space="720"/>
            <w:col w:w="960" w:space="700"/>
            <w:col w:w="1320"/>
          </w:cols>
          <w:pgMar w:left="830" w:top="665" w:right="839" w:bottom="1440" w:gutter="0" w:footer="0" w:header="0"/>
          <w:type w:val="continuous"/>
        </w:sectPr>
      </w:pPr>
    </w:p>
    <w:p>
      <w:pPr>
        <w:ind w:left="89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1631315</wp:posOffset>
            </wp:positionH>
            <wp:positionV relativeFrom="paragraph">
              <wp:posOffset>-84455</wp:posOffset>
            </wp:positionV>
            <wp:extent cx="69215" cy="70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1056640</wp:posOffset>
            </wp:positionH>
            <wp:positionV relativeFrom="paragraph">
              <wp:posOffset>-84455</wp:posOffset>
            </wp:positionV>
            <wp:extent cx="69215" cy="70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34" w:lineRule="exact"/>
        <w:rPr>
          <w:sz w:val="24"/>
          <w:szCs w:val="24"/>
          <w:color w:val="auto"/>
        </w:rPr>
      </w:pPr>
    </w:p>
    <w:p>
      <w:pPr>
        <w:sectPr>
          <w:pgSz w:w="11900" w:h="16838" w:orient="portrait"/>
          <w:cols w:equalWidth="0" w:num="2">
            <w:col w:w="6530" w:space="720"/>
            <w:col w:w="2980"/>
          </w:cols>
          <w:pgMar w:left="830" w:top="665" w:right="839" w:bottom="1440" w:gutter="0" w:footer="0" w:header="0"/>
          <w:type w:val="continuous"/>
        </w:sectPr>
      </w:pPr>
    </w:p>
    <w:p>
      <w:pPr>
        <w:ind w:left="890"/>
        <w:spacing w:after="0" w:line="188" w:lineRule="exact"/>
        <w:rPr>
          <w:sz w:val="20"/>
          <w:szCs w:val="20"/>
          <w:color w:val="auto"/>
        </w:rPr>
      </w:pPr>
      <w:r>
        <w:rPr>
          <w:rFonts w:ascii="Arial" w:cs="Arial" w:eastAsia="Arial" w:hAnsi="Arial"/>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1631315</wp:posOffset>
            </wp:positionH>
            <wp:positionV relativeFrom="paragraph">
              <wp:posOffset>-82550</wp:posOffset>
            </wp:positionV>
            <wp:extent cx="69215" cy="70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3" w:lineRule="exact"/>
        <w:rPr>
          <w:sz w:val="24"/>
          <w:szCs w:val="24"/>
          <w:color w:val="auto"/>
        </w:rPr>
      </w:pPr>
    </w:p>
    <w:p>
      <w:pPr>
        <w:ind w:left="10" w:right="340" w:firstLine="441"/>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3227070</wp:posOffset>
            </wp:positionH>
            <wp:positionV relativeFrom="paragraph">
              <wp:posOffset>-106680</wp:posOffset>
            </wp:positionV>
            <wp:extent cx="69215" cy="70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ind w:left="450"/>
        <w:spacing w:after="0" w:line="185" w:lineRule="exact"/>
        <w:tabs>
          <w:tab w:leader="none" w:pos="7090" w:val="left"/>
          <w:tab w:leader="none" w:pos="761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4681855</wp:posOffset>
            </wp:positionH>
            <wp:positionV relativeFrom="paragraph">
              <wp:posOffset>-82550</wp:posOffset>
            </wp:positionV>
            <wp:extent cx="69215" cy="70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-82550</wp:posOffset>
            </wp:positionV>
            <wp:extent cx="69215" cy="70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49" w:lineRule="exact"/>
        <w:rPr>
          <w:sz w:val="24"/>
          <w:szCs w:val="24"/>
          <w:color w:val="auto"/>
        </w:rPr>
      </w:pPr>
    </w:p>
    <w:p>
      <w:pPr>
        <w:ind w:left="450"/>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August 3, 2020, was 89,140,563.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535305</wp:posOffset>
            </wp:positionV>
            <wp:extent cx="649795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64135</wp:posOffset>
            </wp:positionV>
            <wp:extent cx="6497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106680</wp:posOffset>
            </wp:positionV>
            <wp:extent cx="64979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100" w:type="dxa"/>
            <w:vAlign w:val="bottom"/>
            <w:gridSpan w:val="4"/>
            <w:vMerge w:val="restart"/>
          </w:tcPr>
          <w:p>
            <w:pPr>
              <w:jc w:val="center"/>
              <w:ind w:right="23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100" w:type="dxa"/>
            <w:vAlign w:val="bottom"/>
            <w:gridSpan w:val="4"/>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440" w:type="dxa"/>
            <w:vAlign w:val="bottom"/>
            <w:gridSpan w:val="7"/>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Condensed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840" w:type="dxa"/>
            <w:vAlign w:val="bottom"/>
            <w:gridSpan w:val="6"/>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of June 30, 2020 (unaudited) and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7840" w:type="dxa"/>
            <w:vAlign w:val="bottom"/>
            <w:gridSpan w:val="6"/>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Statements of Operations and Comprehensive Loss for the three and six months ended June 30,</w:t>
              </w:r>
            </w:hyperlink>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2020 and 2019 (unaudited)</w:t>
              </w:r>
            </w:hyperlink>
          </w:p>
        </w:tc>
        <w:tc>
          <w:tcPr>
            <w:tcW w:w="5560" w:type="dxa"/>
            <w:vAlign w:val="bottom"/>
            <w:tcBorders>
              <w:top w:val="single" w:sz="8" w:color="0000EE"/>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7840" w:type="dxa"/>
            <w:vAlign w:val="bottom"/>
            <w:gridSpan w:val="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Changes in Stockholders' Equity for the three and six months ended June 30, 2020</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and 2019 (unaudited)</w:t>
              </w:r>
            </w:hyperlink>
          </w:p>
        </w:tc>
        <w:tc>
          <w:tcPr>
            <w:tcW w:w="606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7840" w:type="dxa"/>
            <w:vAlign w:val="bottom"/>
            <w:gridSpan w:val="6"/>
          </w:tcPr>
          <w:p>
            <w:pPr>
              <w:spacing w:after="0"/>
              <w:rPr>
                <w:rFonts w:ascii="Arial" w:cs="Arial" w:eastAsia="Arial" w:hAnsi="Arial"/>
                <w:sz w:val="18"/>
                <w:szCs w:val="18"/>
                <w:u w:val="single" w:color="auto"/>
                <w:color w:val="0000EE"/>
                <w:w w:val="97"/>
              </w:rPr>
            </w:pPr>
            <w:hyperlink w:anchor="page7">
              <w:r>
                <w:rPr>
                  <w:rFonts w:ascii="Arial" w:cs="Arial" w:eastAsia="Arial" w:hAnsi="Arial"/>
                  <w:sz w:val="18"/>
                  <w:szCs w:val="18"/>
                  <w:u w:val="single" w:color="auto"/>
                  <w:color w:val="0000EE"/>
                  <w:w w:val="97"/>
                </w:rPr>
                <w:t>Condensed Statements of Cash Flows for the six months ended June 30, 2020 and 2019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840" w:type="dxa"/>
            <w:vAlign w:val="bottom"/>
            <w:gridSpan w:val="6"/>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440" w:type="dxa"/>
            <w:vAlign w:val="bottom"/>
            <w:gridSpan w:val="7"/>
          </w:tcPr>
          <w:p>
            <w:pPr>
              <w:ind w:left="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 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440" w:type="dxa"/>
            <w:vAlign w:val="bottom"/>
            <w:gridSpan w:val="7"/>
          </w:tcPr>
          <w:p>
            <w:pPr>
              <w:ind w:lef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3. 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8440" w:type="dxa"/>
            <w:vAlign w:val="bottom"/>
            <w:gridSpan w:val="7"/>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4. 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00" w:type="dxa"/>
            <w:vAlign w:val="bottom"/>
            <w:gridSpan w:val="3"/>
          </w:tcPr>
          <w:p>
            <w:pPr>
              <w:jc w:val="center"/>
              <w:ind w:right="274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40" w:type="dxa"/>
            <w:vAlign w:val="bottom"/>
            <w:gridSpan w:val="7"/>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 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440" w:type="dxa"/>
            <w:vAlign w:val="bottom"/>
            <w:gridSpan w:val="7"/>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1A. 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440" w:type="dxa"/>
            <w:vAlign w:val="bottom"/>
            <w:gridSpan w:val="7"/>
          </w:tcPr>
          <w:p>
            <w:pPr>
              <w:ind w:left="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2. 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440" w:type="dxa"/>
            <w:vAlign w:val="bottom"/>
            <w:gridSpan w:val="7"/>
          </w:tcPr>
          <w:p>
            <w:pPr>
              <w:ind w:left="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3. 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440" w:type="dxa"/>
            <w:vAlign w:val="bottom"/>
            <w:gridSpan w:val="7"/>
          </w:tcPr>
          <w:p>
            <w:pPr>
              <w:ind w:left="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4. 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440" w:type="dxa"/>
            <w:vAlign w:val="bottom"/>
            <w:gridSpan w:val="7"/>
          </w:tcPr>
          <w:p>
            <w:pPr>
              <w:ind w:left="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5. 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440" w:type="dxa"/>
            <w:vAlign w:val="bottom"/>
            <w:gridSpan w:val="7"/>
          </w:tcPr>
          <w:p>
            <w:pPr>
              <w:ind w:left="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6. 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8440" w:type="dxa"/>
            <w:vAlign w:val="bottom"/>
            <w:gridSpan w:val="7"/>
          </w:tcPr>
          <w:p>
            <w:pPr>
              <w:ind w:left="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Signatures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904"/>
        </w:trPr>
        <w:tc>
          <w:tcPr>
            <w:tcW w:w="8300" w:type="dxa"/>
            <w:vAlign w:val="bottom"/>
            <w:gridSpan w:val="5"/>
          </w:tcPr>
          <w:p>
            <w:pPr>
              <w:ind w:left="44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542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CONDENSED FINANCIAL STATEMENTS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20" w:type="dxa"/>
            <w:vAlign w:val="bottom"/>
          </w:tcPr>
          <w:p>
            <w:pPr>
              <w:jc w:val="center"/>
              <w:ind w:left="1070"/>
              <w:spacing w:after="0"/>
              <w:rPr>
                <w:sz w:val="20"/>
                <w:szCs w:val="20"/>
                <w:color w:val="auto"/>
              </w:rPr>
            </w:pPr>
            <w:r>
              <w:rPr>
                <w:rFonts w:ascii="Arial" w:cs="Arial" w:eastAsia="Arial" w:hAnsi="Arial"/>
                <w:sz w:val="18"/>
                <w:szCs w:val="18"/>
                <w:b w:val="1"/>
                <w:bCs w:val="1"/>
                <w:color w:val="auto"/>
              </w:rPr>
              <w:t>ARDELYX, INC.</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20" w:type="dxa"/>
            <w:vAlign w:val="bottom"/>
          </w:tcPr>
          <w:p>
            <w:pPr>
              <w:jc w:val="center"/>
              <w:ind w:left="1050"/>
              <w:spacing w:after="0"/>
              <w:rPr>
                <w:sz w:val="20"/>
                <w:szCs w:val="20"/>
                <w:color w:val="auto"/>
              </w:rPr>
            </w:pPr>
            <w:r>
              <w:rPr>
                <w:rFonts w:ascii="Arial" w:cs="Arial" w:eastAsia="Arial" w:hAnsi="Arial"/>
                <w:sz w:val="18"/>
                <w:szCs w:val="18"/>
                <w:b w:val="1"/>
                <w:bCs w:val="1"/>
                <w:color w:val="auto"/>
                <w:w w:val="98"/>
              </w:rPr>
              <w:t>CONDENSED BALANCE SHEETS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2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20" w:type="dxa"/>
            <w:vAlign w:val="bottom"/>
          </w:tcPr>
          <w:p>
            <w:pPr>
              <w:jc w:val="center"/>
              <w:ind w:left="10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85"/>
              </w:rPr>
              <w:t>Current assets:</w:t>
            </w: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104,347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Unbilled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54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4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217,343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4,212</w:t>
            </w:r>
          </w:p>
        </w:tc>
        <w:tc>
          <w:tcPr>
            <w:tcW w:w="18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Loan payable, current portion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48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Loan payable, net of current portion</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64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1"/>
              </w:rPr>
              <w:t>Preferred stock, $0.0001 par value; 5,000,000 shares authorized; no shares issued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outstanding as of June 30, 2020 and December 31, 2019, respectively.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64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Common stock, $0.0001 par value; 300,000,000 shares authorized; 89,140,563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88,817,741 shares issued and outstanding as of June 30, 2020 and December 31, 2019,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respectively.</w:t>
            </w:r>
          </w:p>
        </w:tc>
        <w:tc>
          <w:tcPr>
            <w:tcW w:w="5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653,805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647,078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(507,781)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(460,452)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3"/>
          </w:tcPr>
          <w:p>
            <w:pPr>
              <w:ind w:left="1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217,343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4"/>
                <w:szCs w:val="14"/>
                <w:color w:val="auto"/>
              </w:rPr>
            </w:pPr>
          </w:p>
        </w:tc>
        <w:tc>
          <w:tcPr>
            <w:tcW w:w="210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Collaborative development revenue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(25,467)</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(51,611)</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(0.82)</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line="195" w:lineRule="exact"/>
              <w:rPr>
                <w:sz w:val="20"/>
                <w:szCs w:val="20"/>
                <w:color w:val="auto"/>
              </w:rPr>
            </w:pPr>
            <w:r>
              <w:rPr>
                <w:rFonts w:ascii="Arial" w:cs="Arial" w:eastAsia="Arial" w:hAnsi="Arial"/>
                <w:sz w:val="18"/>
                <w:szCs w:val="18"/>
                <w:color w:val="auto"/>
                <w:w w:val="96"/>
              </w:rPr>
              <w:t>Shares used in computing net loss per share - basic and</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0"/>
              </w:rPr>
              <w:t>89,080,046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0"/>
              </w:rPr>
              <w:t>62,651,863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88,980,353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62,599,371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loss: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(24,956)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(25,467)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(47,329)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securities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(51,557)</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ind w:left="2700" w:right="1399" w:hanging="1313"/>
        <w:spacing w:after="0" w:line="250" w:lineRule="auto"/>
        <w:rPr>
          <w:sz w:val="20"/>
          <w:szCs w:val="20"/>
          <w:color w:val="auto"/>
        </w:rPr>
      </w:pPr>
      <w:r>
        <w:rPr>
          <w:rFonts w:ascii="Arial" w:cs="Arial" w:eastAsia="Arial" w:hAnsi="Arial"/>
          <w:sz w:val="18"/>
          <w:szCs w:val="18"/>
          <w:b w:val="1"/>
          <w:bCs w:val="1"/>
          <w:color w:val="auto"/>
        </w:rPr>
        <w:t>CONDENSED STATEMENTS OF CHANGES IN STOCKHOLDERS’ EQUITY For the Three and Six Months ended June 30,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2"/>
              </w:rPr>
              <w:t>Three Months Ended June 30, 2020</w:t>
            </w: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w w:val="95"/>
              </w:rPr>
              <w:t>Common Stock</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1000" w:type="dxa"/>
            <w:vAlign w:val="bottom"/>
            <w:gridSpan w:val="4"/>
            <w:vMerge w:val="continue"/>
          </w:tcPr>
          <w:p>
            <w:pPr>
              <w:spacing w:after="0"/>
              <w:rPr>
                <w:sz w:val="12"/>
                <w:szCs w:val="12"/>
                <w:color w:val="auto"/>
              </w:rPr>
            </w:pPr>
          </w:p>
        </w:tc>
        <w:tc>
          <w:tcPr>
            <w:tcW w:w="11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vMerge w:val="restart"/>
          </w:tcPr>
          <w:p>
            <w:pPr>
              <w:spacing w:after="0" w:line="20" w:lineRule="exact"/>
              <w:rPr>
                <w:sz w:val="1"/>
                <w:szCs w:val="1"/>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89,035,096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$ 650,617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(482,825)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167,757</w:t>
            </w: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w w:val="99"/>
              </w:rPr>
              <w:t>Issuance of common stock for services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42,403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Issuance of common stock upon exercise</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options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63,064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Unrealized gains on available-for-sale</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w:t>
            </w:r>
          </w:p>
        </w:tc>
        <w:tc>
          <w:tcPr>
            <w:tcW w:w="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(24,956)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(24,956)</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89,140,563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$ 653,805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(507,781)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146,350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6"/>
              </w:rPr>
              <w:t>Six Months Ended June 30, 2020</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w w:val="91"/>
              </w:rPr>
              <w:t>Common Stock</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line="20" w:lineRule="exact"/>
              <w:rPr>
                <w:sz w:val="1"/>
                <w:szCs w:val="1"/>
                <w:color w:val="auto"/>
              </w:rPr>
            </w:pP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88,817,741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$ 647,078</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(460,452)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186,655</w:t>
            </w:r>
          </w:p>
        </w:tc>
        <w:tc>
          <w:tcPr>
            <w:tcW w:w="0" w:type="dxa"/>
            <w:vAlign w:val="bottom"/>
          </w:tcPr>
          <w:p>
            <w:pPr>
              <w:spacing w:after="0"/>
              <w:rPr>
                <w:sz w:val="1"/>
                <w:szCs w:val="1"/>
                <w:color w:val="auto"/>
              </w:rPr>
            </w:pPr>
          </w:p>
        </w:tc>
      </w:tr>
      <w:tr>
        <w:trPr>
          <w:trHeight w:val="202"/>
        </w:trPr>
        <w:tc>
          <w:tcPr>
            <w:tcW w:w="324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under</w:t>
            </w: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employee stock purchase plan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75,804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Issuance of common stock for services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2"/>
        </w:trPr>
        <w:tc>
          <w:tcPr>
            <w:tcW w:w="3240" w:type="dxa"/>
            <w:vAlign w:val="bottom"/>
          </w:tcPr>
          <w:p>
            <w:pPr>
              <w:ind w:left="120"/>
              <w:spacing w:after="0" w:line="201" w:lineRule="exact"/>
              <w:rPr>
                <w:sz w:val="20"/>
                <w:szCs w:val="20"/>
                <w:color w:val="auto"/>
              </w:rPr>
            </w:pPr>
            <w:r>
              <w:rPr>
                <w:rFonts w:ascii="Arial" w:cs="Arial" w:eastAsia="Arial" w:hAnsi="Arial"/>
                <w:sz w:val="18"/>
                <w:szCs w:val="18"/>
                <w:color w:val="auto"/>
                <w:w w:val="93"/>
              </w:rPr>
              <w:t>Issuance of common stock upon exercise</w:t>
            </w: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of options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204,615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02"/>
        </w:trPr>
        <w:tc>
          <w:tcPr>
            <w:tcW w:w="3240" w:type="dxa"/>
            <w:vAlign w:val="bottom"/>
          </w:tcPr>
          <w:p>
            <w:pPr>
              <w:ind w:left="120"/>
              <w:spacing w:after="0" w:line="201" w:lineRule="exact"/>
              <w:rPr>
                <w:sz w:val="20"/>
                <w:szCs w:val="20"/>
                <w:color w:val="auto"/>
              </w:rPr>
            </w:pPr>
            <w:r>
              <w:rPr>
                <w:rFonts w:ascii="Arial" w:cs="Arial" w:eastAsia="Arial" w:hAnsi="Arial"/>
                <w:sz w:val="18"/>
                <w:szCs w:val="18"/>
                <w:color w:val="auto"/>
              </w:rPr>
              <w:t>Unrealized gains on available-for-sale</w:t>
            </w: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securities</w:t>
            </w:r>
          </w:p>
        </w:tc>
        <w:tc>
          <w:tcPr>
            <w:tcW w:w="4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(47,329)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(47,329)</w:t>
            </w: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89,140,563</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$ 653,805</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(507,781)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146,350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ind w:left="2700" w:right="1399" w:hanging="1313"/>
        <w:spacing w:after="0" w:line="250" w:lineRule="auto"/>
        <w:rPr>
          <w:sz w:val="20"/>
          <w:szCs w:val="20"/>
          <w:color w:val="auto"/>
        </w:rPr>
      </w:pPr>
      <w:r>
        <w:rPr>
          <w:rFonts w:ascii="Arial" w:cs="Arial" w:eastAsia="Arial" w:hAnsi="Arial"/>
          <w:sz w:val="18"/>
          <w:szCs w:val="18"/>
          <w:b w:val="1"/>
          <w:bCs w:val="1"/>
          <w:color w:val="auto"/>
        </w:rPr>
        <w:t>CONDENSED STATEMENTS OF CHANGES IN STOCKHOLDERS’ EQUITY For the Three and Six Months ended June 30, 2019</w:t>
      </w:r>
    </w:p>
    <w:p>
      <w:pPr>
        <w:spacing w:after="0" w:line="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1"/>
          </w:tcPr>
          <w:p>
            <w:pPr>
              <w:jc w:val="right"/>
              <w:ind w:right="720"/>
              <w:spacing w:after="0"/>
              <w:rPr>
                <w:sz w:val="20"/>
                <w:szCs w:val="20"/>
                <w:color w:val="auto"/>
              </w:rPr>
            </w:pPr>
            <w:r>
              <w:rPr>
                <w:rFonts w:ascii="Arial" w:cs="Arial" w:eastAsia="Arial" w:hAnsi="Arial"/>
                <w:sz w:val="14"/>
                <w:szCs w:val="14"/>
                <w:b w:val="1"/>
                <w:bCs w:val="1"/>
                <w:color w:val="auto"/>
                <w:w w:val="93"/>
              </w:rPr>
              <w:t>Three Months Ended June 30, 2019</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62,600,443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$ 483,479</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(391,656)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91,841</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Issuance of common stock for services</w:t>
            </w:r>
          </w:p>
        </w:tc>
        <w:tc>
          <w:tcPr>
            <w:tcW w:w="880" w:type="dxa"/>
            <w:vAlign w:val="bottom"/>
          </w:tcPr>
          <w:p>
            <w:pPr>
              <w:jc w:val="right"/>
              <w:spacing w:after="0"/>
              <w:rPr>
                <w:sz w:val="20"/>
                <w:szCs w:val="20"/>
                <w:color w:val="auto"/>
              </w:rPr>
            </w:pPr>
            <w:r>
              <w:rPr>
                <w:rFonts w:ascii="Arial" w:cs="Arial" w:eastAsia="Arial" w:hAnsi="Arial"/>
                <w:sz w:val="18"/>
                <w:szCs w:val="18"/>
                <w:color w:val="auto"/>
              </w:rPr>
              <w:t>113,136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89"/>
              </w:rPr>
              <w:t>Issuance of common stock upon exercise of</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28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2"/>
              </w:rPr>
              <w:t>Issuance of common stock upon vesting of</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85,609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02"/>
        </w:trPr>
        <w:tc>
          <w:tcPr>
            <w:tcW w:w="32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Unrealized gains on available-for-sale</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securities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(25,467)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(25,467)</w:t>
            </w:r>
          </w:p>
        </w:tc>
        <w:tc>
          <w:tcPr>
            <w:tcW w:w="0" w:type="dxa"/>
            <w:vAlign w:val="bottom"/>
          </w:tcPr>
          <w:p>
            <w:pPr>
              <w:spacing w:after="0"/>
              <w:rPr>
                <w:sz w:val="1"/>
                <w:szCs w:val="1"/>
                <w:color w:val="auto"/>
              </w:rPr>
            </w:pPr>
          </w:p>
        </w:tc>
      </w:tr>
      <w:tr>
        <w:trPr>
          <w:trHeight w:val="209"/>
        </w:trPr>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June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62,800,869</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$ 485,718</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(417,123)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68,617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4"/>
              </w:rPr>
              <w:t>Six Months Ended June 30, 2019</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w w:val="97"/>
              </w:rPr>
              <w:t>Common Stock</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80" w:type="dxa"/>
            <w:vAlign w:val="bottom"/>
          </w:tcPr>
          <w:p>
            <w:pPr>
              <w:spacing w:after="0"/>
              <w:rPr>
                <w:sz w:val="12"/>
                <w:szCs w:val="12"/>
                <w:color w:val="auto"/>
              </w:rPr>
            </w:pPr>
          </w:p>
        </w:tc>
        <w:tc>
          <w:tcPr>
            <w:tcW w:w="9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Deficit</w:t>
            </w: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(Loss) Income</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62,516,627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$ 481,357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(365,512)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Issuance of common stock under</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employee stock purchase plan</w:t>
            </w:r>
          </w:p>
        </w:tc>
        <w:tc>
          <w:tcPr>
            <w:tcW w:w="880" w:type="dxa"/>
            <w:vAlign w:val="bottom"/>
          </w:tcPr>
          <w:p>
            <w:pPr>
              <w:jc w:val="right"/>
              <w:spacing w:after="0"/>
              <w:rPr>
                <w:sz w:val="20"/>
                <w:szCs w:val="20"/>
                <w:color w:val="auto"/>
              </w:rPr>
            </w:pPr>
            <w:r>
              <w:rPr>
                <w:rFonts w:ascii="Arial" w:cs="Arial" w:eastAsia="Arial" w:hAnsi="Arial"/>
                <w:sz w:val="18"/>
                <w:szCs w:val="18"/>
                <w:color w:val="auto"/>
              </w:rPr>
              <w:t>83,046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5"/>
              </w:rPr>
              <w:t>Issuance of common stock upon exercise</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of 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2,451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Issuance of common stock upon vesting of</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3,845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Unrealized gains on available-for-sale</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securities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(51,611)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(51,611)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2019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62,800,869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$ 485,718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(417,123)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1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(47,329)</w:t>
            </w:r>
          </w:p>
        </w:tc>
        <w:tc>
          <w:tcPr>
            <w:tcW w:w="20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(51,611)</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1,353</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320"/>
              <w:spacing w:after="0"/>
              <w:rPr>
                <w:sz w:val="20"/>
                <w:szCs w:val="20"/>
                <w:color w:val="auto"/>
              </w:rPr>
            </w:pPr>
            <w:r>
              <w:rPr>
                <w:rFonts w:ascii="Arial" w:cs="Arial" w:eastAsia="Arial" w:hAnsi="Arial"/>
                <w:sz w:val="18"/>
                <w:szCs w:val="18"/>
                <w:color w:val="auto"/>
              </w:rPr>
              <w:t>Amortization of deferred compensation for services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premium on investment securities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320"/>
              <w:spacing w:after="0"/>
              <w:rPr>
                <w:sz w:val="20"/>
                <w:szCs w:val="20"/>
                <w:color w:val="auto"/>
              </w:rPr>
            </w:pPr>
            <w:r>
              <w:rPr>
                <w:rFonts w:ascii="Arial" w:cs="Arial" w:eastAsia="Arial" w:hAnsi="Arial"/>
                <w:sz w:val="18"/>
                <w:szCs w:val="18"/>
                <w:color w:val="auto"/>
              </w:rPr>
              <w:t>Non-cash lease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320"/>
              <w:spacing w:after="0"/>
              <w:rPr>
                <w:sz w:val="20"/>
                <w:szCs w:val="20"/>
                <w:color w:val="auto"/>
              </w:rPr>
            </w:pPr>
            <w:r>
              <w:rPr>
                <w:rFonts w:ascii="Arial" w:cs="Arial" w:eastAsia="Arial" w:hAnsi="Arial"/>
                <w:sz w:val="18"/>
                <w:szCs w:val="18"/>
                <w:color w:val="auto"/>
              </w:rPr>
              <w:t>Change in derivative liabilities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associated with debt discount accretion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Unbilled revenue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54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540"/>
              <w:spacing w:after="0"/>
              <w:rPr>
                <w:sz w:val="20"/>
                <w:szCs w:val="20"/>
                <w:color w:val="auto"/>
              </w:rPr>
            </w:pPr>
            <w:r>
              <w:rPr>
                <w:rFonts w:ascii="Arial" w:cs="Arial" w:eastAsia="Arial" w:hAnsi="Arial"/>
                <w:sz w:val="18"/>
                <w:szCs w:val="18"/>
                <w:color w:val="auto"/>
              </w:rPr>
              <w:t>Accrued compensation and benefits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Lease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540"/>
              <w:spacing w:after="0"/>
              <w:rPr>
                <w:sz w:val="20"/>
                <w:szCs w:val="20"/>
                <w:color w:val="auto"/>
              </w:rPr>
            </w:pPr>
            <w:r>
              <w:rPr>
                <w:rFonts w:ascii="Arial" w:cs="Arial" w:eastAsia="Arial" w:hAnsi="Arial"/>
                <w:sz w:val="18"/>
                <w:szCs w:val="18"/>
                <w:color w:val="auto"/>
              </w:rPr>
              <w:t>Accrued and other liabilities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(2,330)</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revenue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(44,733)</w:t>
            </w:r>
          </w:p>
        </w:tc>
        <w:tc>
          <w:tcPr>
            <w:tcW w:w="60" w:type="dxa"/>
            <w:vAlign w:val="bottom"/>
            <w:tcBorders>
              <w:bottom w:val="single" w:sz="8" w:color="CCEEFF"/>
            </w:tcBorders>
          </w:tcPr>
          <w:p>
            <w:pPr>
              <w:spacing w:after="0"/>
              <w:rPr>
                <w:sz w:val="18"/>
                <w:szCs w:val="18"/>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Proceeds from maturities of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86,454</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(30,857)</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0" w:type="dxa"/>
            <w:vAlign w:val="bottom"/>
            <w:tcBorders>
              <w:bottom w:val="single" w:sz="8" w:color="CCEEFF"/>
            </w:tcBorders>
          </w:tcPr>
          <w:p>
            <w:pPr>
              <w:spacing w:after="0"/>
              <w:rPr>
                <w:sz w:val="18"/>
                <w:szCs w:val="18"/>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55,386</w:t>
            </w:r>
          </w:p>
        </w:tc>
        <w:tc>
          <w:tcPr>
            <w:tcW w:w="60" w:type="dxa"/>
            <w:vAlign w:val="bottom"/>
            <w:shd w:val="clear" w:color="auto" w:fill="CCEEFF"/>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 under stock plans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Issuance of common stock upon exercise of options</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tcPr>
          <w:p>
            <w:pPr>
              <w:spacing w:after="0"/>
              <w:rPr>
                <w:sz w:val="18"/>
                <w:szCs w:val="18"/>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CEEFF"/>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(80,639)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10,858</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78,768</w:t>
            </w:r>
          </w:p>
        </w:tc>
        <w:tc>
          <w:tcPr>
            <w:tcW w:w="60" w:type="dxa"/>
            <w:vAlign w:val="bottom"/>
            <w:shd w:val="clear" w:color="auto" w:fill="CCEEFF"/>
          </w:tcPr>
          <w:p>
            <w:pPr>
              <w:spacing w:after="0"/>
              <w:rPr>
                <w:sz w:val="18"/>
                <w:szCs w:val="18"/>
                <w:color w:val="auto"/>
              </w:rPr>
            </w:pPr>
          </w:p>
        </w:tc>
      </w:tr>
      <w:tr>
        <w:trPr>
          <w:trHeight w:val="249"/>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89,626</w:t>
            </w:r>
          </w:p>
        </w:tc>
        <w:tc>
          <w:tcPr>
            <w:tcW w:w="60" w:type="dxa"/>
            <w:vAlign w:val="bottom"/>
            <w:tcBorders>
              <w:bottom w:val="single" w:sz="8" w:color="CCEEFF"/>
            </w:tcBorders>
          </w:tcPr>
          <w:p>
            <w:pPr>
              <w:spacing w:after="0"/>
              <w:rPr>
                <w:sz w:val="21"/>
                <w:szCs w:val="21"/>
                <w:color w:val="auto"/>
              </w:rPr>
            </w:pPr>
          </w:p>
        </w:tc>
      </w:tr>
      <w:tr>
        <w:trPr>
          <w:trHeight w:val="197"/>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Supplementary disclosure of cash flow information:</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6"/>
        </w:trPr>
        <w:tc>
          <w:tcPr>
            <w:tcW w:w="6160" w:type="dxa"/>
            <w:vAlign w:val="bottom"/>
          </w:tcPr>
          <w:p>
            <w:pPr>
              <w:ind w:left="100"/>
              <w:spacing w:after="0"/>
              <w:rPr>
                <w:sz w:val="20"/>
                <w:szCs w:val="20"/>
                <w:color w:val="auto"/>
              </w:rPr>
            </w:pPr>
            <w:r>
              <w:rPr>
                <w:rFonts w:ascii="Arial" w:cs="Arial" w:eastAsia="Arial" w:hAnsi="Arial"/>
                <w:sz w:val="18"/>
                <w:szCs w:val="18"/>
                <w:color w:val="auto"/>
              </w:rPr>
              <w:t>Income taxes paid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r>
      <w:tr>
        <w:trPr>
          <w:trHeight w:val="197"/>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Supplementary disclosure of non-cash activities:</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Right-of-use assets obtained in exchange for lease obligations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5,810</w:t>
            </w:r>
          </w:p>
        </w:tc>
        <w:tc>
          <w:tcPr>
            <w:tcW w:w="6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ARDELYX, INC</w:t>
      </w:r>
      <w:r>
        <w:rPr>
          <w:rFonts w:ascii="Arial" w:cs="Arial" w:eastAsia="Arial" w:hAnsi="Arial"/>
          <w:sz w:val="18"/>
          <w:szCs w:val="18"/>
          <w:color w:val="auto"/>
        </w:rPr>
        <w:t>.</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amounts and where otherwise noted)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9" w:lineRule="exact"/>
        <w:rPr>
          <w:sz w:val="20"/>
          <w:szCs w:val="20"/>
          <w:color w:val="auto"/>
        </w:rPr>
      </w:pPr>
    </w:p>
    <w:p>
      <w:pPr>
        <w:ind w:left="60" w:right="339" w:firstLine="324"/>
        <w:spacing w:after="0" w:line="342" w:lineRule="auto"/>
        <w:rPr>
          <w:sz w:val="20"/>
          <w:szCs w:val="20"/>
          <w:color w:val="auto"/>
        </w:rPr>
      </w:pPr>
      <w:r>
        <w:rPr>
          <w:rFonts w:ascii="Arial" w:cs="Arial" w:eastAsia="Arial" w:hAnsi="Arial"/>
          <w:sz w:val="16"/>
          <w:szCs w:val="16"/>
          <w:color w:val="auto"/>
        </w:rPr>
        <w:t>Ardelyx, Inc. (the “Company,” “we,” “us” or “our”) is a specialized biopharmaceutical company focused on developing innovative first-in-class medicines to improve treatment for people with kidney and cardiovascular diseases.</w:t>
      </w:r>
    </w:p>
    <w:p>
      <w:pPr>
        <w:spacing w:after="0" w:line="12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 operates in one business segment, which is the research and development of biopharmaceutical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the Company’s most recent annual financial statements and, in the opinion of management, reflect all adjustments, which include only normal recurring adjustments necessary to present fairly the Company’s financial position at June 30, 2020 and results of operations, changes in stockholders’ equity, and cash flows for the interim periods ended June 30, 2020 and 2019.</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included in the Company’s Annual Report on Form 10-K for the year ended December 31, 2019. The results for the three and six months ended June 30, 2020 are not necessarily indicative of results to be expected for the entire year ending December 31, 2020, or for any other interim period or future year.</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Prior Period Errors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connection with our review of our financial statements as of and for the six months ended June 30, 2019, we corrected errors related to the accounting for clinical trial accruals that had resulted in an overstatement of research and development expenses during the three months ended March 31, 2019 and during the year ended December 31, 2018. Specifically, management concluded that the Company’s research and development expenses recorded during the three months ended March 31, 2019 and during year ended December 31, 2018 had been overstated by $0.5 million and $3.6 million, respectively, and that the Company’s accrued expenses and other current liabilities for these periods had been overstated by the same amounts.</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 xml:space="preserve">Management analyzed the potential impact of these errors in accordance with the SEC’s Staff Accounting Bulletin No. 108, </w:t>
      </w:r>
      <w:r>
        <w:rPr>
          <w:rFonts w:ascii="Arial" w:cs="Arial" w:eastAsia="Arial" w:hAnsi="Arial"/>
          <w:sz w:val="17"/>
          <w:szCs w:val="17"/>
          <w:i w:val="1"/>
          <w:iCs w:val="1"/>
          <w:color w:val="auto"/>
        </w:rPr>
        <w:t>Considering the Effects of Prior Year Misstatements when Quantifying Misstatements in Current Year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and concluded that while the errors were significant to the Company’s financial statements as of and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2019, a correction of the errors would not have been material to each quarter or the full year results for 2019 and 2018 nor affect the trend of financial results. Accordingly, during the second quarter of 2019, the Company reduced accrued and other liabilities by $4.1 million and recorded a cumulative adjustment of $4.1 million in the condensed statement of operations to reduce research and development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As of June 30, 2020, the Company had cash, cash equivalents and short-term investments of approximately $204.8 million. The Company believes its current available cash, cash equivalents and short-term investments will be sufficient to fund the Company’s planned expenditures and meet its obligations for at least 12 months following August 6, 2020, which is the date that these condensed financial statements are being issued.</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the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 xml:space="preserve">In December 2019, as part of its initiative to reduce complexity in the accounting standards, the Financial Accounting Standards Board (“FASB”) issued Accounting Standards Update (“ASU”) 2019-12, </w:t>
      </w:r>
      <w:r>
        <w:rPr>
          <w:rFonts w:ascii="Arial" w:cs="Arial" w:eastAsia="Arial" w:hAnsi="Arial"/>
          <w:sz w:val="17"/>
          <w:szCs w:val="17"/>
          <w:i w:val="1"/>
          <w:iCs w:val="1"/>
          <w:color w:val="auto"/>
        </w:rPr>
        <w:t>Income Taxes (Topic 740):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Accounting for Income Taxes </w:t>
      </w:r>
      <w:r>
        <w:rPr>
          <w:rFonts w:ascii="Arial" w:cs="Arial" w:eastAsia="Arial" w:hAnsi="Arial"/>
          <w:sz w:val="17"/>
          <w:szCs w:val="17"/>
          <w:color w:val="auto"/>
        </w:rPr>
        <w:t>(“ASU 2019-12”), which eliminates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standard is effective for fiscal years, and interim periods within those fiscal years, beginning after December 15, 2020, with early adoption permitted. The Company early adopted ASU 2019-12 on April 1, 2020, retrospective adoption was effective on January 1, 2020, and this adoption had no material impact on the Company’s financial position or results of operations.</w:t>
      </w:r>
    </w:p>
    <w:p>
      <w:pPr>
        <w:spacing w:after="0" w:line="18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 xml:space="preserve">In November 2018, the FASB issued ASU 2018-18, </w:t>
      </w:r>
      <w:r>
        <w:rPr>
          <w:rFonts w:ascii="Arial" w:cs="Arial" w:eastAsia="Arial" w:hAnsi="Arial"/>
          <w:sz w:val="17"/>
          <w:szCs w:val="17"/>
          <w:i w:val="1"/>
          <w:iCs w:val="1"/>
          <w:color w:val="auto"/>
        </w:rPr>
        <w:t>Collaborative Arrangements (Topic 808): Clarifying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Interaction between Topic 808 and Topic 606 </w:t>
      </w:r>
      <w:r>
        <w:rPr>
          <w:rFonts w:ascii="Arial" w:cs="Arial" w:eastAsia="Arial" w:hAnsi="Arial"/>
          <w:sz w:val="17"/>
          <w:szCs w:val="17"/>
          <w:color w:val="auto"/>
        </w:rPr>
        <w:t>(“ASU 2018-18”), which clarifies that certain transactions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collaborative arrangement participants should be accounted for as revenue under the FASB’s Accounting Standards Codification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when the collaborative arrangement participant is a customer. The Company adopted ASU 2018-18 on January 1, 2020, and the adoption of this standard did not have a material impact on the Company’s financial statements. In August 2018, the FASB issued ASU No. 2018-13, </w:t>
      </w:r>
      <w:r>
        <w:rPr>
          <w:rFonts w:ascii="Arial" w:cs="Arial" w:eastAsia="Arial" w:hAnsi="Arial"/>
          <w:sz w:val="17"/>
          <w:szCs w:val="17"/>
          <w:i w:val="1"/>
          <w:iCs w:val="1"/>
          <w:color w:val="auto"/>
        </w:rPr>
        <w:t xml:space="preserve">Fair Value Measurement (Topic 820): Disclosure Framework— Changes to the Disclosure Requirements for Fair Value Measurement </w:t>
      </w:r>
      <w:r>
        <w:rPr>
          <w:rFonts w:ascii="Arial" w:cs="Arial" w:eastAsia="Arial" w:hAnsi="Arial"/>
          <w:sz w:val="17"/>
          <w:szCs w:val="17"/>
          <w:color w:val="auto"/>
        </w:rPr>
        <w:t>(“ASU 2018-13”), which considers cost and benefits and removes, modifies and adds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in Topic 820. The amendments on changes in unrealized gains and losses, the range and weighted average of significant unobservable inputs used to develop Level 3 fair value measurements and the narrative description of measurement uncertainty is to be applied prospectively for only the most recent interim or annual period presented in the initial fiscal year of adoption. All other amendments were to be applied retrospectively to all periods presented. The Company adopted ASU 2018-13 on January 1, 2020, and the adoption of this standard did not have a material impact on the Company’s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Rate Reform on Financial Reporting</w:t>
      </w:r>
      <w:r>
        <w:rPr>
          <w:rFonts w:ascii="Arial" w:cs="Arial" w:eastAsia="Arial" w:hAnsi="Arial"/>
          <w:sz w:val="18"/>
          <w:szCs w:val="18"/>
          <w:color w:val="auto"/>
        </w:rPr>
        <w:t>, which provides temporary optional guidance to companies impacted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Management does not expect this guidance will have a significant impact on the Company’s financial statements.</w:t>
      </w:r>
    </w:p>
    <w:p>
      <w:pPr>
        <w:spacing w:after="0" w:line="195" w:lineRule="exact"/>
        <w:rPr>
          <w:sz w:val="20"/>
          <w:szCs w:val="20"/>
          <w:color w:val="auto"/>
        </w:rPr>
      </w:pPr>
    </w:p>
    <w:p>
      <w:pPr>
        <w:jc w:val="both"/>
        <w:ind w:left="60" w:right="59" w:firstLine="369"/>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an amendment which modifies the measurement and recognition of credit losses</w:t>
      </w:r>
      <w:r>
        <w:rPr>
          <w:rFonts w:ascii="Arial" w:cs="Arial" w:eastAsia="Arial" w:hAnsi="Arial"/>
          <w:sz w:val="17"/>
          <w:szCs w:val="17"/>
          <w:i w:val="1"/>
          <w:iCs w:val="1"/>
          <w:color w:val="auto"/>
        </w:rPr>
        <w:t xml:space="preserve"> </w:t>
      </w:r>
      <w:r>
        <w:rPr>
          <w:rFonts w:ascii="Arial" w:cs="Arial" w:eastAsia="Arial" w:hAnsi="Arial"/>
          <w:sz w:val="17"/>
          <w:szCs w:val="17"/>
          <w:color w:val="auto"/>
        </w:rPr>
        <w:t>for most financial assets and certain other instruments. The amendment updates the guidance for measuring and recording credit losses on financial assets measured at amortized cost by replacing the “incurred loss” model with an “expected loss” model. Accordingly, these financial assets will be presented at the net amount expected to be collected. The amendment also requires that credit losses related to available-for-sale debt securities be recorded as an allowance through net income rather than reducing the carrying amount under the current, other-than-temporary-impairment model. For smaller reporting companies the guidance is effective for fiscal years beginning after December 15, 2022, including interim periods within those fiscal years. Early adoption is permitted. Management is currently assessing the impact of this standard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CASH, CASH EQUIVALENTS AND SHORT-TERM INVESTMENTS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Securities classified as cash, cash equivalents and short-term investments as of June 30, 2020 and December 31, 2019 are summarized below.</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368"/>
              <w:spacing w:after="0" w:line="142"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99,410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99,410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cash and cash equivalents</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100,494</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100,494</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20"/>
              <w:spacing w:after="0"/>
              <w:rPr>
                <w:sz w:val="20"/>
                <w:szCs w:val="20"/>
                <w:color w:val="auto"/>
              </w:rPr>
            </w:pPr>
            <w:r>
              <w:rPr>
                <w:rFonts w:ascii="Arial" w:cs="Arial" w:eastAsia="Arial" w:hAnsi="Arial"/>
                <w:sz w:val="18"/>
                <w:szCs w:val="18"/>
                <w:color w:val="auto"/>
              </w:rPr>
              <w:t>Commercial paper</w:t>
            </w:r>
          </w:p>
        </w:tc>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46,328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0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46,443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0" w:type="dxa"/>
            <w:vAlign w:val="bottom"/>
          </w:tcPr>
          <w:p>
            <w:pPr>
              <w:spacing w:after="0"/>
              <w:rPr>
                <w:sz w:val="1"/>
                <w:szCs w:val="1"/>
                <w:color w:val="auto"/>
              </w:rPr>
            </w:pPr>
          </w:p>
        </w:tc>
      </w:tr>
      <w:tr>
        <w:trPr>
          <w:trHeight w:val="216"/>
        </w:trPr>
        <w:tc>
          <w:tcPr>
            <w:tcW w:w="322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10,532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U.S. government-sponsored agency</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bonds</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16"/>
        </w:trPr>
        <w:tc>
          <w:tcPr>
            <w:tcW w:w="3220" w:type="dxa"/>
            <w:vAlign w:val="bottom"/>
          </w:tcPr>
          <w:p>
            <w:pPr>
              <w:ind w:left="320"/>
              <w:spacing w:after="0"/>
              <w:rPr>
                <w:sz w:val="20"/>
                <w:szCs w:val="20"/>
                <w:color w:val="auto"/>
              </w:rPr>
            </w:pPr>
            <w:r>
              <w:rPr>
                <w:rFonts w:ascii="Arial" w:cs="Arial" w:eastAsia="Arial" w:hAnsi="Arial"/>
                <w:sz w:val="18"/>
                <w:szCs w:val="18"/>
                <w:color w:val="auto"/>
              </w:rPr>
              <w:t>U.S. treasury notes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short-term investments</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104,347</w:t>
            </w: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line="182" w:lineRule="exact"/>
              <w:rPr>
                <w:sz w:val="20"/>
                <w:szCs w:val="20"/>
                <w:color w:val="auto"/>
              </w:rPr>
            </w:pPr>
            <w:r>
              <w:rPr>
                <w:rFonts w:ascii="Arial" w:cs="Arial" w:eastAsia="Arial" w:hAnsi="Arial"/>
                <w:sz w:val="18"/>
                <w:szCs w:val="18"/>
                <w:color w:val="auto"/>
              </w:rPr>
              <w:t>Total cash equivalents and short-term</w:t>
            </w:r>
          </w:p>
        </w:tc>
        <w:tc>
          <w:tcPr>
            <w:tcW w:w="6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204,524</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1080" w:type="dxa"/>
            <w:vAlign w:val="bottom"/>
            <w:gridSpan w:val="2"/>
            <w:vMerge w:val="restart"/>
          </w:tcPr>
          <w:p>
            <w:pPr>
              <w:jc w:val="right"/>
              <w:ind w:right="688"/>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5"/>
                <w:szCs w:val="15"/>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204,841</w:t>
            </w:r>
          </w:p>
        </w:tc>
        <w:tc>
          <w:tcPr>
            <w:tcW w:w="0" w:type="dxa"/>
            <w:vAlign w:val="bottom"/>
          </w:tcPr>
          <w:p>
            <w:pPr>
              <w:spacing w:after="0"/>
              <w:rPr>
                <w:sz w:val="1"/>
                <w:szCs w:val="1"/>
                <w:color w:val="auto"/>
              </w:rPr>
            </w:pPr>
          </w:p>
        </w:tc>
      </w:tr>
      <w:tr>
        <w:trPr>
          <w:trHeight w:val="217"/>
        </w:trPr>
        <w:tc>
          <w:tcPr>
            <w:tcW w:w="322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6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368"/>
              <w:spacing w:after="0" w:line="142"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6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147,208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147,208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cash and cash equivalents</w:t>
            </w:r>
          </w:p>
        </w:tc>
        <w:tc>
          <w:tcPr>
            <w:tcW w:w="3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181,130</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181,133</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20"/>
              <w:spacing w:after="0"/>
              <w:rPr>
                <w:sz w:val="20"/>
                <w:szCs w:val="20"/>
                <w:color w:val="auto"/>
              </w:rPr>
            </w:pPr>
            <w:r>
              <w:rPr>
                <w:rFonts w:ascii="Arial" w:cs="Arial" w:eastAsia="Arial" w:hAnsi="Arial"/>
                <w:sz w:val="18"/>
                <w:szCs w:val="18"/>
                <w:color w:val="auto"/>
              </w:rPr>
              <w:t>Commercial paper</w:t>
            </w:r>
          </w:p>
        </w:tc>
        <w:tc>
          <w:tcPr>
            <w:tcW w:w="6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36,667</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36,681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w:t>
            </w:r>
          </w:p>
        </w:tc>
        <w:tc>
          <w:tcPr>
            <w:tcW w:w="0" w:type="dxa"/>
            <w:vAlign w:val="bottom"/>
          </w:tcPr>
          <w:p>
            <w:pPr>
              <w:spacing w:after="0"/>
              <w:rPr>
                <w:sz w:val="1"/>
                <w:szCs w:val="1"/>
                <w:color w:val="auto"/>
              </w:rPr>
            </w:pPr>
          </w:p>
        </w:tc>
      </w:tr>
      <w:tr>
        <w:trPr>
          <w:trHeight w:val="216"/>
        </w:trPr>
        <w:tc>
          <w:tcPr>
            <w:tcW w:w="318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short-term investments</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0" w:type="dxa"/>
            <w:vAlign w:val="bottom"/>
          </w:tcPr>
          <w:p>
            <w:pPr>
              <w:spacing w:after="0"/>
              <w:rPr>
                <w:sz w:val="1"/>
                <w:szCs w:val="1"/>
                <w:color w:val="auto"/>
              </w:rPr>
            </w:pPr>
          </w:p>
        </w:tc>
      </w:tr>
      <w:tr>
        <w:trPr>
          <w:trHeight w:val="182"/>
        </w:trPr>
        <w:tc>
          <w:tcPr>
            <w:tcW w:w="3180" w:type="dxa"/>
            <w:vAlign w:val="bottom"/>
          </w:tcPr>
          <w:p>
            <w:pPr>
              <w:ind w:left="100"/>
              <w:spacing w:after="0" w:line="182" w:lineRule="exact"/>
              <w:rPr>
                <w:sz w:val="20"/>
                <w:szCs w:val="20"/>
                <w:color w:val="auto"/>
              </w:rPr>
            </w:pPr>
            <w:r>
              <w:rPr>
                <w:rFonts w:ascii="Arial" w:cs="Arial" w:eastAsia="Arial" w:hAnsi="Arial"/>
                <w:sz w:val="18"/>
                <w:szCs w:val="18"/>
                <w:color w:val="auto"/>
              </w:rPr>
              <w:t>Total cash equivalents and short-term</w:t>
            </w:r>
          </w:p>
        </w:tc>
        <w:tc>
          <w:tcPr>
            <w:tcW w:w="68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247,492</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80" w:type="dxa"/>
            <w:vAlign w:val="bottom"/>
            <w:gridSpan w:val="2"/>
            <w:vMerge w:val="restart"/>
          </w:tcPr>
          <w:p>
            <w:pPr>
              <w:jc w:val="right"/>
              <w:ind w:right="688"/>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5"/>
                <w:szCs w:val="15"/>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247,512</w:t>
            </w:r>
          </w:p>
        </w:tc>
        <w:tc>
          <w:tcPr>
            <w:tcW w:w="0" w:type="dxa"/>
            <w:vAlign w:val="bottom"/>
          </w:tcPr>
          <w:p>
            <w:pPr>
              <w:spacing w:after="0"/>
              <w:rPr>
                <w:sz w:val="1"/>
                <w:szCs w:val="1"/>
                <w:color w:val="auto"/>
              </w:rPr>
            </w:pPr>
          </w:p>
        </w:tc>
      </w:tr>
      <w:tr>
        <w:trPr>
          <w:trHeight w:val="217"/>
        </w:trPr>
        <w:tc>
          <w:tcPr>
            <w:tcW w:w="318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6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All available-for-sale securities held as of June 30, 2020 had contractual maturities of less than one year. The Company’s available-for-sale securities are subject to a periodic impairment review. The Company considers a debt security to be impaired when the fair value of that security is less than its carrying cost, in which case the Company would further evaluate the investment to determine whether the security is other-than-temporarily impaired. When the Company evaluates an investment for other-than-temporary impairment, the Company reviews factors such as the length of time and extent to which fair value has been below cost basis, the financial condition or creditworthiness of the issuer and any changes thereto, intent to sell, and whether it is more likely than not the Company will be required to sell the investment before the recovery of its cost basis. If an investment is other-than-temporarily impaired, the Company writes the investment down through the statement of operations to its fair value and establishes that value as the new cost basis for the investment. Management has determined that none of the Company’s available-for-sale securities were other-than-temporarily impaired in any of the periods presented, and as of June 30, 2020, no investment was in a continuous unrealized loss position for more than one year. As such, the Company believes that it is more likely than not that the investments will be held until maturity or a forecasted recovery of fair value.</w:t>
      </w:r>
    </w:p>
    <w:p>
      <w:pPr>
        <w:spacing w:after="0" w:line="18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While our investment policy requires that we only invest in highly-rated securities and limit our exposure to any single issuer, the COVID-19 pandemic may materially affect the financial conditions of issuers, which could result in a default by one or more issuers or result in downgrades below our minimum credit rating requirements.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FAIR VALUE MEASUREMENTS</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Company’s financial instruments consist of cash and cash equivalents, short-term investments, prepaid expenses, other current assets, accounts payable, accrued expenses, and the Term Loan, as defined and discussed in Note 5. Fair value estimates of these instruments are made at a specific point in time based on relevant market information. These estimates may be subjective in nature and involve uncertainties and matters of significant judgment. The carrying amounts of financial instruments such as cash and cash equivalents, prepaid expenses, other current assets, accounts payable and accrued expenses approximate the related fair values due to the short maturities of these instruments. Based on prevailing borrowing rates available to the Company for loans with similar terms, the Company believes the fair value of the Term Loan, considering level 2 inputs, approximates this instrument’s carrying value.</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25" w:lineRule="exact"/>
        <w:rPr>
          <w:sz w:val="20"/>
          <w:szCs w:val="20"/>
          <w:color w:val="auto"/>
        </w:rPr>
      </w:pPr>
    </w:p>
    <w:p>
      <w:pPr>
        <w:ind w:left="380"/>
        <w:spacing w:after="0"/>
        <w:tabs>
          <w:tab w:leader="none" w:pos="1120" w:val="left"/>
          <w:tab w:leader="none" w:pos="1480" w:val="left"/>
        </w:tabs>
        <w:rPr>
          <w:sz w:val="20"/>
          <w:szCs w:val="20"/>
          <w:color w:val="auto"/>
        </w:rPr>
      </w:pPr>
      <w:r>
        <w:rPr>
          <w:rFonts w:ascii="Arial" w:cs="Arial" w:eastAsia="Arial" w:hAnsi="Arial"/>
          <w:sz w:val="18"/>
          <w:szCs w:val="18"/>
          <w:color w:val="auto"/>
        </w:rPr>
        <w:t>Level 1</w:t>
        <w:tab/>
        <w:t>–</w:t>
      </w:r>
      <w:r>
        <w:rPr>
          <w:sz w:val="20"/>
          <w:szCs w:val="20"/>
          <w:color w:val="auto"/>
        </w:rPr>
        <w:tab/>
      </w:r>
      <w:r>
        <w:rPr>
          <w:rFonts w:ascii="Arial" w:cs="Arial" w:eastAsia="Arial" w:hAnsi="Arial"/>
          <w:sz w:val="17"/>
          <w:szCs w:val="17"/>
          <w:color w:val="auto"/>
        </w:rPr>
        <w:t>Valuations are based on quoted prices in active markets for identical assets or liabilities and readily</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accessible by the Company at the reporting date. Examples of assets and liabilities utilizing Level 1</w:t>
      </w:r>
    </w:p>
    <w:p>
      <w:pPr>
        <w:spacing w:after="0" w:line="2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inputs are certain money market funds, U.S. treasuries and trading securities with quoted prices on active</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markets.</w:t>
      </w:r>
    </w:p>
    <w:p>
      <w:pPr>
        <w:spacing w:after="0" w:line="211" w:lineRule="exact"/>
        <w:rPr>
          <w:sz w:val="20"/>
          <w:szCs w:val="20"/>
          <w:color w:val="auto"/>
        </w:rPr>
      </w:pPr>
    </w:p>
    <w:p>
      <w:pPr>
        <w:ind w:left="380"/>
        <w:spacing w:after="0"/>
        <w:tabs>
          <w:tab w:leader="none" w:pos="1080" w:val="left"/>
          <w:tab w:leader="none" w:pos="1400" w:val="left"/>
        </w:tabs>
        <w:rPr>
          <w:sz w:val="20"/>
          <w:szCs w:val="20"/>
          <w:color w:val="auto"/>
        </w:rPr>
      </w:pPr>
      <w:r>
        <w:rPr>
          <w:rFonts w:ascii="Arial" w:cs="Arial" w:eastAsia="Arial" w:hAnsi="Arial"/>
          <w:sz w:val="18"/>
          <w:szCs w:val="18"/>
          <w:color w:val="auto"/>
        </w:rPr>
        <w:t>Level 2</w:t>
        <w:tab/>
        <w:t>–</w:t>
      </w:r>
      <w:r>
        <w:rPr>
          <w:sz w:val="20"/>
          <w:szCs w:val="20"/>
          <w:color w:val="auto"/>
        </w:rPr>
        <w:tab/>
      </w:r>
      <w:r>
        <w:rPr>
          <w:rFonts w:ascii="Arial" w:cs="Arial" w:eastAsia="Arial" w:hAnsi="Arial"/>
          <w:sz w:val="16"/>
          <w:szCs w:val="16"/>
          <w:color w:val="auto"/>
        </w:rPr>
        <w:t>Valuations based on inputs other than Level 1 that are observable, either directly or indirectly, such as</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quoted prices for similar assets or liabilities; quoted prices in markets that are not active; or other inputs</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that are observable or can be corroborated by observable market data for substantially the full term of the</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assets or liabilities. Examples of assets and liabilities utilizing Level 2 inputs are corporate bonds,</w:t>
      </w:r>
    </w:p>
    <w:p>
      <w:pPr>
        <w:spacing w:after="0" w:line="2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commercial paper, certificates of deposit and over-the-counter derivatives.</w:t>
      </w:r>
    </w:p>
    <w:p>
      <w:pPr>
        <w:spacing w:after="0" w:line="211" w:lineRule="exact"/>
        <w:rPr>
          <w:sz w:val="20"/>
          <w:szCs w:val="20"/>
          <w:color w:val="auto"/>
        </w:rPr>
      </w:pPr>
    </w:p>
    <w:p>
      <w:pPr>
        <w:ind w:left="380"/>
        <w:spacing w:after="0"/>
        <w:tabs>
          <w:tab w:leader="none" w:pos="1100" w:val="left"/>
          <w:tab w:leader="none" w:pos="1440" w:val="left"/>
        </w:tabs>
        <w:rPr>
          <w:sz w:val="20"/>
          <w:szCs w:val="20"/>
          <w:color w:val="auto"/>
        </w:rPr>
      </w:pPr>
      <w:r>
        <w:rPr>
          <w:rFonts w:ascii="Arial" w:cs="Arial" w:eastAsia="Arial" w:hAnsi="Arial"/>
          <w:sz w:val="18"/>
          <w:szCs w:val="18"/>
          <w:color w:val="auto"/>
        </w:rPr>
        <w:t>Level 3</w:t>
        <w:tab/>
        <w:t>–</w:t>
      </w:r>
      <w:r>
        <w:rPr>
          <w:sz w:val="20"/>
          <w:szCs w:val="20"/>
          <w:color w:val="auto"/>
        </w:rPr>
        <w:tab/>
      </w:r>
      <w:r>
        <w:rPr>
          <w:rFonts w:ascii="Arial" w:cs="Arial" w:eastAsia="Arial" w:hAnsi="Arial"/>
          <w:sz w:val="17"/>
          <w:szCs w:val="17"/>
          <w:color w:val="auto"/>
        </w:rPr>
        <w:t>Valuations based on unobservable inputs in which there is little or no market data, which require the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Company to develop its own assumptions.</w:t>
      </w:r>
    </w:p>
    <w:p>
      <w:pPr>
        <w:spacing w:after="0" w:line="21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that are measured or disclosed on a recurring basis: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Money market funds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99,410</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99,410</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Corporate bonds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Asset-backed securities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U.S. government-sponsored agency bonds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 treasury notes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tcPr>
          <w:p>
            <w:pPr>
              <w:jc w:val="center"/>
              <w:ind w:right="2990"/>
              <w:spacing w:after="0"/>
              <w:rPr>
                <w:sz w:val="20"/>
                <w:szCs w:val="20"/>
                <w:color w:val="auto"/>
              </w:rPr>
            </w:pPr>
            <w:r>
              <w:rPr>
                <w:rFonts w:ascii="Arial" w:cs="Arial" w:eastAsia="Arial" w:hAnsi="Arial"/>
                <w:sz w:val="18"/>
                <w:szCs w:val="18"/>
                <w:color w:val="auto"/>
                <w:w w:val="89"/>
              </w:rPr>
              <w:t>Total</w:t>
            </w: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203,757</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92,264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jc w:val="center"/>
              <w:ind w:right="2990"/>
              <w:spacing w:after="0"/>
              <w:rPr>
                <w:sz w:val="20"/>
                <w:szCs w:val="20"/>
                <w:color w:val="auto"/>
              </w:rPr>
            </w:pPr>
            <w:r>
              <w:rPr>
                <w:rFonts w:ascii="Arial" w:cs="Arial" w:eastAsia="Arial" w:hAnsi="Arial"/>
                <w:sz w:val="18"/>
                <w:szCs w:val="18"/>
                <w:color w:val="auto"/>
                <w:w w:val="96"/>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Derivative liability for Exit Fee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jc w:val="center"/>
              <w:ind w:right="2990"/>
              <w:spacing w:after="0"/>
              <w:rPr>
                <w:sz w:val="20"/>
                <w:szCs w:val="20"/>
                <w:color w:val="auto"/>
              </w:rPr>
            </w:pPr>
            <w:r>
              <w:rPr>
                <w:rFonts w:ascii="Arial" w:cs="Arial" w:eastAsia="Arial" w:hAnsi="Arial"/>
                <w:sz w:val="18"/>
                <w:szCs w:val="18"/>
                <w:color w:val="auto"/>
                <w:w w:val="89"/>
              </w:rPr>
              <w:t>Total</w:t>
            </w:r>
          </w:p>
        </w:tc>
        <w:tc>
          <w:tcPr>
            <w:tcW w:w="7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Money market funds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147,208</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147,208</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Corporate bonds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Asset-backed securities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40" w:type="dxa"/>
            <w:vAlign w:val="bottom"/>
            <w:tcBorders>
              <w:bottom w:val="single" w:sz="8" w:color="CCEEFF"/>
            </w:tcBorders>
          </w:tcPr>
          <w:p>
            <w:pPr>
              <w:jc w:val="center"/>
              <w:ind w:right="2990"/>
              <w:spacing w:after="0"/>
              <w:rPr>
                <w:sz w:val="20"/>
                <w:szCs w:val="20"/>
                <w:color w:val="auto"/>
              </w:rPr>
            </w:pPr>
            <w:r>
              <w:rPr>
                <w:rFonts w:ascii="Arial" w:cs="Arial" w:eastAsia="Arial" w:hAnsi="Arial"/>
                <w:sz w:val="18"/>
                <w:szCs w:val="18"/>
                <w:color w:val="auto"/>
                <w:w w:val="89"/>
              </w:rPr>
              <w:t>Total</w:t>
            </w: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244,388</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147,208</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97,180</w:t>
            </w:r>
          </w:p>
        </w:tc>
        <w:tc>
          <w:tcPr>
            <w:tcW w:w="220" w:type="dxa"/>
            <w:vAlign w:val="bottom"/>
            <w:tcBorders>
              <w:bottom w:val="single" w:sz="8" w:color="CCEEFF"/>
            </w:tcBorders>
            <w:gridSpan w:val="2"/>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jc w:val="center"/>
              <w:ind w:right="2990"/>
              <w:spacing w:after="0"/>
              <w:rPr>
                <w:sz w:val="20"/>
                <w:szCs w:val="20"/>
                <w:color w:val="auto"/>
              </w:rPr>
            </w:pPr>
            <w:r>
              <w:rPr>
                <w:rFonts w:ascii="Arial" w:cs="Arial" w:eastAsia="Arial" w:hAnsi="Arial"/>
                <w:sz w:val="18"/>
                <w:szCs w:val="18"/>
                <w:color w:val="auto"/>
                <w:w w:val="96"/>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Derivative liability for Exit Fee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jc w:val="center"/>
              <w:ind w:right="2990"/>
              <w:spacing w:after="0"/>
              <w:rPr>
                <w:sz w:val="20"/>
                <w:szCs w:val="20"/>
                <w:color w:val="auto"/>
              </w:rPr>
            </w:pPr>
            <w:r>
              <w:rPr>
                <w:rFonts w:ascii="Arial" w:cs="Arial" w:eastAsia="Arial" w:hAnsi="Arial"/>
                <w:sz w:val="18"/>
                <w:szCs w:val="18"/>
                <w:color w:val="auto"/>
                <w:w w:val="89"/>
              </w:rPr>
              <w:t>Total</w:t>
            </w:r>
          </w:p>
        </w:tc>
        <w:tc>
          <w:tcPr>
            <w:tcW w:w="7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Where quoted prices are available in an active market, securities are classified as Level 1. The Company classifies money market funds, U.S. treasury securities and U.S. treasury notes as Level 1. When quoted market prices are not available for the specific security, the Company estimates fair value by using benchmark yields, reported trades, broker/dealer quotes and issuer spreads. The Company classifies corporate bonds, commercial paper, asset-backed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securities and foreign currency derivative contracts as Level 2. In certain cases, where there is limited activity or less transparency around inputs to valuation, securities or derivative liabilities such as the Exit Fee, as defined and discussed in Note 4, are classified as Level 3. There were no transfers between Level 1 and Level 2 during the periods presented.</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DERIVATIVE LIABILITY</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May 2018, in connection with entering into the Loan Agreement, as defined and discussed in Note 5, the Company entered into an agreement pursuant to which the Company agreed to pay $1.5 million in cash (the “Exit Fee”) upon any change of control transaction in respect of the Company or if the Company obtains both (i) U.S. Food and Drug Administration (“FDA”) approval of tenapanor for the treatment of hyperphosphatemia in chronic kidney disease patients on dialysis and (ii) FDA approval of tenapanor for the treatment of patients with irritable bowel syndrome with constipation (“IBS-C”), which was obtained on September 12, 2019 when the FDA approved IBSRELA® (tenapanor), a 50 milligram, twice daily oral pill for the treatment of IBS-C in adults (the “Exit Fee Agreement”). Notwithstanding the prepayment or termination of the Term Loan, as defined and discussed in Note 5, the Company’s obligation to pay the Exit Fee will expire on May 16, 2028. The Company concluded that the Exit Fee is a freestanding derivative which should be accounted for at fair value on a recurring basis. The estimated fair value of the Exit Fee is recorded as a derivative liability and included in accrued expenses and other current liabilities on the accompanying condensed balance sheets.</w:t>
      </w:r>
    </w:p>
    <w:p>
      <w:pPr>
        <w:spacing w:after="0" w:line="17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fair value of the derivative liability was determined using a discounted cash flow analysis, and the key assumptions included in the calculation of the estimated fair value of the derivative liability include: (i) the Company’s estimates of both the probability and timing of payment of the Exit Fee to Solar Capital Ltd. and Western Alliance Bank as a result of the FDA approvals and (ii) a variable discount rate. Generally, increases or decreases in the probability of occurrence would result in a directionally similar impact in the fair value measurement of the derivative liability, and it is estimated that a 10% increase or decrease in the probability of occurrence would result in a fair value fluctuation of approximately $0.1 million.</w:t>
      </w:r>
    </w:p>
    <w:p>
      <w:pPr>
        <w:spacing w:after="0" w:line="19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Changes in fair value, which are presented as other income, net, in the Company's condensed statements of operations, were as follows: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0" w:type="dxa"/>
            <w:vAlign w:val="bottom"/>
          </w:tcPr>
          <w:p>
            <w:pPr>
              <w:spacing w:after="0"/>
              <w:rPr>
                <w:sz w:val="17"/>
                <w:szCs w:val="17"/>
                <w:color w:val="auto"/>
              </w:rPr>
            </w:pPr>
          </w:p>
        </w:tc>
        <w:tc>
          <w:tcPr>
            <w:tcW w:w="42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Exit Fee derivative liability at January 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8"/>
              </w:rPr>
              <w:t>Change in estimated fair value of derivative liability</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Exit Fee derivative liability at June 30</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BORROWING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On May 16, 2018, the Company entered into a loan and security agreement (the “Loan Agreement”), with Solar Capital Ltd. and Western Alliance Bank (collectively the “Lenders”). The Loan Agreement provides for a $50.0 million term loan facility with a maturity date of November 1, 2022 (the “Term Loan”).</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Borrowings under the Term Loan bear interest at a floating per annum rate equal to 7.45% plus the one-month LIBOR. The Company is permitted to make interest-only payments on the Term Loan until December 1, 2020. Beginning on December 1, 2020 and through the maturity date, in addition to monthly interest payments, the Company will be required to make monthly principal payments in equal monthly installments of approximately $2.1 million.</w:t>
      </w:r>
    </w:p>
    <w:p>
      <w:pPr>
        <w:spacing w:after="0" w:line="15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Company paid a closing fee of 1% of the Term Loan, or $0.5 million, upon the closing of the Term Loan, and the Company is obligated to pay a final fee equal to 3.95% of the Term Loan upon the earliest to occur of the maturity date, the acceleration of the Term Loan, the prepayment or repayment of the Term Loan or the termination of the Loan Agreement. The Company may voluntarily prepay the outstanding Term Loan, subject to a prepayment premium of (i) 3%</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the Company’s intellectual property and certain other customary exclusions. Additionally, in connection with the Term Loan, the Company entered into the Exit Fee Agreement, as discussed in Note 4.</w:t>
      </w:r>
    </w:p>
    <w:p>
      <w:pPr>
        <w:spacing w:after="0" w:line="16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As of June 30, 2020, the Company was in compliance with all of the covenants set forth in the Loan Agreement.</w:t>
      </w:r>
    </w:p>
    <w:p>
      <w:pPr>
        <w:spacing w:after="0" w:line="12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Loan Agreement also contains customary events of default that entitle the Lender to cause the Company’s indebtedness under the Loan Agreement to become immediately due and payable, and to exercise remedies against the Company and the collateral securing the Term Loan, including the Company’s cash. Upon the occurrence and for the duration of an event of default, an additional default interest rate equal to 4.0% per annum will apply to all amounts owed under the Loan Agreement. As of June 30, 2020, to the Company’s knowledge, there were no facts or circumstances in existence that would give rise to an event of default.</w:t>
      </w:r>
    </w:p>
    <w:p>
      <w:pPr>
        <w:spacing w:after="0" w:line="1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June 30, 2020, the Company’s future payment obligations related to the Term Loan, excluding interest payments and the Exit Fee, are as follows:</w:t>
      </w:r>
    </w:p>
    <w:p>
      <w:pPr>
        <w:spacing w:after="0" w:line="200" w:lineRule="exact"/>
        <w:rPr>
          <w:sz w:val="20"/>
          <w:szCs w:val="20"/>
          <w:color w:val="auto"/>
        </w:rPr>
      </w:pP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2021</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25,000</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24,892</w:t>
            </w:r>
          </w:p>
        </w:tc>
      </w:tr>
      <w:tr>
        <w:trPr>
          <w:trHeight w:val="210"/>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Total principal and final fee payments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51,975</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Unaccreted value of final fee</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 payable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50,451</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Loan payable, current portion</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13,716</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Loan payable, net of current portion</w:t>
            </w:r>
          </w:p>
        </w:tc>
        <w:tc>
          <w:tcPr>
            <w:tcW w:w="1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36,735</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LEASES</w:t>
      </w:r>
    </w:p>
    <w:p>
      <w:pPr>
        <w:spacing w:after="0" w:line="33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All of the Company’s leases, which primarily include the right to use office and laboratory space, are operating leases, and certain of the leases have both lease and non-lease components. The Company has elected to account for each separate lease component and the non-lease components associated with that lease component as a single lease component for all classes of underlying assets.</w:t>
      </w:r>
    </w:p>
    <w:p>
      <w:pPr>
        <w:spacing w:after="0" w:line="7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provides additional details related to our facility leases, as presented in the Company’s condensed balance sheet as of June 30, 2020:</w:t>
      </w:r>
    </w:p>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Facilities</w:t>
            </w: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Right of use assets</w:t>
            </w:r>
          </w:p>
        </w:tc>
        <w:tc>
          <w:tcPr>
            <w:tcW w:w="174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2,945</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Current portion of lease liabilities</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liability, net of current portion</w:t>
            </w:r>
          </w:p>
        </w:tc>
        <w:tc>
          <w:tcPr>
            <w:tcW w:w="10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6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Weighted-average remaining life (years)</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information related to the Company’s facilities lease is as follows:</w:t>
      </w:r>
    </w:p>
    <w:p>
      <w:pPr>
        <w:spacing w:after="0" w:line="28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3"/>
        </w:trPr>
        <w:tc>
          <w:tcPr>
            <w:tcW w:w="20" w:type="dxa"/>
            <w:vAlign w:val="bottom"/>
          </w:tcPr>
          <w:p>
            <w:pPr>
              <w:spacing w:after="0"/>
              <w:rPr>
                <w:sz w:val="15"/>
                <w:szCs w:val="15"/>
                <w:color w:val="auto"/>
              </w:rPr>
            </w:pPr>
          </w:p>
        </w:tc>
        <w:tc>
          <w:tcPr>
            <w:tcW w:w="25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Cash paid for operating lease</w:t>
            </w:r>
          </w:p>
        </w:tc>
        <w:tc>
          <w:tcPr>
            <w:tcW w:w="6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761</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1,521</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1,230</w:t>
            </w:r>
          </w:p>
        </w:tc>
      </w:tr>
    </w:tbl>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Company’s undiscounted cash payment obligations for its operating lease liabilities as of June 30, 2020:</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48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7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operating lease payments</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Imputed interest expenses</w:t>
            </w:r>
          </w:p>
        </w:tc>
        <w:tc>
          <w:tcPr>
            <w:tcW w:w="7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Less: Current portion of operating lease liability</w:t>
            </w:r>
          </w:p>
        </w:tc>
        <w:tc>
          <w:tcPr>
            <w:tcW w:w="7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r>
      <w:tr>
        <w:trPr>
          <w:trHeight w:val="209"/>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Operating lease liability, net of current portion</w:t>
            </w:r>
          </w:p>
        </w:tc>
        <w:tc>
          <w:tcPr>
            <w:tcW w:w="7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EQUITY INCENTIVE PLANS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During the three and six months ended June 30, 2020, options were granted to employees and members of the board of directors to purchase 729,727 and 2,649,516 shares, respectively, of the Company's common stock. The weighted-average grant-date estimated fair value of options granted during the three and six months ended June 30, 2020 was $5.14 and $5.19, respectively. The estimated grant date fair value of employee stock options was calculated using the Black-Scholes option-pricing model, based on the following weighted-average assumptions: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49"/>
        </w:trPr>
        <w:tc>
          <w:tcPr>
            <w:tcW w:w="7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77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2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6.00</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83.55 %</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1.33 %</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three and six months ended June 30, 2020, options were exercised to purchase 63,064 and 204,615 shares, respectively, of the Company's common stock, resulting in corresponding approximately $0.2 million and $0.4 million net proceeds, respectively, to the Company. During the three and six months ended June 30, 2019, options were exercised to purchase 1,681 and 2,451 shares, respectively, of the Company's common stock, resulting in corresponding insignificant net proceeds to the Company.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July 2018, the Company granted 903,374 performance-based restricted stock units (“PRSUs”) to its employees that vest upon the achievement of certain performance conditions, subject to the employees’ continued service relationship with the Company through the achievement date. As of June 30, 2020, 849,328 of these PRSUs were outstanding and none of these PRSUs were vested. Additionally, during the three months ended June 30, 2020, the Company granted 30,000 PRSUs with the same performance criteria to its recently hired chief commercial officer and chief financial officer, of which none vested and those 30,000 PRSU’s are also outstanding at June 30, 2020. Based on the evaluation of the performance conditions, the Company recorded stock-based compensation expense of $0.6 million and $1.4 million for the three and six months ended June 30, 2020, respectively. The Company had not recorded stock-based compensation expense for the three and six months ended June 30, 2019 related to these PRSUs. The related compensation cost is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recognized as an expense ratably over the estimated vesting period. The expense recognized for these awards is based on the grant date fair value of the Company’s common stock multiplied by the number of units granted.</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each of the three and six months ended June 30, 2020 and 2019, the Company issued zero and 85,609 shares, respectively, of its common stock upon vesting of time-based RSUs to its employees. No time-based RSUs were granted to employees during the three and six months ended June 30, 2020 or 2019.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February 2020, the Company sold 75,804 shares of its common stock under the Company’s employee stock purchase program (“ESPP”). The shares were purchased by employees at a purchase price of $4.95 per share with proceeds to the Company of approximately $0.4 million. In February 2019, the Company sold 83,046 shares of its common stock under the ESPP. The shares were purchased by employees at a purchase price of $2.39 per share with proceeds to the Company of approximately $0.2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For the three and six months ended June 30, 2020, the Company issued 42,403 shares of its common stock to members of the board of directors who elected to receive stock in lieu of their cash fees under the Company’s Amended and Restated Non-Employee Director Compensation Program. The shares issued were valued at $0.3 million based on the fair value of the common stock on the date of grant. For the three and six months ended June 30, 2019, the Company issued 113,136 shares of its common stock to members of the board of directors who elected to receive stock in lieu of their cash fees under the Company’s Amended and Restated Non-Employee Director Compensation Program. The shares issued were valued at $0.3 million based on the fair value of the common stock on the date of grant.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Stock-based compensation expense recognized for stock options, RSUs, PRSUs and the Company’s ESPP are recorded as operating expenses in the Company’s condensed statements of operations and comprehensive loss,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50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9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June 30, 2020, the Company’s total unrecognized stock-based compensation expense, net of estimated forfeitures, and average remaining vesting period, included the following:</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Unrecognized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Period</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Expense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1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4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16"/>
        </w:trPr>
        <w:tc>
          <w:tcPr>
            <w:tcW w:w="2740" w:type="dxa"/>
            <w:vAlign w:val="bottom"/>
          </w:tcPr>
          <w:p>
            <w:pPr>
              <w:ind w:left="200"/>
              <w:spacing w:after="0"/>
              <w:rPr>
                <w:sz w:val="20"/>
                <w:szCs w:val="20"/>
                <w:color w:val="auto"/>
              </w:rPr>
            </w:pPr>
            <w:r>
              <w:rPr>
                <w:rFonts w:ascii="Arial" w:cs="Arial" w:eastAsia="Arial" w:hAnsi="Arial"/>
                <w:sz w:val="18"/>
                <w:szCs w:val="18"/>
                <w:color w:val="auto"/>
              </w:rPr>
              <w:t>PRSUs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4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ESPP</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June 2015, the Company had sold and issued warrants to purchase 2,172,899 shares of common stock. The purchase price for the warrants was $0.125 per warrant. The warrants were exercisable for an exercise price of $13.91 per share at any time prior to the earlier of (i) 5 years from the date of issuance or (ii) certain changes in control of the Company. The Company had determined that the warrants should be classified as equity. In June 2020, the warrants expired with none of the warrants exercised.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NET LOSS PER SHARE</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three and six months ended June 30, 2020 and 2019, all potential common shares were determined to be anti-dilutive. The following table sets forth the computation of net loss per common share: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6"/>
        </w:trPr>
        <w:tc>
          <w:tcPr>
            <w:tcW w:w="4200" w:type="dxa"/>
            <w:vAlign w:val="bottom"/>
          </w:tcPr>
          <w:p>
            <w:pPr>
              <w:ind w:left="100"/>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(24,956)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(47,329)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(51,611)</w:t>
            </w:r>
          </w:p>
        </w:tc>
        <w:tc>
          <w:tcPr>
            <w:tcW w:w="60" w:type="dxa"/>
            <w:vAlign w:val="bottom"/>
          </w:tcPr>
          <w:p>
            <w:pPr>
              <w:spacing w:after="0"/>
              <w:rPr>
                <w:sz w:val="22"/>
                <w:szCs w:val="22"/>
                <w:color w:val="auto"/>
              </w:rPr>
            </w:pPr>
          </w:p>
        </w:tc>
      </w:tr>
      <w:tr>
        <w:trPr>
          <w:trHeight w:val="196"/>
        </w:trPr>
        <w:tc>
          <w:tcPr>
            <w:tcW w:w="420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Denominator:</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4200" w:type="dxa"/>
            <w:vAlign w:val="bottom"/>
          </w:tcPr>
          <w:p>
            <w:pPr>
              <w:ind w:left="220"/>
              <w:spacing w:after="0" w:line="201" w:lineRule="exact"/>
              <w:rPr>
                <w:sz w:val="20"/>
                <w:szCs w:val="20"/>
                <w:color w:val="auto"/>
              </w:rPr>
            </w:pPr>
            <w:r>
              <w:rPr>
                <w:rFonts w:ascii="Arial" w:cs="Arial" w:eastAsia="Arial" w:hAnsi="Arial"/>
                <w:sz w:val="18"/>
                <w:szCs w:val="18"/>
                <w:color w:val="auto"/>
                <w:w w:val="90"/>
              </w:rPr>
              <w:t>Weighted average common shares outstanding - basic</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and diluted</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89,080,046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62,651,863</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88,980,353</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62,599,371</w:t>
            </w:r>
          </w:p>
        </w:tc>
        <w:tc>
          <w:tcPr>
            <w:tcW w:w="60" w:type="dxa"/>
            <w:vAlign w:val="bottom"/>
            <w:tcBorders>
              <w:bottom w:val="single" w:sz="8" w:color="CCEEFF"/>
            </w:tcBorders>
          </w:tcPr>
          <w:p>
            <w:pPr>
              <w:spacing w:after="0"/>
              <w:rPr>
                <w:sz w:val="20"/>
                <w:szCs w:val="20"/>
                <w:color w:val="auto"/>
              </w:rPr>
            </w:pPr>
          </w:p>
        </w:tc>
      </w:tr>
      <w:tr>
        <w:trPr>
          <w:trHeight w:val="209"/>
        </w:trPr>
        <w:tc>
          <w:tcPr>
            <w:tcW w:w="4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the three and six months ended June 30, 2020, the total number of securities that could potentially dilute basic net loss per share in the future that were not included in the computation of diluted net loss per share because the effect would have been antidilutive was 11.5 million and 11.7 million, respectively.</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the three and six months ended June 30, 2019, the total number of securities that could potentially dilute basic net loss per share in the future that were not included in the computation of diluted net loss per share because the effect would have been antidilutive was 10.2 million and 10.0 million, respectively.</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COLLABORATION AND LICENSING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Kyowa Kirin Co., Ltd. (“KKC”)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KKC Agreement</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November 2019, the Company entered into a research collaboration and option agreement with KKC (the “2019 KKC Agreement”) for research associated with identifying two pre-clinical compounds that are ready for designation as development compounds, with one compound inhibiting the first undisclosed target (“Program 1”), and a second inhibiting the second undisclosed target (“Program 2”). Pursuant to the 2019 KKC Agreement, upon completion of the research and designation by the research steering committee of one or more development candidates (“DCs”), KKC has the right to execute one or more separate collaborative agreements relating to the development and commercialization of one or both DCs in certain specified territories.</w:t>
      </w:r>
    </w:p>
    <w:p>
      <w:pPr>
        <w:spacing w:after="0" w:line="1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Under the terms of the 2019 KKC Agreement, KKC agreed to pay the Company a non-refundable, non-creditable upfront fee of $10.0 million, payable as follows: the first installment of $5.0 million within 30 days of November 11, 2019 (the “Effective Date”), and the second installment of $5.0 million on the first anniversary of the Effective Date, unless the 2019 KKC Agreement is earlier terminated by KKC due to material breach by the Company. The term of the 2019 KKC Agreement commenced on the Effective Date and ends on the earliest of: (i) two years following the Effective Date, or (ii) the nomination of a program DC for both programs, (iii) or the nomination of one program DC and the decision by the parties to cease research for the other program, or (iv) the decision by the parties to cease research for both programs. The Company assessed the 2019 KKC Agreement in accordance with ASC 606 and concluded that the contract’s counterparty, KKC, is a customer. Management also considered the modification guidance prescribed in ASC 606 and concluded that the 2019 KKC Agreement should be accounted for as a separate contract from the 2017 KKC Agreement, as defined and discussed below.</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identified various promises in the 2019 KKC Agreement, including: the grant of an initial research license; the Program 1 research; the Program 2 research; the right to obtain certain development and commercialization rights to a Program 1 DC in certain territories; the right to obtain development and commercialization rights to a Program 2 DC in certain territories; and participation in a joint steering committee (“JSC”). The Company determined that KKC could not benefit from either of the research programs without the research license and participation in the JSC. As such, the combined license, research programs and participation in the JSC were deemed to be the highest level of goods and services that can be deemed distinct for each of the Program 1 research and Program 2 research. The Company concluded that the options to obtain additional development and commercialization rights that are exercisable by KKC under certain circumstances are not performance obligations of the contract at inception because the option fees reflect the standalone selling price of the options, and therefore, the options are not considered to be material rights.</w:t>
      </w:r>
    </w:p>
    <w:p>
      <w:pPr>
        <w:spacing w:after="0" w:line="16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At the outset of the 2019 KKC Agreement, the Company determined that the initial transaction price amounted to $10.0 million and that revenue associated with the combined performance obligations will be recognized as services are provided using an input method. Since transfer of control occurs over time, in management’s judgment this input method is the best measure of progress towards satisfying the performance obligations and reflects a faithful depiction of the transfer of goods and services. Revenue will be recognized over the Program 1 and Program 2 research periods, which are currently expected to extend through the end of 2021. Management will re-evaluate the estimates related to the transaction price at the end of each reporting period and as uncertain events are resolved or other changes in circumstances occur and adjust the timing of revenue recognition as necessary.</w:t>
      </w:r>
    </w:p>
    <w:p>
      <w:pPr>
        <w:spacing w:after="0" w:line="17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During the three and six months ended June 30, 2020, the Company recognized $1.1 million and $2.3 million, respectively, as revenue under the 2019 KKC Agreement in the accompanying statement of operations and comprehensive loss. The aggregate amount of the transaction price allocated to the Company’s partially unsatisfied performance obligations as of June 30, 2020 was $7.2 million, of which $2.2 million is presented in the accompanying condensed balance sheet as deferred revenue. As of June 30, 2020, the Company expects to recognize the remaining transaction price allocated to the Company’s partially unsatisfied performance obligations over the remaining research terms, which, as noted above, are currently expected to extend through the end of 2021. There were no changes in estimates associated with the 2019 KKC Agreement during the three and six months ended June 30, 2020.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KKC Agreement</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November 2017, the Company entered into an exclusive license agreement with KKC (the “2017 KKC Agreement”), for the development, commercialization and distribution of tenapanor in Japan for cardiorenal indications. The Company granted KKC an exclusive license to develop and commercialize certain sodium hydrogen exchanger 3 (“NHE3”) inhibitors including tenapanor in Japan for the treatment of cardiorenal diseases and conditions, excluding cancer. The Company retained the rights to tenapanor outside of Japan, and also retained the rights to tenapanor in Japan for indications other than those stated above. Pursuant to the 2017 KKC Agreement, KKC is responsible for all costs and expenses incurred in the development and commercialization of tenapanor for the treatment of cardiorenal diseases and conditions, excluding cancer in Japan. Under the 2017 KKC Agreement, the Company is responsible for supplying the tenapanor drug product for KKC’s use in development and during commercialization until KKC has assumed such responsibility. Additionally, the Company is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16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assessed these arrangements in accordance with ASC 606 and concluded that the contract counterparty, KKC, is a customer. Under the terms of the 2017 KKC Agreement, the Company received $30.0 million in upfront license fees, which was recognized as revenue when the agreement was executed. Based on the Company’s assessment, management determined that the license and the manufacturing supply services were its material performance obligations at the inception of the 2017 KKC Agreement, and as such, each of the performance obligations is distinct. Additionally, the Company recorded unbilled revenue of $5.0 million and an increase in uncharged license fees of $1.0 million related to the first milestone under the 2017 KKC Agreement that KKC; this first milestone was achieved in February 2019.</w:t>
      </w:r>
    </w:p>
    <w:p>
      <w:pPr>
        <w:spacing w:after="0" w:line="166"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In addition to the $30.0 million upfront license fee, the Company may be entitled to receive up to $55.0 million in total development milestones, of which $5.0 million has been received to date, and approximately $78.9 million in</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commercialization milestones, as well as reimbursement of costs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June 30, 2020.</w:t>
      </w:r>
    </w:p>
    <w:p>
      <w:pPr>
        <w:spacing w:after="0" w:line="18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During the three and six months ended June 30, 2020, the Company recognized $5,000 and $43,000, respectively, as other revenue related to the manufacturing supply of tenapanor and other materials to KKC pursuant to the 2017 KKC Agreement. Similarly, for each of the three and six months ended June 30, 2019, $18,000 was recognized as other revenue..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Xuanzhu (HK) Biopharmaceutical Limited (“XuanZhu”)</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November 2019, the Company entered into a license agreement with XuanZhu (the “XuanZhu Agreement”), pursuant to which the Company granted XuanZhu a license to certain specific patent and patent applications. The Company assessed the XuanZhu Agreement in accordance with ASC 606 and concluded that the contract counterparty, XuanZhu, is a customer. Under the terms of the XuanZhu Agreement, the Company recognized $1.5 million in license fees, which constituted the initial transaction price, when the agreement was executed, of which $750,000 was received upfront in November 2019, and achievement for the second $750,000 payment, related to the issuance and grant of a specific patent, was determined to be not materially at risk and probable of achievement. Based on management’s assessment, the Company determined that it has one combined performance obligation, which is the license and the specific patent grant.</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 revenue related to the XuanZhu Agreement was recorded during the three and six months ended June 30, 2020.</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December 2017, the Company entered into an exclusive license agreement with Fosun Pharma (the “Fosun Agreement”), for the development, commercialization and distribution of tenapanor in China for both hyperphosphatemia and IBS-C. The Company assessed these arrangements in accordance with ASC 606 and concluded that the contract counterparty, Fosun Pharma, is a customer. Under the terms of the Fosun Agreement, the Company received $12.0 million in upfront license fees which was recognized as revenue when the agreement was executed. Based on management’s assessment, the Company determined that the license and the manufacturing supply services represented the material performance obligations at the inception of the agreement, and as such, each of the performance obligations is distinct.</w:t>
      </w:r>
    </w:p>
    <w:p>
      <w:pPr>
        <w:spacing w:after="0" w:line="166" w:lineRule="exact"/>
        <w:rPr>
          <w:sz w:val="20"/>
          <w:szCs w:val="20"/>
          <w:color w:val="auto"/>
        </w:rPr>
      </w:pPr>
    </w:p>
    <w:p>
      <w:pPr>
        <w:jc w:val="both"/>
        <w:ind w:left="60" w:right="79" w:firstLine="324"/>
        <w:spacing w:after="0" w:line="279" w:lineRule="auto"/>
        <w:rPr>
          <w:sz w:val="20"/>
          <w:szCs w:val="20"/>
          <w:color w:val="auto"/>
        </w:rPr>
      </w:pPr>
      <w:r>
        <w:rPr>
          <w:rFonts w:ascii="Arial" w:cs="Arial" w:eastAsia="Arial" w:hAnsi="Arial"/>
          <w:sz w:val="17"/>
          <w:szCs w:val="17"/>
          <w:color w:val="auto"/>
        </w:rPr>
        <w:t>The Company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June 30, 2020.</w:t>
      </w:r>
    </w:p>
    <w:p>
      <w:pPr>
        <w:spacing w:after="0" w:line="17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 has recorded no revenue during the three and six months ended June 30, 2020 or 2019 related to the Fosun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Knight Therapeutics, Inc. (“Knight“)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March 2018, the Company entered into an exclusive license agreement with Knight (the “Knight Agreement”), for the development, commercialization and distribution of tenapanor in Canada for hyperphosphatemia and IBS-C. The Company assessed this arrangement in accordance with ASC 606 and concluded that the contract counterparty, Knight, is a customer. Based on management’s assessment, the Company determined that the license and the manufacturing supply services represented the material performance obligations at the inception of the agreement, and as such, each of the performance obligations is distinct.</w:t>
      </w:r>
    </w:p>
    <w:p>
      <w:pPr>
        <w:spacing w:after="0" w:line="17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Under the terms of the agreement, the Company is eligible to receive up to $18.3 million, including an upfront payment, development and sales milestones, reimbursement of supply costs on a schedule specifying cost per tablet, with a reasonable mark up for overhead, as well as tiered royalty rates on net sales ranging from the mid-single digits to the low twenties. The variable consideration related to the remaining development milestone payments has not been included in the transaction price as these were fully constrained at June 30, 2020.</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0" w:right="59" w:firstLine="324"/>
        <w:spacing w:after="0" w:line="226" w:lineRule="auto"/>
        <w:rPr>
          <w:sz w:val="20"/>
          <w:szCs w:val="20"/>
          <w:color w:val="auto"/>
        </w:rPr>
      </w:pPr>
      <w:r>
        <w:rPr>
          <w:rFonts w:ascii="Arial" w:cs="Arial" w:eastAsia="Arial" w:hAnsi="Arial"/>
          <w:sz w:val="18"/>
          <w:szCs w:val="18"/>
          <w:color w:val="auto"/>
        </w:rPr>
        <w:t>In April 2020, Knight announced that it had received approval from Health Canada for IBSRELA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(tenapanor) for the treatment of IBS-C, and in May 2020, the Company received a development milestone payment from Knight related to the achievement of the aforementioned milestone.</w:t>
      </w:r>
    </w:p>
    <w:p>
      <w:pPr>
        <w:spacing w:after="0" w:line="203"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For each of the three and six months ended June 30, 2020 the Company recognized $0.7 million as licensing revenue and for the three and six months ended June 30, 2019 no revenue was recognized related to the Knight Agreement.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AstraZeneca AB (“AstraZeneca”)</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June 2015, the Company entered into a termination agreement with AstraZeneca (the “AstraZeneca Termination Agreement”) pursuant to which the Company has agreed to pay AstraZeneca fees for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another NHE3 inhibitor, up to a maximum of $75.0 million in aggregate for (i) and (ii). As of June 30, 2020, to date in aggregate, the Company has recognized $10.6 million of the $75.0 million, recorded as cost of revenue, and has paid AstraZeneca $10.6 million. For each of the three and six months ended June 30, 2020 and 2019 the Company has recognized and recorded as cost of revenue $0.1 million and zero, respectively, related to the AstraZeneca Termination Agreement.</w:t>
      </w:r>
    </w:p>
    <w:p>
      <w:pPr>
        <w:spacing w:after="0" w:line="181"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presents changes in the Company’s deferred revenue balance, which is attributable entirely to the 2019 KKC Agreement discussed above, during the reporting period: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 revenue</w:t>
            </w:r>
          </w:p>
        </w:tc>
      </w:tr>
      <w:tr>
        <w:trPr>
          <w:trHeight w:val="209"/>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ind w:left="220"/>
              <w:spacing w:after="0"/>
              <w:rPr>
                <w:sz w:val="20"/>
                <w:szCs w:val="20"/>
                <w:color w:val="auto"/>
              </w:rPr>
            </w:pPr>
            <w:r>
              <w:rPr>
                <w:rFonts w:ascii="Arial" w:cs="Arial" w:eastAsia="Arial" w:hAnsi="Arial"/>
                <w:sz w:val="18"/>
                <w:szCs w:val="18"/>
                <w:color w:val="auto"/>
                <w:w w:val="97"/>
              </w:rPr>
              <w:t>Increases due to cash received, excluding amounts recognized as revenue during the period</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Decreases due to revenue recognized in the period for which cash has been received</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w:t>
            </w:r>
          </w:p>
        </w:tc>
      </w:tr>
      <w:tr>
        <w:trPr>
          <w:trHeight w:val="216"/>
        </w:trPr>
        <w:tc>
          <w:tcPr>
            <w:tcW w:w="7420" w:type="dxa"/>
            <w:vAlign w:val="bottom"/>
          </w:tcPr>
          <w:p>
            <w:pPr>
              <w:ind w:left="220"/>
              <w:spacing w:after="0"/>
              <w:rPr>
                <w:sz w:val="20"/>
                <w:szCs w:val="20"/>
                <w:color w:val="auto"/>
              </w:rPr>
            </w:pPr>
            <w:r>
              <w:rPr>
                <w:rFonts w:ascii="Arial" w:cs="Arial" w:eastAsia="Arial" w:hAnsi="Arial"/>
                <w:sz w:val="18"/>
                <w:szCs w:val="18"/>
                <w:color w:val="auto"/>
              </w:rPr>
              <w:t>Decreases due to revenue recognized in the period for which cash has not been received</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r>
      <w:tr>
        <w:trPr>
          <w:trHeight w:val="209"/>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CONTINGENCIES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From time to time the Company may be involved in claims arising in connection with its business. Based on information currently available, management believes that the amount, or range, of reasonably possible losses in connection with any pending actions against the Company will not be material to the Company’s financial condition or cash flows, and no contingent liabilities were accrued as of June 30, 2020 or 2019.</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includes, among other features,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While the Company continues to evaluate the impact of the CARES Act, it does not expect the provisions of the legislation to have a significant impact on the effective tax rate or on the income tax provision or deferred income tax positions of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SUBSEQUENT EVENT</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On July 9, 2020 the Company filed a Form S-3 registration statement containing (i) a base prospectus for the offering, issuance and sale by the Company of up to a maximum aggregate offering price of $250,000,000 of the Company’s common stock, preferred stock, debt securities, warrants and/or units, from time to time in one or more offerings; and (ii) a prospectus supplement for the offering, issuance and sale by the Company of up to a maximum aggregate offering price of $100,000,000 of the Company’s common stock that may be issued and sold, from time to time, under a sales agreement with Jefferies LLC, deemed to be “at the market offerings”. This prospectus supplement supersedes prior “at the market offerings” agreement. Subsequently, on July 24, 2020 the Company filed an amendment to the said Form S-3, which became effective on August 3, 2020.</w:t>
      </w:r>
    </w:p>
    <w:p>
      <w:pPr>
        <w:spacing w:after="0" w:line="200" w:lineRule="exact"/>
        <w:rPr>
          <w:sz w:val="20"/>
          <w:szCs w:val="20"/>
          <w:color w:val="auto"/>
        </w:rPr>
      </w:pPr>
    </w:p>
    <w:p>
      <w:pPr>
        <w:spacing w:after="0" w:line="325" w:lineRule="exact"/>
        <w:rPr>
          <w:sz w:val="20"/>
          <w:szCs w:val="20"/>
          <w:color w:val="auto"/>
        </w:rPr>
      </w:pPr>
    </w:p>
    <w:p>
      <w:pPr>
        <w:ind w:left="1020" w:right="199" w:hanging="97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2019.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Ardelyx</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We are a specialized biopharmaceutical company focused on developing innovative first-in-class medicines to improve treatment for people with kidney and cardiovascular diseases. This includes patients with chronic kidney disease (“CKD”) on dialysis suffering from elevated serum phosphorus (“hyperphosphatemia”) and patients with CKD and/or heart failure patients with elevated serum potassium (“hyperkalemia”).</w:t>
      </w:r>
    </w:p>
    <w:p>
      <w:pPr>
        <w:spacing w:after="0" w:line="18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Our portfolio is led by the development of tenapanor, a first-in-class medicine for the control of serum phosphorus in adult patients with CKD on dialysis, for which we completed the Phase 3 clinical program and have submitted a New Drug Application (“NDA”) to the United States Food and Drug Administration (“FDA”) on June 30, 2020. Based on standard FDA review timelines, we expect to receive notification from the FDA on the acceptance of the filing for substantive review by early September 2020. Tenapanor for the control of serum phosphorus has a unique mechanism of action and acts locally in the gut to inhibit the sodium hydrogen exchanger 3 (“NHE3”). This results in the tightening of the epithelial cell junctions, thereby significantly reducing paracellular uptake of phosphate, the primary pathway of phosphate absorption. Three successful Phase 3 studies demonstrating tenapanor’s ability to reduce phosphate levels, as either monotherapy or as part of a dual mechanism approach with phosphate binders, have been reported.</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have evaluated tenapanor in a Phase 3 program for the control of serum phosphorus in CKD patients on dialysis. In December 2019, we reported statistically significant topline efficacy results from our second monotherapy Phase 3 clinical trial, the PHREEDOM trial. The PHREEDOM trial followed a successful monotherapy Phase 3 clinical trial completed in 2017, which achieved statistical significance for the primary endpoint. PHREEDOM is a one-year study with a 26-week open-label treatment period and a 12-week double-blind, placebo-controlled randomized withdrawal period followed by a 14-week open-label safety extension period. An active safety control group, for safety analysis only, received sevelamer, open-label, for the entire 52-week study period. Patients completing the PHREEDOM trial from both the tenapanor arm and the sevelamer active safety control arm had the option to participate in NORMALIZE, an ongoing open-label 18-month extension study.</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In June 2020, we announced positive results from a planned interim data analysis from our ongoing NORMALIZE Phase 4 study evaluating tenapanor, as monotherapy or in combination with sevelamer, to achieve serum phosphorus levels in the normal range (2.5 – 4.5 mg/dL) in patients with CKD on dialysis. The NORMALIZE extension study allowed patients from our PHREEDOM study to continue therapy with tenapanor and enabled those patients in the PHREEDOM safety control arm receiving sevelamer carbonate to transition to tenapanor. The data from the planned interim analysis demonstrated that the foundational use of tenapanor as monotherapy or in combination with sevelamer carbonate produces a significant phosphorus-lowering effect with a mean serum phosphorous reduction of 2.33 mg/dL, from a mean baseline phosphorus of 7.27 mg/dL at the beginning of the PHREEDOM trial to a mean of 4.94 mg/dL at the time of this analysis. Of the 171 patients in this interim analysis who completed up to 9 months of treatment in this extension study, up to 47.4% achieved a normal serum phosphorus level, and of those, the majority were on tenapanor alone or tenapanor with low dose sevelamer of ≤3 sevelamer tablets per day. These data represent a 58% improvement in the rate of patients who achieve a normal serum phosphorus level, as compared to current treatment practice data as reported in the April 2020 Dialysis Outcomes Practice Patterns Study (“DOPPS”) Practice Monitor. The DOPPS data demonstrate that, with currently available treatments, only 30% of patients have serum phosphorous levels &lt; 4.6 mg/dL. The only adverse event reported in &gt;5% of patients in NORMALIZE was diarrhea, with an incidence rate of 23.3%.</w:t>
      </w:r>
    </w:p>
    <w:p>
      <w:pPr>
        <w:spacing w:after="0" w:line="167"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In September 2019, we reported positive results from the AMPLIFY trial, a Phase 3 study evaluating tenapanor in patients with CKD on dialysis who had uncontrolled hyperphosphatemia despite phosphate binder treatment.</w:t>
      </w:r>
    </w:p>
    <w:p>
      <w:pPr>
        <w:spacing w:after="0" w:line="14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June 2020, our partner Kyowa Kirin Co., Ltd. (“KKC”), a Japan-based global specialty pharmaceutical company exclusively developing tenapanor in Japan, presented results from a Phase 2 trial of tenapanor at the European Renal Association-European Dialysis and Transplant Association annual meeting (“ERA-EDTA 2020”). The trial was designed to evaluate if, with tenapanor, patients with hyperphosphatemia undergoing hemodialysis could achieve at least a 30% decrease in mean pill burden while maintaining their serum phosphorus level. The study results were statistically significant, with 71.6% (p&lt;0.001) of patients achieving at least a 30% reduction in mean pill burden. The overall mean reduction in phosphate binder usage was 80% (reduction from 14.7 to 3.0 pills per day), while maintaining serum phosphorus control. The mean phosphorus level of patients entering the study on treatment with binders was 5.2 mg/dL at baseline and 4.7 mg/dL at the end of the 26-week study</w:t>
      </w:r>
    </w:p>
    <w:p>
      <w:pPr>
        <w:spacing w:after="0" w:line="18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Tenapanor, if approved, would be the first therapy for phosphate management that blocks phosphorus absorption at the primary pathway of uptake. It is not a phosphate binder. Tenapanor is a novel, potent, small molecule, that has been shown in the phase 3 studies to treat hyperphosphatemia as monotherapy and as a dual mechanism approach . Additionally, as such we believe tenapanor could greatly improve patient adherence and compliance with one single pill dosed twice daily in contrast to current therapies where typically multiple pills are taken before every meal.</w:t>
      </w:r>
    </w:p>
    <w:p>
      <w:pPr>
        <w:spacing w:after="0" w:line="17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renin-angiotensin-aldosterone system (“RAAS”) inhibitors. Similar to what we have done with tenapanor in developing a non-binder approach for the treatment of elevated serum phosphate levels, RDX013 is designed to target the underlying biological mechanisms of potassium secretion to lower elevated potassium. While currently available therapies are all ion exchange agents, RDX013 is a first in class approach that exerts its effects by amplifying the underlying pathways of potassium secretion in the colon.</w:t>
      </w:r>
    </w:p>
    <w:p>
      <w:pPr>
        <w:spacing w:after="0" w:line="177" w:lineRule="exact"/>
        <w:rPr>
          <w:sz w:val="20"/>
          <w:szCs w:val="20"/>
          <w:color w:val="auto"/>
        </w:rPr>
      </w:pPr>
    </w:p>
    <w:p>
      <w:pPr>
        <w:jc w:val="both"/>
        <w:ind w:left="60" w:right="59" w:firstLine="324"/>
        <w:spacing w:after="0" w:line="235" w:lineRule="auto"/>
        <w:rPr>
          <w:sz w:val="20"/>
          <w:szCs w:val="20"/>
          <w:color w:val="auto"/>
        </w:rPr>
      </w:pPr>
      <w:r>
        <w:rPr>
          <w:rFonts w:ascii="Arial" w:cs="Arial" w:eastAsia="Arial" w:hAnsi="Arial"/>
          <w:sz w:val="18"/>
          <w:szCs w:val="18"/>
          <w:color w:val="auto"/>
        </w:rPr>
        <w:t>In addition to the development of tenapanor for hyperphosphatemia, we have developed tenapanor for the treatment of patients with irritable bowel syndrome with constipation (“IBS-C”). In September 2019, we received FDA approval of IBSRELA® (tenapanor) for the treatment of IBS-C in adults. IBS-C is a burdensome gastrointestinal (“GI”) disorder affecting a significant number of people. It is characterized by significant abdominal pain, constipation, straining during bowel movements, bloating and/or gas. We are currently seeking a collaboration partner to commercialize IBSRELA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(tenapanor) in the United States.</w:t>
      </w:r>
    </w:p>
    <w:p>
      <w:pPr>
        <w:spacing w:after="0" w:line="20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We have developed a proprietary drug discovery and design platform to discover targets found in the GI tract that regulate processes in the body and design product candidates that act upon those targets to take advantage of the gut’s ability to communicate with other organs.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our clinical product candidate tenapanor and developing our proprietary drug discovery and design platform. We have not generated any revenues from product sales. As of June 30, 2020, we had an accumulated deficit of $507.8 million.</w:t>
      </w:r>
    </w:p>
    <w:p>
      <w:pPr>
        <w:spacing w:after="0" w:line="18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expect to continue to incur substantial operating losses for the foreseeable future as a result of costs associated with the following activities: our continued development of tenapanor for the control of serum phosphorus in CKD patients on dialysis; our preparations for the commercialization of tenapanor in the United States for the control of serum phosphorus in CKD patients on dialysis, including significant increased personnel costs associated with building out our commercial team; the performance of certain activities required as a result of our NDA approval of tenapanor for IBS-C, including costs associated with conducting the pediatric clinical trials for IBS-C; and the advancement of our research programs into the preclinical stage. To date, we have funded our operations from the sale and issuance of common stock and convertible preferred stock, funds from our collaboration partnerships, and funds from our Loan Agreement with Solar Capital Ltd. and Western Alliance Bank.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 xml:space="preserve">The global COVID-19 pandemic has impacted the operational decisions of companies worldwide. It also has created and may continue to create significant uncertainty in the global economy. We have undertaken measures to protect our employees, partners, collaborators, and vendors, some of which impact our normal operations. To date, we have been able to continue our operations with our workforce, most of whom are working remotely, and our pre-existing infrastructure that supports secure access to our internal systems. If, however, the COVID-19 pandemic has a substantial impact on the productivity of our employees, our ability to successfully prepare for the commercial launch of tenapanor for the control of serum phosphorous in CKD patients on dialysis, including our ability to hire and successfully integrate into the company the new personnel required to prepare for such launch, or our ability to progress our research and development efforts, the results of our operations and overall financial performance may be adversely impacted. We filed our NDA with the FDA on June 30, 2020, and the timing of this review may be affected due to constraints at the FDA, as many of the FDA staff are working on COVID-19 activities and the FDA may be required to further reprioritize their resources for the COVID-19 drug programs. The extent of the impact from the COVID-19 pandemic on our business will depend largely on future developments that are highly uncertain and cannot be predicted. For a discussion of risks of COVID-19 relating to our business, see “Part II: Other Information-Item 1A.- Risk Factors- Risks Related to Our Business- </w:t>
      </w:r>
      <w:r>
        <w:rPr>
          <w:rFonts w:ascii="Arial" w:cs="Arial" w:eastAsia="Arial" w:hAnsi="Arial"/>
          <w:sz w:val="17"/>
          <w:szCs w:val="17"/>
          <w:i w:val="1"/>
          <w:iCs w:val="1"/>
          <w:color w:val="auto"/>
        </w:rPr>
        <w:t>The ongoing COVID-19</w:t>
      </w:r>
      <w:r>
        <w:rPr>
          <w:rFonts w:ascii="Arial" w:cs="Arial" w:eastAsia="Arial" w:hAnsi="Arial"/>
          <w:sz w:val="17"/>
          <w:szCs w:val="17"/>
          <w:color w:val="auto"/>
        </w:rPr>
        <w:t xml:space="preserve"> </w:t>
      </w:r>
      <w:r>
        <w:rPr>
          <w:rFonts w:ascii="Arial" w:cs="Arial" w:eastAsia="Arial" w:hAnsi="Arial"/>
          <w:sz w:val="17"/>
          <w:szCs w:val="17"/>
          <w:i w:val="1"/>
          <w:iCs w:val="1"/>
          <w:color w:val="auto"/>
        </w:rPr>
        <w:t>pandemic, or any other outbreak of epidemic diseases, or the perception of their effects, could have a material adverse effect on our business, financial condition, results of operations or cash flows</w:t>
      </w:r>
      <w:r>
        <w:rPr>
          <w:rFonts w:ascii="Arial" w:cs="Arial" w:eastAsia="Arial" w:hAnsi="Arial"/>
          <w:sz w:val="17"/>
          <w:szCs w:val="17"/>
          <w:color w:val="auto"/>
        </w:rPr>
        <w:t>.” As of the date of issuance of this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we are not aware of any specific event or circumstance that would require updates to our estimates and judgments or revisions to the carrying value of our assets or liabilities. These estimates may change, as new events occur and additional information is obtained.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60" w:right="259" w:firstLine="486"/>
        <w:spacing w:after="0" w:line="291" w:lineRule="auto"/>
        <w:rPr>
          <w:sz w:val="20"/>
          <w:szCs w:val="20"/>
          <w:color w:val="auto"/>
        </w:rPr>
      </w:pPr>
      <w:r>
        <w:rPr>
          <w:rFonts w:ascii="Arial" w:cs="Arial" w:eastAsia="Arial" w:hAnsi="Arial"/>
          <w:sz w:val="16"/>
          <w:szCs w:val="16"/>
          <w:color w:val="auto"/>
        </w:rPr>
        <w:t>Our discussion and analysis of financial condition and results of operations is based on our condensed financial statements, which have been prepared in accordance with accounting principles generally accepted in the United States. 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66" w:lineRule="exact"/>
        <w:rPr>
          <w:sz w:val="20"/>
          <w:szCs w:val="20"/>
          <w:color w:val="auto"/>
        </w:rPr>
      </w:pPr>
    </w:p>
    <w:p>
      <w:pPr>
        <w:ind w:left="60" w:right="179" w:firstLine="486"/>
        <w:spacing w:after="0" w:line="296" w:lineRule="auto"/>
        <w:rPr>
          <w:sz w:val="20"/>
          <w:szCs w:val="20"/>
          <w:color w:val="auto"/>
        </w:rPr>
      </w:pPr>
      <w:r>
        <w:rPr>
          <w:rFonts w:ascii="Arial" w:cs="Arial" w:eastAsia="Arial" w:hAnsi="Arial"/>
          <w:sz w:val="16"/>
          <w:szCs w:val="16"/>
          <w:color w:val="auto"/>
        </w:rPr>
        <w:t xml:space="preserve">The critical accounting policies that we believe impact significant judgments and estimates used in the preparation of our financial statements presented in this report are described in Part II, Item 7, </w:t>
      </w:r>
      <w:r>
        <w:rPr>
          <w:rFonts w:ascii="Arial" w:cs="Arial" w:eastAsia="Arial" w:hAnsi="Arial"/>
          <w:sz w:val="16"/>
          <w:szCs w:val="16"/>
          <w:i w:val="1"/>
          <w:iCs w:val="1"/>
          <w:color w:val="auto"/>
        </w:rPr>
        <w:t>Management’s Discussion and 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of Financial Condition and Results of Operations</w:t>
      </w:r>
      <w:r>
        <w:rPr>
          <w:rFonts w:ascii="Arial" w:cs="Arial" w:eastAsia="Arial" w:hAnsi="Arial"/>
          <w:sz w:val="16"/>
          <w:szCs w:val="16"/>
          <w:color w:val="auto"/>
        </w:rPr>
        <w:t>, in our Annual Report on Form 10-K filed with the SEC on March 6,</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There have been no significant changes to our critical accounting policies as disclosed in our most recently filed Annual Report on Form 10-K during the three and six months ended June 30,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 xml:space="preserve">A summary of recent accounting pronouncements that we have adopted or may expect to adopt is included in Note 1 – Description of Business and Basis of Presentation to our condensed financial statements (see Part I, Item 1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Financial Statements</w:t>
      </w:r>
      <w:r>
        <w:rPr>
          <w:rFonts w:ascii="Arial" w:cs="Arial" w:eastAsia="Arial" w:hAnsi="Arial"/>
          <w:sz w:val="18"/>
          <w:szCs w:val="18"/>
          <w:color w:val="auto"/>
        </w:rPr>
        <w:t>, of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revenue to date has been generated primarily through license, research and development collaborative agreements with various collaboration partners. We have not generated any revenue from product sales. In the future, we may generate revenue from a combination of license fees and other upfront payments, milestone payments, product sales and royalties in connection with our current or future collaborative partnerships. We expect that any revenue we generate will fluctuate in future periods as a result of, among other factors: the timing and progress of goods and services provided pursuant to our current or future collaborative partnerships; our or our collaborators’ achievement of preclinical, clinical, regulatory or commercialization milestones, to the extent achieved; the timing and amount of any payments to us relating to the aforementioned milestones; and the extent to which any of our product candidates are approved and successfully commercialized by us or a collaboration partner. If we, our current collaboration partners or any future collaboration partners fail to develop product candidates in a timely manner or to obtain regulatory approval for product candidates, our ability to generate future revenue from collaborative arrangements, and our results of operations and financial position, would be materially and adversely affected. Our past revenue performance is not necessarily indicative of results to be expected in future periods.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Cost of revenue currently represents payments due to AstraZeneca AB (“AstraZeneca”), which under the terms of a termination agreement entered into in 2015 is entitled to (i) future royalties at a rate of 10% of net sales of tenapanor or other NHE3 products by us or our licensees, and (ii) 20% of non-royalty revenue received from a new collaboration partner should we elect to license, or otherwise provide rights to develop and commercialize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$10.6 million of the $75.0 million under the AstraZeneca Termination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recognize all R&amp;D expenses as they are incurred to support the discovery, research, development and manufacturing of our product candidates. R&amp;D expenses include, but are not limited to, the following:</w:t>
      </w:r>
    </w:p>
    <w:p>
      <w:pPr>
        <w:spacing w:after="0" w:line="170" w:lineRule="exact"/>
        <w:rPr>
          <w:sz w:val="20"/>
          <w:szCs w:val="20"/>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231F20"/>
        </w:rPr>
      </w:pPr>
      <w:r>
        <w:rPr>
          <w:rFonts w:ascii="Arial" w:cs="Arial" w:eastAsia="Arial" w:hAnsi="Arial"/>
          <w:sz w:val="18"/>
          <w:szCs w:val="18"/>
          <w:color w:val="auto"/>
        </w:rPr>
        <w:t>external R&amp;D expenses incurred under agreements with consultants, third-party contract research organizations and investigative sites where a substantial portion of our clinical studies are conducted, and with contract manufacturing organizations where our clinical supplies are produced;</w:t>
      </w:r>
    </w:p>
    <w:p>
      <w:pPr>
        <w:spacing w:after="0" w:line="183" w:lineRule="exact"/>
        <w:rPr>
          <w:rFonts w:ascii="Arial" w:cs="Arial" w:eastAsia="Arial" w:hAnsi="Arial"/>
          <w:sz w:val="18"/>
          <w:szCs w:val="18"/>
          <w:color w:val="231F20"/>
        </w:rPr>
      </w:pPr>
    </w:p>
    <w:p>
      <w:pPr>
        <w:ind w:left="720" w:hanging="319"/>
        <w:spacing w:after="0"/>
        <w:tabs>
          <w:tab w:leader="none" w:pos="72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employee-related expenses, which include salaries, bonuses, benefits, travel and stock-based compensation;</w:t>
      </w:r>
    </w:p>
    <w:p>
      <w:pPr>
        <w:spacing w:after="0" w:line="236" w:lineRule="exact"/>
        <w:rPr>
          <w:rFonts w:ascii="Arial" w:cs="Arial" w:eastAsia="Arial" w:hAnsi="Arial"/>
          <w:sz w:val="17"/>
          <w:szCs w:val="17"/>
          <w:color w:val="231F20"/>
        </w:rPr>
      </w:pPr>
    </w:p>
    <w:p>
      <w:pPr>
        <w:ind w:left="720" w:right="79" w:hanging="319"/>
        <w:spacing w:after="0" w:line="308" w:lineRule="auto"/>
        <w:tabs>
          <w:tab w:leader="none" w:pos="72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facilities and other allocated expenses, which include direct and allocated expenses for rent and maintenance of facilities, depreciation and amortization expense and information technology expenses;.</w:t>
      </w:r>
    </w:p>
    <w:p>
      <w:pPr>
        <w:spacing w:after="0" w:line="146" w:lineRule="exact"/>
        <w:rPr>
          <w:rFonts w:ascii="Arial" w:cs="Arial" w:eastAsia="Arial" w:hAnsi="Arial"/>
          <w:sz w:val="17"/>
          <w:szCs w:val="17"/>
          <w:color w:val="231F20"/>
        </w:rPr>
      </w:pPr>
    </w:p>
    <w:p>
      <w:pPr>
        <w:ind w:left="720" w:hanging="319"/>
        <w:spacing w:after="0"/>
        <w:tabs>
          <w:tab w:leader="none" w:pos="72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expenses associated with supplies and materials consumed in connection with our research operations; and</w:t>
      </w:r>
    </w:p>
    <w:p>
      <w:pPr>
        <w:spacing w:after="0" w:line="236" w:lineRule="exact"/>
        <w:rPr>
          <w:rFonts w:ascii="Arial" w:cs="Arial" w:eastAsia="Arial" w:hAnsi="Arial"/>
          <w:sz w:val="17"/>
          <w:szCs w:val="17"/>
          <w:color w:val="231F20"/>
        </w:rPr>
      </w:pPr>
    </w:p>
    <w:p>
      <w:pPr>
        <w:ind w:left="720" w:hanging="319"/>
        <w:spacing w:after="0"/>
        <w:tabs>
          <w:tab w:leader="none" w:pos="720" w:val="left"/>
        </w:tabs>
        <w:numPr>
          <w:ilvl w:val="0"/>
          <w:numId w:val="3"/>
        </w:numPr>
        <w:rPr>
          <w:rFonts w:ascii="Arial" w:cs="Arial" w:eastAsia="Arial" w:hAnsi="Arial"/>
          <w:sz w:val="18"/>
          <w:szCs w:val="18"/>
          <w:color w:val="231F20"/>
        </w:rPr>
      </w:pPr>
      <w:r>
        <w:rPr>
          <w:rFonts w:ascii="Arial" w:cs="Arial" w:eastAsia="Arial" w:hAnsi="Arial"/>
          <w:sz w:val="18"/>
          <w:szCs w:val="18"/>
          <w:color w:val="auto"/>
        </w:rPr>
        <w:t>other costs associated with regulatory, clinical and non-clinical development activities.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expect to continue to make substantial investments in research and development activities as we further progress the development of tenapanor, as well as our other product candidates, as we advance our research programs into the preclinical stage and as we continue our early stage research. The process of conducting preclinical studies and clinical trials necessary to obtain regulatory approval is costly and time-consuming. We may not succeed in achieving marketing approval for our product candidates, including tenapanor for the control of serum phosphorus. Additionally, with respect to the marketing approval received in the United States for tenapanor for the treatment of IBS-C, we may not be successful in securing one or more collaboration partners to commercialize tenapanor in the United States. The probability of success of each of our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18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may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board, finance, legal, business development, market development, commercial and support staff. Other general and administrative expenses include facility related costs and professional fees for legal, accounting and audit, investor relations, other consulting services and allocated facility-related costs not otherwise included in research and development expenses.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in the future primarily because of increased pre-commercial activities, personnel costs and professional fees for services to support the potential launch and commercialization of tenapanor for the control of serum phosphorus in CKD patients on dialysis.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3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79" w:lineRule="exact"/>
        <w:rPr>
          <w:sz w:val="20"/>
          <w:szCs w:val="20"/>
          <w:color w:val="auto"/>
        </w:rPr>
      </w:pPr>
    </w:p>
    <w:p>
      <w:pPr>
        <w:ind w:left="60" w:right="299" w:firstLine="324"/>
        <w:spacing w:after="0" w:line="308" w:lineRule="auto"/>
        <w:rPr>
          <w:sz w:val="20"/>
          <w:szCs w:val="20"/>
          <w:color w:val="auto"/>
        </w:rPr>
      </w:pPr>
      <w:r>
        <w:rPr>
          <w:rFonts w:ascii="Arial" w:cs="Arial" w:eastAsia="Arial" w:hAnsi="Arial"/>
          <w:sz w:val="17"/>
          <w:szCs w:val="17"/>
          <w:color w:val="auto"/>
        </w:rPr>
        <w:t>Other income consists of interest income earned on our cash and cash equivalents and held-to-maturity investments, the periodic revaluation of the exit fee related to our loan and currency exchange gains and losses.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includes, among other features,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While we continue to evaluate the impact of the CARES Act, we do not expect the provisions of the legislation to have a significant impact on the effective tax rate or on the income tax provision or deferred income tax positions of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2020 and 2019</w:t>
      </w:r>
    </w:p>
    <w:p>
      <w:pPr>
        <w:spacing w:after="0" w:line="22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results of our operations for the periods indicated (amounts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3"/>
              </w:rPr>
              <w:t>Three Months Ended June 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Collaborative development revenue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(72.2)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(3.1)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(1,451)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(15.5)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(41.3)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2"/>
              </w:rPr>
              <w:t>Six Months Ended 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Collaborative development revenue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138.9</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39,856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(5,148)</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(12.9)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49,025</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50,344</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(50,326)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(2,583)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(2,885)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(10.5)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11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(23.2)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(47,329)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(51,609)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4,280</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1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(47,329)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(51,611)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line="223" w:lineRule="auto"/>
        <w:rPr>
          <w:sz w:val="20"/>
          <w:szCs w:val="20"/>
          <w:color w:val="auto"/>
        </w:rPr>
      </w:pPr>
      <w:r>
        <w:rPr>
          <w:rFonts w:ascii="Arial" w:cs="Arial" w:eastAsia="Arial" w:hAnsi="Arial"/>
          <w:sz w:val="9"/>
          <w:szCs w:val="9"/>
          <w:color w:val="auto"/>
        </w:rPr>
        <w:t>____________________________________</w:t>
      </w:r>
    </w:p>
    <w:p>
      <w:pPr>
        <w:ind w:left="180" w:hanging="130"/>
        <w:spacing w:after="0" w:line="234"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4"/>
          <w:szCs w:val="14"/>
          <w:color w:val="auto"/>
        </w:rPr>
        <w:t>Not meaningful</w:t>
      </w:r>
    </w:p>
    <w:p>
      <w:pPr>
        <w:spacing w:after="0" w:line="214"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results of operations are not necessarily indicative of the results to be expected for the year ended December 31, 2020, for any other interim period, or for any other future year.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Total revenue was $1.8 million for the three months ended June 30, 2020, an increase of $1.8 million compared to $18,000 for the three months ended June 30, 2019. This increase was primarily attributable to $1.1 million higher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collaborative development revenue recognized in connection with the research collaboration and option agreement entered into in December 2019 with Kyowa Kirin Co., Ltd. (“KKC”) (the “2019 KKC Agreement”) and a $0.7 million increase in licensing revenue recognized upon Knight’s achievement of a development milestone, pursuant to the Knight Agreement, partially offset by a $13,000 decrease in manufacturing supply of tenapanor and other materials sold to KKC (the “2017 KKC Agreement”) for its product development and clinical trials in Japan in accordance with our agreement with KKC. For the above mentioned 2019 KKC Agreement, the initial transaction price of $10.0 million, revenue is being recognized as services are provided using an input method. As of June 30, 2020, the remaining unamortized initial transaction price totaled $7.2 million, and we currently expect this amount will be recognized through the end of 2021.</w:t>
      </w:r>
    </w:p>
    <w:p>
      <w:pPr>
        <w:spacing w:after="0" w:line="165"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Total revenue was $3.0 million for the six months ended June 30, 2020, an increase of $3.0 million compared to $18,000 for the six months ended June 30, 2019. This increase was primarily attributable to $2.3 million higher collaborative development revenue recognized in connection with the 2019 KKC Agreement, a $0.7 million increase in licensing revenue recognized upon Knight’s achievement of a development milestone, pursuant to the Knight Agreement and a $25,000 increase in manufacturing supply of tenapanor and other materials sold to KKC in accordance with the 2017 KKC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increase in cost of revenue for both the three and six months ended June 30, 2020 was due to an increase in fees owed to AstraZeneca pursuant to the AstraZeneca Termination Agreement, corresponding to the licensing revenue realized.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our R&amp;D expenses incurred during the periods indicated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Three Months Ended June 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Employee-related expenses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equipment and depreciation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Six Months Ended 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Employee-related expenses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equipment and depreciation expenses</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(5.5)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39,856</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decrease in our external R&amp;D expenses for the three months ended June 30, 2020 primarily includes a $1.1 million decrease in our tenapanor-related expenses, as well as a $0.6 million decrease in our RDX013 program-related expenses, partially offset by $0.7 million of higher expenses attributable to 2019 KKC Agreement-related and general R&amp;D expenses. Of the overall tenapanor-related decrease, approximately $7.9 million relates to lower clinical study costs due to the winding down of expenses associated with our Phase 3 program for tenapanor for the control of hyperphosphatemia, offset by an out-of-period adjustment that reduced clinical trial expenses by $4.1 million related to our tenapanor clinical trials for the three months ended June 30, 2019; and an approximately $2.1 million decrease in manufacturing expenses due to reduced validation related expenses for tenapanor in 2020 as compared to 2019; offset by an increase of $4.6 million related to regulatory expenses that includes $2.9 million paid to the FDA for the filing of a NDA for tenapanor for the control of serum phosphorus in CKD patients on dialysis on June 30,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decrease in our external R&amp;D expenses for the six months ended June 30, 2020 primarily includes a $6.1 million decrease in our tenapanor-related expenses, as well as a $1.4 million decrease in our RDX013 program-related expenses, partially offset by $1.4 million of higher expenses attributable to 2019 KKC Agreement-related and general R&amp;D expenses. Of the overall tenapanor-related decrease, approximately $11.6 million relates to lower clinical study costs due to the winding down of expenses associated with our Phase 3 program for tenapanor for the control of hyperphosphatemia, offset by an out-of-period adjustment that had reduced clinical trial expenses by $3.6 million related to our tenapanor clinical trials for the six months ended June 30, 2019; and approximately $3.3 million relates to lower manufacturing expenses due to reduced validation related expenses for tenapanor in 2020 as compared to 2019; offset by an increase of $4.9 million related to regulatory expenses that includes $2.9 million paid to the FDA for the filing of a NDA for tenapanor for the control of serum phosphorus in CKD patients on dialysis on June 30, 2020.</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increase in general and administrative expenses for the three months ended June 30, 2020 was primarily due to an increase in headcount and related personnel costs, including stock-based compensation costs related to option vesting and performance-based restricted stock units and an increase in professional services.</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increase in general and administrative expenses for the six months ended June 30, 2020 was primarily due to an increase in headcount and related personnel costs, including stock-based compensation costs related to option vesting and performance-based restricted stock units, severance expenses related to our former chief financial officer and an increase in professional services.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decrease in interest expense for both the three and six months ended June 30, 2020 was primarily due to lower interest rates.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60" w:right="499" w:firstLine="324"/>
        <w:spacing w:after="0" w:line="263" w:lineRule="auto"/>
        <w:rPr>
          <w:sz w:val="20"/>
          <w:szCs w:val="20"/>
          <w:color w:val="auto"/>
        </w:rPr>
      </w:pPr>
      <w:r>
        <w:rPr>
          <w:rFonts w:ascii="Arial" w:cs="Arial" w:eastAsia="Arial" w:hAnsi="Arial"/>
          <w:sz w:val="18"/>
          <w:szCs w:val="18"/>
          <w:color w:val="auto"/>
        </w:rPr>
        <w:t>The decrease in other income, net for the three months ended June 30, 2020 was primarily due to a decrease in investment income, a higher exit fee revaluation adjustment related to our loan agreement and an increase in currency exchange losses.</w:t>
      </w:r>
    </w:p>
    <w:p>
      <w:pPr>
        <w:spacing w:after="0" w:line="184" w:lineRule="exact"/>
        <w:rPr>
          <w:sz w:val="20"/>
          <w:szCs w:val="20"/>
          <w:color w:val="auto"/>
        </w:rPr>
      </w:pPr>
    </w:p>
    <w:p>
      <w:pPr>
        <w:ind w:left="60" w:right="839" w:firstLine="324"/>
        <w:spacing w:after="0" w:line="308" w:lineRule="auto"/>
        <w:rPr>
          <w:sz w:val="20"/>
          <w:szCs w:val="20"/>
          <w:color w:val="auto"/>
        </w:rPr>
      </w:pPr>
      <w:r>
        <w:rPr>
          <w:rFonts w:ascii="Arial" w:cs="Arial" w:eastAsia="Arial" w:hAnsi="Arial"/>
          <w:sz w:val="17"/>
          <w:szCs w:val="17"/>
          <w:color w:val="auto"/>
        </w:rPr>
        <w:t>The decrease in other income, net for the six months ended June 30, 2020 was primarily due to a decrease in investment income and a higher exit fee revaluation adjustment related to our loan agreement.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Our primary sources of cash have been from the sale and issuance of common stock (in both public offerings and private placements) and private placements of convertible preferred stock, funds from our collaboration partnerships, and funds from our loan agreement. Our primary uses of cash are to fund operating expenses, primarily research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development expenditures, and pre-commercial expenses. Cash used to fund operating expenses is impacted by the timing of when we pay these expenses, as reflected in the change in our outstanding accounts payable and accrued expenses.</w:t>
      </w:r>
    </w:p>
    <w:p>
      <w:pPr>
        <w:spacing w:after="0" w:line="124"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As of June 30, 2020 and December 31, 2019, our cash, cash equivalents and short-term investments were as follows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100,494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181,133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gridSpan w:val="2"/>
          </w:tcPr>
          <w:p>
            <w:pPr>
              <w:spacing w:after="0"/>
              <w:rPr>
                <w:sz w:val="20"/>
                <w:szCs w:val="20"/>
                <w:color w:val="auto"/>
              </w:rPr>
            </w:pPr>
            <w:r>
              <w:rPr>
                <w:rFonts w:ascii="Arial" w:cs="Arial" w:eastAsia="Arial" w:hAnsi="Arial"/>
                <w:sz w:val="18"/>
                <w:szCs w:val="18"/>
                <w:color w:val="auto"/>
              </w:rPr>
              <w:t>Total liquid funds</w:t>
            </w:r>
          </w:p>
        </w:tc>
        <w:tc>
          <w:tcPr>
            <w:tcW w:w="14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247,512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120" w:type="dxa"/>
            <w:vAlign w:val="bottom"/>
            <w:vMerge w:val="restart"/>
          </w:tcPr>
          <w:p>
            <w:pPr>
              <w:spacing w:after="0"/>
              <w:rPr>
                <w:sz w:val="20"/>
                <w:szCs w:val="20"/>
                <w:color w:val="auto"/>
              </w:rPr>
            </w:pPr>
            <w:r>
              <w:rPr>
                <w:rFonts w:ascii="Arial" w:cs="Arial" w:eastAsia="Arial" w:hAnsi="Arial"/>
                <w:sz w:val="18"/>
                <w:szCs w:val="18"/>
                <w:color w:val="auto"/>
              </w:rPr>
              <w:t>Cash used in operating activities</w:t>
            </w: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(43,968)</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investing activities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(37,466)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provided by financing activities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Net cash used in operating activities during the six months ended June 30, 2020 was $43.9 million, as compared to $44.7 million for the six months ended June 30, 2019. The $0.8 million decrease is primarily attributable to:</w:t>
      </w:r>
    </w:p>
    <w:p>
      <w:pPr>
        <w:spacing w:after="0" w:line="146" w:lineRule="exact"/>
        <w:rPr>
          <w:sz w:val="20"/>
          <w:szCs w:val="20"/>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$4.4 million decrease in cash received from collaboration partners during the six months ended June 30, 2020 as compared to payments received during the six months ended June 30, 2019;</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$0.7 million increase in cash expense related to AstraZeneca payments during the six months ended June 30, 2020, as compared to the six months ended June 30, 2019;</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$5.8 million decrease in cash R&amp;D expenses (excluding working capital-related fluctuations) during the six months ended June 30, 2020, as compared to the six months ended June 30, 2019;</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$2.8 million increase in cash G&amp;A expenses (excluding working capital-related fluctuations) during the six months ended June 30, 2020, as compared to the six months ended June 30, 2019;</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$0.4 million decrease in net cash interest payments during the six months ended June 30, 2020, as compared to the six months ended June 30, 2019;</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$0.1 million increase in net cash other income during the six months ended June 30, 2020, as compared to the six months ended June 30, 2019;</w:t>
      </w:r>
    </w:p>
    <w:p>
      <w:pPr>
        <w:spacing w:after="0" w:line="170"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$2.5 million net decrease in cash used related to fluctuations in components of our non-revenue-related working capital during the six months ended June 30, 2020, as compared to the six months ended June 30, 2019, which comprised of net decreases of $2.9 million, and $3.1 million in cash used related to fluctuations in our accounts payable and non-payroll-related accruals and other current liabilities, and net increases of $2.0 million, $1.0 million, and $0.5 million in cash used in our prepaid expenses and other assets, accrued compensation and benefits, and lease liabilities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Net cash used in investing activities was $37.5 million for the six months ended June 30, 2020, as compared to cash provided by investing activities of $55.4 million for the six months ended June 30, 2019. The $92.9 million decrease in net cash provided by investing activities was primarily attributable to a $61.0 million decrease in proceeds from maturities of investments, a $0.2 million decrease in purchases of property and equipment, and $32.1 million increase in purchases of investments.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Net cash provided by financing activities increased by $0.6 million during the six months ended June 30, 2020, as compared to the six months ended June 30, 2019. This increase was attributable to an $0.2 million increase in net proceeds from issuance of common stock under our stock plans, and a $0.4 million decrease in issuance of common stock upon exercise of options.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believe that our existing capital resources as of June 30, 2020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There are numerous risks and uncertainties associated with research, development and commercialization initiatives, and actual results could vary materially as a result of a number of factors, many of which are outside of our control. Our future capital requirements are difficult to forecast and will depend on many factors, including:</w:t>
      </w:r>
    </w:p>
    <w:p>
      <w:pPr>
        <w:spacing w:after="0" w:line="172" w:lineRule="exact"/>
        <w:rPr>
          <w:sz w:val="20"/>
          <w:szCs w:val="20"/>
          <w:color w:val="auto"/>
        </w:rPr>
      </w:pPr>
    </w:p>
    <w:p>
      <w:pPr>
        <w:ind w:left="1040" w:right="79" w:hanging="639"/>
        <w:spacing w:after="0" w:line="342" w:lineRule="auto"/>
        <w:tabs>
          <w:tab w:leader="none" w:pos="1040" w:val="left"/>
        </w:tabs>
        <w:numPr>
          <w:ilvl w:val="0"/>
          <w:numId w:val="6"/>
        </w:numPr>
        <w:rPr>
          <w:rFonts w:ascii="Arial" w:cs="Arial" w:eastAsia="Arial" w:hAnsi="Arial"/>
          <w:sz w:val="16"/>
          <w:szCs w:val="16"/>
          <w:color w:val="231F20"/>
        </w:rPr>
      </w:pPr>
      <w:r>
        <w:rPr>
          <w:rFonts w:ascii="Arial" w:cs="Arial" w:eastAsia="Arial" w:hAnsi="Arial"/>
          <w:sz w:val="16"/>
          <w:szCs w:val="16"/>
          <w:color w:val="auto"/>
        </w:rPr>
        <w:t>the FDA’s actions and decisions with respect to the NDA submitted to the FDA on June 30, 2020 to request marketing authorization for tenapanor for the control of serum phosphorus in CKD patients on dialysis;</w:t>
      </w:r>
    </w:p>
    <w:p>
      <w:pPr>
        <w:spacing w:after="0" w:line="123" w:lineRule="exact"/>
        <w:rPr>
          <w:rFonts w:ascii="Arial" w:cs="Arial" w:eastAsia="Arial" w:hAnsi="Arial"/>
          <w:sz w:val="16"/>
          <w:szCs w:val="16"/>
          <w:color w:val="231F20"/>
        </w:rPr>
      </w:pPr>
    </w:p>
    <w:p>
      <w:pPr>
        <w:ind w:left="1040" w:right="79" w:hanging="639"/>
        <w:spacing w:after="0" w:line="277" w:lineRule="auto"/>
        <w:tabs>
          <w:tab w:leader="none" w:pos="104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for the control of serum phosphorus in CKD patients on dialysis, if approved, either alone or with one or more collaboration partners;</w:t>
      </w:r>
    </w:p>
    <w:p>
      <w:pPr>
        <w:spacing w:after="0" w:line="170" w:lineRule="exact"/>
        <w:rPr>
          <w:rFonts w:ascii="Arial" w:cs="Arial" w:eastAsia="Arial" w:hAnsi="Arial"/>
          <w:sz w:val="18"/>
          <w:szCs w:val="18"/>
          <w:color w:val="231F20"/>
        </w:rPr>
      </w:pPr>
    </w:p>
    <w:p>
      <w:pPr>
        <w:ind w:left="1040" w:hanging="639"/>
        <w:spacing w:after="0"/>
        <w:tabs>
          <w:tab w:leader="none" w:pos="104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225" w:lineRule="exact"/>
        <w:rPr>
          <w:rFonts w:ascii="Arial" w:cs="Arial" w:eastAsia="Arial" w:hAnsi="Arial"/>
          <w:sz w:val="18"/>
          <w:szCs w:val="18"/>
          <w:color w:val="231F20"/>
        </w:rPr>
      </w:pPr>
    </w:p>
    <w:p>
      <w:pPr>
        <w:ind w:left="1040" w:right="79" w:hanging="639"/>
        <w:spacing w:after="0" w:line="277" w:lineRule="auto"/>
        <w:tabs>
          <w:tab w:leader="none" w:pos="104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70" w:lineRule="exact"/>
        <w:rPr>
          <w:rFonts w:ascii="Arial" w:cs="Arial" w:eastAsia="Arial" w:hAnsi="Arial"/>
          <w:sz w:val="18"/>
          <w:szCs w:val="18"/>
          <w:color w:val="231F20"/>
        </w:rPr>
      </w:pPr>
    </w:p>
    <w:p>
      <w:pPr>
        <w:ind w:left="1040" w:right="79" w:hanging="639"/>
        <w:spacing w:after="0" w:line="277" w:lineRule="auto"/>
        <w:tabs>
          <w:tab w:leader="none" w:pos="104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70" w:lineRule="exact"/>
        <w:rPr>
          <w:rFonts w:ascii="Arial" w:cs="Arial" w:eastAsia="Arial" w:hAnsi="Arial"/>
          <w:sz w:val="18"/>
          <w:szCs w:val="18"/>
          <w:color w:val="231F20"/>
        </w:rPr>
      </w:pPr>
    </w:p>
    <w:p>
      <w:pPr>
        <w:ind w:left="1040" w:right="79" w:hanging="639"/>
        <w:spacing w:after="0" w:line="277" w:lineRule="auto"/>
        <w:tabs>
          <w:tab w:leader="none" w:pos="104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w:t>
      </w:r>
    </w:p>
    <w:p>
      <w:pPr>
        <w:spacing w:after="0" w:line="170" w:lineRule="exact"/>
        <w:rPr>
          <w:rFonts w:ascii="Arial" w:cs="Arial" w:eastAsia="Arial" w:hAnsi="Arial"/>
          <w:sz w:val="18"/>
          <w:szCs w:val="18"/>
          <w:color w:val="231F20"/>
        </w:rPr>
      </w:pPr>
    </w:p>
    <w:p>
      <w:pPr>
        <w:jc w:val="both"/>
        <w:ind w:left="1040" w:right="79" w:hanging="639"/>
        <w:spacing w:after="0" w:line="263" w:lineRule="auto"/>
        <w:tabs>
          <w:tab w:leader="none" w:pos="104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3" w:lineRule="exact"/>
        <w:rPr>
          <w:rFonts w:ascii="Arial" w:cs="Arial" w:eastAsia="Arial" w:hAnsi="Arial"/>
          <w:sz w:val="18"/>
          <w:szCs w:val="18"/>
          <w:color w:val="231F20"/>
        </w:rPr>
      </w:pPr>
    </w:p>
    <w:p>
      <w:pPr>
        <w:ind w:left="1040" w:hanging="639"/>
        <w:spacing w:after="0"/>
        <w:tabs>
          <w:tab w:leader="none" w:pos="104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225" w:lineRule="exact"/>
        <w:rPr>
          <w:rFonts w:ascii="Arial" w:cs="Arial" w:eastAsia="Arial" w:hAnsi="Arial"/>
          <w:sz w:val="18"/>
          <w:szCs w:val="18"/>
          <w:color w:val="231F20"/>
        </w:rPr>
      </w:pPr>
    </w:p>
    <w:p>
      <w:pPr>
        <w:ind w:left="1040" w:hanging="639"/>
        <w:spacing w:after="0"/>
        <w:tabs>
          <w:tab w:leader="none" w:pos="104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639"/>
        <w:spacing w:after="0" w:line="277" w:lineRule="auto"/>
        <w:tabs>
          <w:tab w:leader="none" w:pos="104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 including RDX013;</w:t>
      </w:r>
    </w:p>
    <w:p>
      <w:pPr>
        <w:spacing w:after="0" w:line="170" w:lineRule="exact"/>
        <w:rPr>
          <w:rFonts w:ascii="Arial" w:cs="Arial" w:eastAsia="Arial" w:hAnsi="Arial"/>
          <w:sz w:val="18"/>
          <w:szCs w:val="18"/>
          <w:color w:val="231F20"/>
        </w:rPr>
      </w:pPr>
    </w:p>
    <w:p>
      <w:pPr>
        <w:ind w:left="1040" w:hanging="639"/>
        <w:spacing w:after="0"/>
        <w:tabs>
          <w:tab w:leader="none" w:pos="104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225" w:lineRule="exact"/>
        <w:rPr>
          <w:rFonts w:ascii="Arial" w:cs="Arial" w:eastAsia="Arial" w:hAnsi="Arial"/>
          <w:sz w:val="18"/>
          <w:szCs w:val="18"/>
          <w:color w:val="231F20"/>
        </w:rPr>
      </w:pPr>
    </w:p>
    <w:p>
      <w:pPr>
        <w:jc w:val="both"/>
        <w:ind w:left="1040" w:right="79" w:hanging="639"/>
        <w:spacing w:after="0" w:line="279" w:lineRule="auto"/>
        <w:tabs>
          <w:tab w:leader="none" w:pos="1040" w:val="left"/>
        </w:tabs>
        <w:numPr>
          <w:ilvl w:val="0"/>
          <w:numId w:val="7"/>
        </w:numPr>
        <w:rPr>
          <w:rFonts w:ascii="Arial" w:cs="Arial" w:eastAsia="Arial" w:hAnsi="Arial"/>
          <w:sz w:val="17"/>
          <w:szCs w:val="17"/>
          <w:color w:val="231F20"/>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71" w:lineRule="exact"/>
        <w:rPr>
          <w:rFonts w:ascii="Arial" w:cs="Arial" w:eastAsia="Arial" w:hAnsi="Arial"/>
          <w:sz w:val="17"/>
          <w:szCs w:val="17"/>
          <w:color w:val="231F20"/>
        </w:rPr>
      </w:pPr>
    </w:p>
    <w:p>
      <w:pPr>
        <w:ind w:left="1040" w:right="79" w:hanging="639"/>
        <w:spacing w:after="0" w:line="277" w:lineRule="auto"/>
        <w:tabs>
          <w:tab w:leader="none" w:pos="104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and Western Alliance Bank in May 2018.</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Please see the risk factors set forth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Quarterly Report on Form 10-Q for additional risks associated with our capital requirements.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are subject to market risks, including interest rate fluctuation exposure through our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7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of June 30, 2020, we had cash, cash equivalents and short-term investments of $204.8 million, which consist of bank deposits and money market funds, as well as high quality fixed income instruments including corporate bonds, commercial paper, and asset-backed securities collateralized by non-mortgage consumer receivables. The credit rating of our short-term investments must be rated A-1/P-1,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8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are subject to interest rate fluctuation exposure through our borrowings under the Loan Agreement and our investment in money market accounts which bear a variable interest rate. Borrowings under the Loan Agreement bear interest at a rate equal to one-month London Interbank Offered Rate (“LIBOR”), plus 7.45% per annum. A hypothetical increase in one-month LIBOR of 100 basis points above the current one-month LIBOR rates would have increased our interest expense by approximately $0.2 million for the six months ended June 30, 2020. As of June 30, 2020, we had an aggregate principal amount of $50.5 million outstanding pursuant to our Loan Agreement.</w:t>
      </w:r>
    </w:p>
    <w:p>
      <w:pPr>
        <w:spacing w:after="0" w:line="17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The majority of our transactions are denominated in U.S. dollars. However, we do have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57"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We do not use derivative financial instruments for speculative trading purposes, nor do we hedge foreign currency exchange rate exposure in a manner that entirely offsets the earnings effects of changes in foreign currency exchange rates.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counterparties to our forward foreign currency exchange contracts are creditworthy commercial banks, which minimizes the risk of counterparty nonperformance.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2020, we had no open forward foreign currency exchange contracts.</w:t>
      </w:r>
    </w:p>
    <w:p>
      <w:pPr>
        <w:spacing w:after="0" w:line="2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required by Rule 13a-15(b)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13a-15(e) and 15d-15(e) under the Exchange Act) as of June 30, 2020.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June 30, 2020, our disclosure controls and procedures were effective at a reasonable assurance level.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on the design and operating effectiveness of our internal controls over financial reporting.</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4"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12"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From time to time, we may be involved in legal proceedings arising in the ordinary course of business. As of June 30, 2020, there is no litigation pending that would reasonably be expected to have a material adverse effect on our results of operations and financial condition, and no contingent liabilities were accrued as of June 30, 2020.</w:t>
      </w:r>
    </w:p>
    <w:p>
      <w:pPr>
        <w:spacing w:after="0" w:line="161"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Our business involves significant risks, some of which are described below. You should carefully consider these risks, as well as other information in this Quarterly Report on Form 10-Q, including our condensed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Many of the following risks and uncertainties are, and will be, exacerbated by the COVID-19 pandemic and any worsening of the global business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i w:val="1"/>
          <w:iCs w:val="1"/>
          <w:color w:val="auto"/>
        </w:rPr>
        <w:t>economic environment as a result. Additional risks and uncertainties not presently known to us or that we currently deem immaterial may also impair our business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8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June 30, 2020, we had an accumulated deficit of $507.8 million.</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expect to continue to incur substantial operating losses for the foreseeable future as we prepare for the potential commercialization of, and incur manufacturing and development costs for, tenapanor for the control of serum phosphorus in chronic kidney disease (“CKD”) patients on dialysis; , if approved, as we commence commercialization of tenapanor for that indication; and as we continue our discovery and research activities.</w:t>
      </w:r>
    </w:p>
    <w:p>
      <w:pPr>
        <w:spacing w:after="0" w:line="187"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received FDA approval for our NDA for tenapanor for the treatment of irritable bowel syndrome with constipation (“IBS-C”) in adults in September 2019. However, we do not currently expect to commercialize tenapanor for IBS-C ourselves in the United States and have not entered into a collaboration partnership for such commercialization. We have no other products approved for sale and have never generated any revenue from product sales. Our ability to generate revenue from product sales and achieve profitability depends on our ability to obtain the regulatory and marketing approvals necessary to commercialize tenapanor for the control of serum phosphorus in CKD patients on dialysis, either on our own or with one or more collaboration partners, and on our ability to successfully identify a collaboration partner for the commercialization of tenapanor for the treatment of IBS-C in the United States. There can be no assurances that we will generate product revenue from sales of tenapanor, either on our own, or with a collaboration partner. Our ability to generate future revenue from product sales or pursuant to milestone payments depends heavily on many factors, including but not limited to:</w:t>
      </w:r>
    </w:p>
    <w:p>
      <w:pPr>
        <w:spacing w:after="0" w:line="182" w:lineRule="exact"/>
        <w:rPr>
          <w:sz w:val="20"/>
          <w:szCs w:val="20"/>
          <w:color w:val="auto"/>
        </w:rPr>
      </w:pPr>
    </w:p>
    <w:p>
      <w:pPr>
        <w:ind w:left="720" w:right="79" w:hanging="319"/>
        <w:spacing w:after="0" w:line="277"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obtaining regulatory approvals for tenapanor for the control of serum phosphorus in adult CKD patients on dialysis, either on our own or with one or more collaboration partners;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for IBS-C in the United States;</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which has been approved by the FDA for the treatment of IBS-C in adults, and/or tenapanor for the control of serum phosphorus in adult CKD patients on dialysis, if approved, either on our own or with one or more collaboration partners;</w:t>
      </w:r>
    </w:p>
    <w:p>
      <w:pPr>
        <w:spacing w:after="0" w:line="183" w:lineRule="exact"/>
        <w:rPr>
          <w:rFonts w:ascii="Arial" w:cs="Arial" w:eastAsia="Arial" w:hAnsi="Arial"/>
          <w:sz w:val="18"/>
          <w:szCs w:val="18"/>
          <w:color w:val="231F20"/>
        </w:rPr>
      </w:pPr>
    </w:p>
    <w:p>
      <w:pPr>
        <w:jc w:val="both"/>
        <w:ind w:left="720" w:right="79" w:hanging="319"/>
        <w:spacing w:after="0" w:line="279" w:lineRule="auto"/>
        <w:tabs>
          <w:tab w:leader="none" w:pos="720" w:val="left"/>
        </w:tabs>
        <w:numPr>
          <w:ilvl w:val="0"/>
          <w:numId w:val="9"/>
        </w:numPr>
        <w:rPr>
          <w:rFonts w:ascii="Arial" w:cs="Arial" w:eastAsia="Arial" w:hAnsi="Arial"/>
          <w:sz w:val="17"/>
          <w:szCs w:val="17"/>
          <w:color w:val="231F20"/>
        </w:rPr>
      </w:pPr>
      <w:r>
        <w:rPr>
          <w:rFonts w:ascii="Arial" w:cs="Arial" w:eastAsia="Arial" w:hAnsi="Arial"/>
          <w:sz w:val="17"/>
          <w:szCs w:val="17"/>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for the treatment of IBS-C, and/or, if approved, tenapanor for the control of serum phosphorus in adult CKD patients on dialysis;</w:t>
      </w:r>
    </w:p>
    <w:p>
      <w:pPr>
        <w:spacing w:after="0" w:line="171" w:lineRule="exact"/>
        <w:rPr>
          <w:rFonts w:ascii="Arial" w:cs="Arial" w:eastAsia="Arial" w:hAnsi="Arial"/>
          <w:sz w:val="17"/>
          <w:szCs w:val="17"/>
          <w:color w:val="231F20"/>
        </w:rPr>
      </w:pPr>
    </w:p>
    <w:p>
      <w:pPr>
        <w:ind w:left="720" w:right="79" w:hanging="319"/>
        <w:spacing w:after="0" w:line="277"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obtaining market acceptance of tenapanor as a viable treatment option for the indications for which it is approved and commercialized;</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identifying, assessing, acquiring, in-licensing and/or developing new product candidates;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negotiating favorable terms in any collaboration partnership, licensing or other arrangements into which we may enter;</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83" w:lineRule="exact"/>
        <w:rPr>
          <w:rFonts w:ascii="Arial" w:cs="Arial" w:eastAsia="Arial" w:hAnsi="Arial"/>
          <w:sz w:val="18"/>
          <w:szCs w:val="18"/>
          <w:color w:val="231F20"/>
        </w:rPr>
      </w:pPr>
    </w:p>
    <w:p>
      <w:pPr>
        <w:ind w:left="720" w:hanging="319"/>
        <w:spacing w:after="0"/>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In cases where we are successful in obtaining regulatory approvals to market tenapanor for one or more indications, our revenue will be dependent, in part, upon the size of the markets in the territories for which regulatory approval is granted, our ability to identify a collaboration partner and negotiate acceptable terms for a collaboration partnership for the commercialization of tenapanor for the IBS-C indication in the United States,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13, COLLABORATION AND LICENSING AGREEMENTS, in the notes to our financial statements, included in Part II, Item 8, of our most recent Annual Report on Form 10-K, for details on our obligations to AstraZeneca. While there is significant uncertainty related to the insurance coverage and reimbursement of newly approved products in general in the United States, there is additional uncertainty related to insurance coverage and reimbursement for drugs, like tenapanor, which, if approved, will be marketed for the control of serum phosphorus in CKD patients on dialysis. If we are successful in obtaining regulatory approval to market tenapanor for the control of serum phosphorus in CKD patients on dialysis, our ability to generate and sustain future revenues from sales of tenapanor for such indication, may be dependent upon whether tenapanor, along with other oral only drugs for CKD patients on dialysis, are bundled into the end-stage renal disease (“ESRD”) prospective payment system beginning in 2025, and the manner in which such introduction into the ESRD prospective payment system may occur. See “</w:t>
      </w:r>
      <w:r>
        <w:rPr>
          <w:rFonts w:ascii="Arial" w:cs="Arial" w:eastAsia="Arial" w:hAnsi="Arial"/>
          <w:sz w:val="16"/>
          <w:szCs w:val="16"/>
          <w:i w:val="1"/>
          <w:iCs w:val="1"/>
          <w:color w:val="auto"/>
        </w:rPr>
        <w:t>Third-party payor coverage and reimbursement status of newly-approved products is uncertain. Failure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obtain or maintain adequate coverage and reimbursement for our products, if approved, could limit our ability to market those products and decrease our ability to generate revenue” </w:t>
      </w:r>
      <w:r>
        <w:rPr>
          <w:rFonts w:ascii="Arial" w:cs="Arial" w:eastAsia="Arial" w:hAnsi="Arial"/>
          <w:sz w:val="16"/>
          <w:szCs w:val="16"/>
          <w:color w:val="auto"/>
        </w:rPr>
        <w:t>below</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Additionally, if the number of patients suitable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tenapanor is not as significant as we estimate, the indication approved by regulatory authorities is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3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May 16, 2018, we entered into a loan and security agreement with Solar Capital, Ltd. and Western Alliance Bank (collectively the “Lenders”) pursuant to which the Lenders agreed to provide us a $50.0 million term loan facility with a maturity date of November 1, 2022.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8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 xml:space="preserve">We are permitted to make interest only payments on the loan facility through December 1, 2020. However,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w:t>
      </w:r>
      <w:r>
        <w:rPr>
          <w:rFonts w:ascii="Arial" w:cs="Arial" w:eastAsia="Arial" w:hAnsi="Arial"/>
          <w:sz w:val="14"/>
          <w:szCs w:val="14"/>
          <w:color w:val="auto"/>
        </w:rPr>
        <w:t>the</w:t>
      </w:r>
      <w:r>
        <w:rPr>
          <w:rFonts w:ascii="Arial" w:cs="Arial" w:eastAsia="Arial" w:hAnsi="Arial"/>
          <w:sz w:val="16"/>
          <w:szCs w:val="16"/>
          <w:color w:val="auto"/>
        </w:rPr>
        <w:t xml:space="preserve"> Lenders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6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4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if approved, costs associated with the commercialization of tenapanor for the control of serum phosphorus in CKD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85" w:lineRule="exact"/>
        <w:rPr>
          <w:sz w:val="20"/>
          <w:szCs w:val="20"/>
          <w:color w:val="auto"/>
        </w:rPr>
      </w:pPr>
    </w:p>
    <w:p>
      <w:pPr>
        <w:jc w:val="both"/>
        <w:ind w:left="1040" w:right="79" w:hanging="639"/>
        <w:spacing w:after="0" w:line="342" w:lineRule="auto"/>
        <w:tabs>
          <w:tab w:leader="none" w:pos="1040" w:val="left"/>
        </w:tabs>
        <w:numPr>
          <w:ilvl w:val="0"/>
          <w:numId w:val="10"/>
        </w:numPr>
        <w:rPr>
          <w:rFonts w:ascii="Arial" w:cs="Arial" w:eastAsia="Arial" w:hAnsi="Arial"/>
          <w:sz w:val="16"/>
          <w:szCs w:val="16"/>
          <w:color w:val="231F20"/>
        </w:rPr>
      </w:pPr>
      <w:r>
        <w:rPr>
          <w:rFonts w:ascii="Arial" w:cs="Arial" w:eastAsia="Arial" w:hAnsi="Arial"/>
          <w:sz w:val="16"/>
          <w:szCs w:val="16"/>
          <w:color w:val="auto"/>
        </w:rPr>
        <w:t>the FDA’s actions and decisions with respect to the NDA submitted to the FDA on June 30, 2020 to request marketing authorization for tenapanor for the control of serum phosphorus in adult CKD patients on dialysis;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639"/>
        <w:spacing w:after="0" w:line="277" w:lineRule="auto"/>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for the control of serum phosphorus in CKD patients on dialysis, if approved, either alone or with one or more collaboration partners;</w:t>
      </w:r>
    </w:p>
    <w:p>
      <w:pPr>
        <w:spacing w:after="0" w:line="170" w:lineRule="exact"/>
        <w:rPr>
          <w:rFonts w:ascii="Arial" w:cs="Arial" w:eastAsia="Arial" w:hAnsi="Arial"/>
          <w:sz w:val="18"/>
          <w:szCs w:val="18"/>
          <w:color w:val="231F20"/>
        </w:rPr>
      </w:pPr>
    </w:p>
    <w:p>
      <w:pPr>
        <w:ind w:left="1040" w:hanging="639"/>
        <w:spacing w:after="0"/>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225" w:lineRule="exact"/>
        <w:rPr>
          <w:rFonts w:ascii="Arial" w:cs="Arial" w:eastAsia="Arial" w:hAnsi="Arial"/>
          <w:sz w:val="18"/>
          <w:szCs w:val="18"/>
          <w:color w:val="231F20"/>
        </w:rPr>
      </w:pPr>
    </w:p>
    <w:p>
      <w:pPr>
        <w:ind w:left="1040" w:right="79" w:hanging="639"/>
        <w:spacing w:after="0" w:line="277" w:lineRule="auto"/>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70" w:lineRule="exact"/>
        <w:rPr>
          <w:rFonts w:ascii="Arial" w:cs="Arial" w:eastAsia="Arial" w:hAnsi="Arial"/>
          <w:sz w:val="18"/>
          <w:szCs w:val="18"/>
          <w:color w:val="231F20"/>
        </w:rPr>
      </w:pPr>
    </w:p>
    <w:p>
      <w:pPr>
        <w:ind w:left="1040" w:right="79" w:hanging="639"/>
        <w:spacing w:after="0" w:line="277" w:lineRule="auto"/>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70" w:lineRule="exact"/>
        <w:rPr>
          <w:rFonts w:ascii="Arial" w:cs="Arial" w:eastAsia="Arial" w:hAnsi="Arial"/>
          <w:sz w:val="18"/>
          <w:szCs w:val="18"/>
          <w:color w:val="231F20"/>
        </w:rPr>
      </w:pPr>
    </w:p>
    <w:p>
      <w:pPr>
        <w:ind w:left="1040" w:right="79" w:hanging="639"/>
        <w:spacing w:after="0" w:line="277" w:lineRule="auto"/>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w:t>
      </w:r>
    </w:p>
    <w:p>
      <w:pPr>
        <w:spacing w:after="0" w:line="170" w:lineRule="exact"/>
        <w:rPr>
          <w:rFonts w:ascii="Arial" w:cs="Arial" w:eastAsia="Arial" w:hAnsi="Arial"/>
          <w:sz w:val="18"/>
          <w:szCs w:val="18"/>
          <w:color w:val="231F20"/>
        </w:rPr>
      </w:pPr>
    </w:p>
    <w:p>
      <w:pPr>
        <w:jc w:val="both"/>
        <w:ind w:left="1040" w:right="79" w:hanging="639"/>
        <w:spacing w:after="0" w:line="263" w:lineRule="auto"/>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3" w:lineRule="exact"/>
        <w:rPr>
          <w:rFonts w:ascii="Arial" w:cs="Arial" w:eastAsia="Arial" w:hAnsi="Arial"/>
          <w:sz w:val="18"/>
          <w:szCs w:val="18"/>
          <w:color w:val="231F20"/>
        </w:rPr>
      </w:pPr>
    </w:p>
    <w:p>
      <w:pPr>
        <w:ind w:left="1040" w:hanging="639"/>
        <w:spacing w:after="0"/>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225" w:lineRule="exact"/>
        <w:rPr>
          <w:rFonts w:ascii="Arial" w:cs="Arial" w:eastAsia="Arial" w:hAnsi="Arial"/>
          <w:sz w:val="18"/>
          <w:szCs w:val="18"/>
          <w:color w:val="231F20"/>
        </w:rPr>
      </w:pPr>
    </w:p>
    <w:p>
      <w:pPr>
        <w:ind w:left="1040" w:hanging="639"/>
        <w:spacing w:after="0"/>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225" w:lineRule="exact"/>
        <w:rPr>
          <w:rFonts w:ascii="Arial" w:cs="Arial" w:eastAsia="Arial" w:hAnsi="Arial"/>
          <w:sz w:val="18"/>
          <w:szCs w:val="18"/>
          <w:color w:val="231F20"/>
        </w:rPr>
      </w:pPr>
    </w:p>
    <w:p>
      <w:pPr>
        <w:ind w:left="1040" w:right="79" w:hanging="639"/>
        <w:spacing w:after="0" w:line="277" w:lineRule="auto"/>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 including RDX013;</w:t>
      </w:r>
    </w:p>
    <w:p>
      <w:pPr>
        <w:spacing w:after="0" w:line="170" w:lineRule="exact"/>
        <w:rPr>
          <w:rFonts w:ascii="Arial" w:cs="Arial" w:eastAsia="Arial" w:hAnsi="Arial"/>
          <w:sz w:val="18"/>
          <w:szCs w:val="18"/>
          <w:color w:val="231F20"/>
        </w:rPr>
      </w:pPr>
    </w:p>
    <w:p>
      <w:pPr>
        <w:ind w:left="1040" w:hanging="639"/>
        <w:spacing w:after="0"/>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225" w:lineRule="exact"/>
        <w:rPr>
          <w:rFonts w:ascii="Arial" w:cs="Arial" w:eastAsia="Arial" w:hAnsi="Arial"/>
          <w:sz w:val="18"/>
          <w:szCs w:val="18"/>
          <w:color w:val="231F20"/>
        </w:rPr>
      </w:pPr>
    </w:p>
    <w:p>
      <w:pPr>
        <w:jc w:val="both"/>
        <w:ind w:left="1040" w:right="79" w:hanging="639"/>
        <w:spacing w:after="0" w:line="279" w:lineRule="auto"/>
        <w:tabs>
          <w:tab w:leader="none" w:pos="1040" w:val="left"/>
        </w:tabs>
        <w:numPr>
          <w:ilvl w:val="0"/>
          <w:numId w:val="11"/>
        </w:numPr>
        <w:rPr>
          <w:rFonts w:ascii="Arial" w:cs="Arial" w:eastAsia="Arial" w:hAnsi="Arial"/>
          <w:sz w:val="17"/>
          <w:szCs w:val="17"/>
          <w:color w:val="231F20"/>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71" w:lineRule="exact"/>
        <w:rPr>
          <w:rFonts w:ascii="Arial" w:cs="Arial" w:eastAsia="Arial" w:hAnsi="Arial"/>
          <w:sz w:val="17"/>
          <w:szCs w:val="17"/>
          <w:color w:val="231F20"/>
        </w:rPr>
      </w:pPr>
    </w:p>
    <w:p>
      <w:pPr>
        <w:ind w:left="720" w:right="79" w:hanging="319"/>
        <w:spacing w:after="0" w:line="277"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and Western Alliance Bank in May 2018.</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tenapanor, which may not receive regulatory approval for the control of serum phosphorus or be successfully commercialized for IBS-C or hyperphosphatemia.</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The commercial success of tenapanor will depend on a number of factors, including the following:</w:t>
      </w:r>
    </w:p>
    <w:p>
      <w:pPr>
        <w:spacing w:after="0" w:line="184" w:lineRule="exact"/>
        <w:rPr>
          <w:sz w:val="20"/>
          <w:szCs w:val="20"/>
          <w:color w:val="auto"/>
        </w:rPr>
      </w:pPr>
    </w:p>
    <w:p>
      <w:pPr>
        <w:ind w:left="720" w:right="79" w:hanging="319"/>
        <w:spacing w:after="0" w:line="277"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whether tenapanor’s safety and efficacy profile is satisfactory to the FDA and foreign regulatory authorities to gain marketing approval for the control of serum phosphorus;</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our ability to, in a timely manner and under terms that are acceptable to us, establish a collaboration partnership for the commercialization of tenapanor for the treatment of IBS-C in the United States;</w:t>
      </w:r>
    </w:p>
    <w:p>
      <w:pPr>
        <w:spacing w:after="0" w:line="170" w:lineRule="exact"/>
        <w:rPr>
          <w:rFonts w:ascii="Arial" w:cs="Arial" w:eastAsia="Arial" w:hAnsi="Arial"/>
          <w:sz w:val="18"/>
          <w:szCs w:val="18"/>
          <w:color w:val="231F20"/>
        </w:rPr>
      </w:pPr>
    </w:p>
    <w:p>
      <w:pPr>
        <w:jc w:val="both"/>
        <w:ind w:left="720" w:right="79" w:hanging="319"/>
        <w:spacing w:after="0" w:line="279" w:lineRule="auto"/>
        <w:tabs>
          <w:tab w:leader="none" w:pos="720" w:val="left"/>
        </w:tabs>
        <w:numPr>
          <w:ilvl w:val="0"/>
          <w:numId w:val="12"/>
        </w:numPr>
        <w:rPr>
          <w:rFonts w:ascii="Arial" w:cs="Arial" w:eastAsia="Arial" w:hAnsi="Arial"/>
          <w:sz w:val="17"/>
          <w:szCs w:val="17"/>
          <w:color w:val="231F20"/>
        </w:rPr>
      </w:pPr>
      <w:r>
        <w:rPr>
          <w:rFonts w:ascii="Arial" w:cs="Arial" w:eastAsia="Arial" w:hAnsi="Arial"/>
          <w:sz w:val="17"/>
          <w:szCs w:val="17"/>
          <w:color w:val="auto"/>
        </w:rPr>
        <w:t>the ability of the third-party manufacturers we contract with to successfully execute and scale up the manufacturing processes for tenapanor, which has not yet been fully demonstrated, and to manufacture supplies of tenapanor and to develop, validate and maintain commercially viable manufacturing processes that are compliant with cGMP requirements, particularly in light of the effects of the COVID-19 pandemic;</w:t>
      </w:r>
    </w:p>
    <w:p>
      <w:pPr>
        <w:spacing w:after="0" w:line="171" w:lineRule="exact"/>
        <w:rPr>
          <w:rFonts w:ascii="Arial" w:cs="Arial" w:eastAsia="Arial" w:hAnsi="Arial"/>
          <w:sz w:val="17"/>
          <w:szCs w:val="17"/>
          <w:color w:val="231F20"/>
        </w:rPr>
      </w:pPr>
    </w:p>
    <w:p>
      <w:pPr>
        <w:jc w:val="both"/>
        <w:ind w:left="720" w:right="79" w:hanging="319"/>
        <w:spacing w:after="0" w:line="263"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whether or not the content of the label approved by the FDA or foreign regulatory authorities may materially and adversely impact our ability the ability of our collaboration partners to commercialize the product for the approved indication, or for any other indication;</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prevalence and severity of adverse side effects of tenapanor;</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timely receipt of necessary marketing approvals from the FDA and foreign regulatory authorities;</w:t>
      </w:r>
    </w:p>
    <w:p>
      <w:pPr>
        <w:spacing w:after="0" w:line="225"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83"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achieving and maintaining compliance with all regulatory requirements applicable to tenapanor;</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acceptance of tenapanor as safe, effective and well-tolerated by patients and the medical community;</w:t>
      </w:r>
    </w:p>
    <w:p>
      <w:pPr>
        <w:spacing w:after="0" w:line="225" w:lineRule="exact"/>
        <w:rPr>
          <w:rFonts w:ascii="Arial" w:cs="Arial" w:eastAsia="Arial" w:hAnsi="Arial"/>
          <w:sz w:val="18"/>
          <w:szCs w:val="18"/>
          <w:color w:val="231F20"/>
        </w:rPr>
      </w:pPr>
    </w:p>
    <w:p>
      <w:pPr>
        <w:jc w:val="both"/>
        <w:ind w:left="720" w:right="79" w:hanging="319"/>
        <w:spacing w:after="0" w:line="311" w:lineRule="auto"/>
        <w:tabs>
          <w:tab w:leader="none" w:pos="720" w:val="left"/>
        </w:tabs>
        <w:numPr>
          <w:ilvl w:val="0"/>
          <w:numId w:val="12"/>
        </w:numPr>
        <w:rPr>
          <w:rFonts w:ascii="Arial" w:cs="Arial" w:eastAsia="Arial" w:hAnsi="Arial"/>
          <w:sz w:val="16"/>
          <w:szCs w:val="16"/>
          <w:color w:val="231F20"/>
        </w:rPr>
      </w:pPr>
      <w:r>
        <w:rPr>
          <w:rFonts w:ascii="Arial" w:cs="Arial" w:eastAsia="Arial" w:hAnsi="Arial"/>
          <w:sz w:val="16"/>
          <w:szCs w:val="16"/>
          <w:color w:val="auto"/>
        </w:rPr>
        <w:t>our ability, alone or with collaboration partners, to manage the complex pricing and reimbursement negotiations associated with marketing the same product at different doses for separate indications for tenapanor for the treatment of IBS-C, and, if approved, for the control of serum phosphorus in CKD patients on dialysis;</w:t>
      </w:r>
    </w:p>
    <w:p>
      <w:pPr>
        <w:spacing w:after="0" w:line="148" w:lineRule="exact"/>
        <w:rPr>
          <w:rFonts w:ascii="Arial" w:cs="Arial" w:eastAsia="Arial" w:hAnsi="Arial"/>
          <w:sz w:val="16"/>
          <w:szCs w:val="16"/>
          <w:color w:val="231F20"/>
        </w:rPr>
      </w:pPr>
    </w:p>
    <w:p>
      <w:pPr>
        <w:ind w:left="720" w:right="79" w:hanging="319"/>
        <w:spacing w:after="0" w:line="277"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6"/>
          <w:szCs w:val="16"/>
          <w:color w:val="231F20"/>
        </w:rPr>
      </w:pPr>
      <w:r>
        <w:rPr>
          <w:rFonts w:ascii="Arial" w:cs="Arial" w:eastAsia="Arial" w:hAnsi="Arial"/>
          <w:sz w:val="16"/>
          <w:szCs w:val="16"/>
          <w:color w:val="auto"/>
        </w:rPr>
        <w:t>obtaining and sustaining an adequate level of coverage and reimbursement for tenapanor by third-party payors;</w:t>
      </w:r>
    </w:p>
    <w:p>
      <w:pPr>
        <w:spacing w:after="0" w:line="248" w:lineRule="exact"/>
        <w:rPr>
          <w:rFonts w:ascii="Arial" w:cs="Arial" w:eastAsia="Arial" w:hAnsi="Arial"/>
          <w:sz w:val="16"/>
          <w:szCs w:val="16"/>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enforcing intellectual property rights in and to tenapanor;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 continued acceptable safety and tolerability profile of tenapanor following approval.</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tenapanor is a first-in-class drug, there is a higher likelihood that approval may not be attained as compared to a class of drugs with approved products. Although tenapanor met the primary endpoints in all of the three Phase 3 clinical trials evaluating tenapanor for the control of serum phosphorus in CKD patients on dialysis, there can be no assurances that we will receive regulatory approval to market tenapanor for the control of serum phosphorus in CKD patients on dialysis.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or if we are not able to secure adequate coverage and reimbursement for tenapanor, we may not generate sufficient revenue from sales of tenapanor for the control of serum phosphorus, if approved, or for IBS-C. Additionally, we may not be successful in establishing a collaboration partnership for the commercialization of tenapanor for the treatment of IBS-C in the United States in a timely manner and under terms that are acceptable to us. Accordingly, there can be no assurance that tenapanor will ever be successfully commercialized or that we will ever generate income from sales of tenapanor. If we are not successful in obtaining approval for, tenapanor for the control of serum phosphorus, or we are not successful in commercializing tenapanor, or are significantly delayed in doing so, our business will be materially harmed.</w:t>
      </w:r>
    </w:p>
    <w:p>
      <w:pPr>
        <w:spacing w:after="0" w:line="171"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Even if we are successful in obtaining regulatory approval for tenapanor for the control of serum phosphorus,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4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Market acceptance of tenapanor, in the event that marketing approval is obtained, depends on a number of factors, including:</w:t>
      </w:r>
    </w:p>
    <w:p>
      <w:pPr>
        <w:spacing w:after="0" w:line="143" w:lineRule="exact"/>
        <w:rPr>
          <w:sz w:val="20"/>
          <w:szCs w:val="20"/>
          <w:color w:val="auto"/>
        </w:rPr>
      </w:pPr>
    </w:p>
    <w:p>
      <w:pPr>
        <w:jc w:val="both"/>
        <w:ind w:left="720" w:right="79" w:hanging="319"/>
        <w:spacing w:after="0" w:line="259"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tenapanor for IBS-C in the United States, our ability to obtain a collaboration partner for commercialization and the strength of such collaboration partner’s financial resources and marketing and distribution organizations, as well as the commitment of such collaboration partner’s sales organization to tenapanor;</w:t>
      </w:r>
    </w:p>
    <w:p>
      <w:pPr>
        <w:spacing w:after="0" w:line="146"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demonstrated in our clinical trials;</w:t>
      </w:r>
    </w:p>
    <w:p>
      <w:pPr>
        <w:spacing w:after="0" w:line="184"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tenapanor for the control of serum phosphorus, whether tenapanor, along with other oral only medications, are included in the bundled prospective payment system for the treatment of ESRD patients, and the manner in which such transition is achieved;</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it is approved;</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and perceived advantages of tenapanor over current treatment options or alternative treatments, including future alternative treatments;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the willingness to pay for tenapanor, if approved, on the part of physicians and patients;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18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Any failure by us to obtain a collaboration partner for the commercialization of tenapanor in the United States for IBS-C and any failure of tenapanor to achieve market acceptance, sufficient third-party coverage or reimbursement, or commercial success for any approved indications would adversely affect our results of operations.</w:t>
      </w:r>
    </w:p>
    <w:p>
      <w:pPr>
        <w:spacing w:after="0" w:line="16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4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currently do not have a sales organization. In order to commercialize or co-promote tenapanor for the treatment of IBS-C, we currently plan to seek a collaborative relationship with one or more third parties, rather than to build internal marketing, sales, distribution, managerial and other non-technical capabilities for the commercialization of tenapanor for IBS-C. There can be no assurances that we will be successful in establishing collaborative relationships in a timely manner or on terms that are acceptable to us, and if we fail to do so, we may choose to further delay, or delay indefinitely, the commercialization of tenapanor for IBS-C.</w:t>
      </w:r>
    </w:p>
    <w:p>
      <w:pPr>
        <w:spacing w:after="0" w:line="19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currently plan to commercialize tenapanor for the control of serum phosphorus in CKD patients on dialysis, if approved, on our own. In order to do so, we will need to establish an appropriate sales organization with technical expertise, as well as supporting distribution capabilities. This will be expensive and time consuming.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If we fail or are delayed in the development of our internal sales, marketing and distribution capabilities, we may choose to delay the commercialization tenapanor for the control of serum phosphorus, if approved, or such commercialization could be adversely impacted.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are uncertain. Failure to obtain or maintain adequate coverage and reimbursement for our products, if approved, could limit our ability to market those products and decrease our ability to generate revenue.</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U.S. Department of Health and Human Services responsible for administering the Medicare program, as CMS decides whether and to what extent a new drug will be covered and reimbursed under Medicare. Private payors tend to follow the coverage reimbursement policies established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by CMS to a substantial degree. It is difficult to predict what CMS will decide with respect to reimbursement for products such as ours.</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There is increased uncertainty related to insurance coverage and reimbursement for drugs, like tenapanor, which, if approved, will be marketed for the control of serum phosphorus in CKD patients on dialysis.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intravenous equivalents in the bundled payment was initially delayed until January 1, 2014 and through several subsequent legislative actions was delayed again January 1, 2025. As a result, absent further legislation on this matter, beginning in 2025, oral-only ESRD-related drugs may be included in the ESRD bundle and separate Medicare payment for these drugs will no longer be available, as is the case today under Medicare Part D. While it is too early to project the full impact that bundling may have on the industry, the impact could add significant pricing pressure to tenapanor in this segment, if approved. We may be unable to sell tenapanor,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17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78"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may select candidates for development, yet we may fail to advance product candidates to clinical development for many reasons, including the following:</w:t>
      </w:r>
    </w:p>
    <w:p>
      <w:pPr>
        <w:spacing w:after="0" w:line="170" w:lineRule="exact"/>
        <w:rPr>
          <w:sz w:val="20"/>
          <w:szCs w:val="20"/>
          <w:color w:val="auto"/>
        </w:rPr>
      </w:pPr>
    </w:p>
    <w:p>
      <w:pPr>
        <w:jc w:val="both"/>
        <w:ind w:left="720" w:right="79" w:hanging="319"/>
        <w:spacing w:after="0" w:line="263"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research methodology used and our drug discovery and design platform may not be successful in identifying potential product candidates;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competitors may develop alternatives that render our product candidates obsolete or less attractive;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6"/>
          <w:szCs w:val="16"/>
          <w:color w:val="231F20"/>
        </w:rPr>
      </w:pPr>
      <w:r>
        <w:rPr>
          <w:rFonts w:ascii="Arial" w:cs="Arial" w:eastAsia="Arial" w:hAnsi="Arial"/>
          <w:sz w:val="16"/>
          <w:szCs w:val="16"/>
          <w:color w:val="auto"/>
        </w:rPr>
        <w:t>product candidates we develop may nevertheless be covered by third parties’ patents or other exclusive rights;</w:t>
      </w:r>
    </w:p>
    <w:p>
      <w:pPr>
        <w:spacing w:after="0" w:line="248" w:lineRule="exact"/>
        <w:rPr>
          <w:rFonts w:ascii="Arial" w:cs="Arial" w:eastAsia="Arial" w:hAnsi="Arial"/>
          <w:sz w:val="16"/>
          <w:szCs w:val="16"/>
          <w:color w:val="231F20"/>
        </w:rPr>
      </w:pPr>
    </w:p>
    <w:p>
      <w:pPr>
        <w:ind w:left="720" w:right="79" w:hanging="319"/>
        <w:spacing w:after="0" w:line="277"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the results of earlier studies and trials may not be predictive of future trial results.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w:t>
      </w:r>
    </w:p>
    <w:p>
      <w:pPr>
        <w:spacing w:after="0" w:line="18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Furthermore, we could encounter delays if our ongoing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side effects, failure to demonstrate a benefit from using a drug, changes in governmental regulations or administrative actions or lack of adequate funding to continue the clinical trial. Any delays in completing a clinical trial will increase costs, slow down our development and regulatory approval process for our potential products and jeopardize the ability to commence product sales and generate revenue from a potential product. Any of these occurrences may significantly harm our business, financial condition and prospects. Additionally, our ongoing or planned clinical trials for tenapanor for the control of serum phosphorus may be delayed as a result of the restrictions placed on access to dialysis centers during the COVID-19 outbreak. Other potential impacts of the COVID-19 pandemic on our various clinical trials include delays or difficulties in any planned clinical site initiation, including difficulties in obtaining IRB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82"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Furthermore, even though we have completed our Phase 3 clinical development program for tenapanor for the control of serum phosphorus, the results may not be sufficient to obtain the desired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additional products or commercialize our product candidates.</w:t>
      </w:r>
    </w:p>
    <w:p>
      <w:pPr>
        <w:spacing w:after="0" w:line="165"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39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to market such product candidate could be compromised.</w:t>
      </w:r>
    </w:p>
    <w:p>
      <w:pPr>
        <w:spacing w:after="0" w:line="18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Undesirable side effects caused by our products or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Despite our receipt of marketing approval for tenapanor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for IBS-C in adults and the completion of our Phase 3 clinical program for tenapanor for the control of serum phosphorus, in the event that future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for such indication,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6"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In addition, if we or others identify undesirable side effects caused by one of our products for which we have received regulatory approval, a number of potentially significant negative consequences could occur, including:</w:t>
      </w:r>
    </w:p>
    <w:p>
      <w:pPr>
        <w:spacing w:after="0" w:line="146"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regulatory authorities may withdraw their approval of the product or seize the product;</w:t>
      </w:r>
    </w:p>
    <w:p>
      <w:pPr>
        <w:spacing w:after="0" w:line="198"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we, or a collaboration partner, may be required to recall the product;</w:t>
      </w:r>
    </w:p>
    <w:p>
      <w:pPr>
        <w:spacing w:after="0" w:line="184" w:lineRule="exact"/>
        <w:rPr>
          <w:rFonts w:ascii="Arial" w:cs="Arial" w:eastAsia="Arial" w:hAnsi="Arial"/>
          <w:sz w:val="18"/>
          <w:szCs w:val="18"/>
          <w:color w:val="231F20"/>
        </w:rPr>
      </w:pPr>
    </w:p>
    <w:p>
      <w:pPr>
        <w:jc w:val="both"/>
        <w:ind w:left="720" w:right="79" w:hanging="319"/>
        <w:spacing w:after="0" w:line="255"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51"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6"/>
          <w:szCs w:val="16"/>
          <w:color w:val="231F20"/>
        </w:rPr>
      </w:pPr>
      <w:r>
        <w:rPr>
          <w:rFonts w:ascii="Arial" w:cs="Arial" w:eastAsia="Arial" w:hAnsi="Arial"/>
          <w:sz w:val="16"/>
          <w:szCs w:val="16"/>
          <w:color w:val="auto"/>
        </w:rPr>
        <w:t>we, or a collaboration partner, may be subject to fines, injunctions or the imposition of civil or criminal penalties;</w:t>
      </w:r>
    </w:p>
    <w:p>
      <w:pPr>
        <w:spacing w:after="0" w:line="221" w:lineRule="exact"/>
        <w:rPr>
          <w:rFonts w:ascii="Arial" w:cs="Arial" w:eastAsia="Arial" w:hAnsi="Arial"/>
          <w:sz w:val="16"/>
          <w:szCs w:val="16"/>
          <w:color w:val="231F20"/>
        </w:rPr>
      </w:pPr>
    </w:p>
    <w:p>
      <w:pPr>
        <w:ind w:left="720" w:right="79" w:hanging="319"/>
        <w:spacing w:after="0" w:line="277"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29"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we could be sued and held liable for harm caused to patients;</w:t>
      </w:r>
    </w:p>
    <w:p>
      <w:pPr>
        <w:spacing w:after="0" w:line="184"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product may become less competitive; and</w:t>
      </w:r>
    </w:p>
    <w:p>
      <w:pPr>
        <w:spacing w:after="0" w:line="198"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our reputation may suffer.</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5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For example, tenapanor will, if approved for the control of serum phosphorus in CKD patients on dialysis, compete directly with phosphate binders for the control of serum phosphorus in CKD patients on dialysis. The various types of phosphate binders commercialized in the United States include the following:</w:t>
      </w:r>
    </w:p>
    <w:p>
      <w:pPr>
        <w:spacing w:after="0" w:line="184" w:lineRule="exact"/>
        <w:rPr>
          <w:sz w:val="20"/>
          <w:szCs w:val="20"/>
          <w:color w:val="auto"/>
        </w:rPr>
      </w:pPr>
    </w:p>
    <w:p>
      <w:pPr>
        <w:ind w:left="4420" w:right="2459" w:hanging="4019"/>
        <w:spacing w:after="0" w:line="778" w:lineRule="auto"/>
        <w:tabs>
          <w:tab w:leader="none" w:pos="731"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Calcium carbonate (many over-the-counter brands including Tums and Caltrate);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Calcium acetate (several prescription brands including PhosLo and Phoslyra);</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Lanthanum carbonate (Fosrenol);</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Sevelamer hydrochloride (Renagel);</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Sevelamer carbonate (Renvela);</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Sucroferric oxyhydroxide (Velphoro);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Ferric citrate (Auryxia).</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addition to the branded products described above,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managing our current activities and growth given our level of managerial, operational, financial and other resources.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84"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our pre-commercialization activities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manage our clinical trials effectively;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continue to improve our operational, financial and management controls, reporting systems and procedures; and</w:t>
      </w:r>
    </w:p>
    <w:p>
      <w:pPr>
        <w:spacing w:after="0" w:line="248" w:lineRule="exact"/>
        <w:rPr>
          <w:rFonts w:ascii="Arial" w:cs="Arial" w:eastAsia="Arial" w:hAnsi="Arial"/>
          <w:sz w:val="16"/>
          <w:szCs w:val="16"/>
          <w:color w:val="231F20"/>
        </w:rPr>
      </w:pPr>
    </w:p>
    <w:p>
      <w:pPr>
        <w:ind w:left="720" w:hanging="319"/>
        <w:spacing w:after="0"/>
        <w:tabs>
          <w:tab w:leader="none" w:pos="72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retain and motivate our remaining employees and potentially identify, recruit, and integrate additional employees.</w:t>
      </w:r>
    </w:p>
    <w:p>
      <w:pPr>
        <w:spacing w:after="0" w:line="248"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24"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We rely completely on third parties to manufacture our nonclinical and clinical drug supplies, and we intend to rely on third parties to produce commercial supplies of tenapanor, if tenapanor is ultimately commercialized for any indication. Our business would be harmed if those third parties fail to obtain approval of the FDA or comparable regulatory authorities, fail to provide us with sufficient quantities of drug, or fail to do so at acceptable quality levels or prices.</w:t>
      </w:r>
    </w:p>
    <w:p>
      <w:pPr>
        <w:spacing w:after="0" w:line="14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are subject to inspection by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cGMPs, for manufacture of both active drug substances and finished drug products.</w:t>
      </w:r>
    </w:p>
    <w:p>
      <w:pPr>
        <w:spacing w:after="0" w:line="16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require a transfer of technology to such alternative facilities and potentially additional capital investment. In addition, the use of alternative manufacturing facilities would require qualification with the FDA or comparable foreign regulatory authorities, all of which would significantly impact our ability to develop, obtain regulatory approval for or market our product candidates, if approved.</w:t>
      </w:r>
    </w:p>
    <w:p>
      <w:pPr>
        <w:spacing w:after="0" w:line="19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rely on our manufacturers to purchase from third-party suppliers the materials necessary to produce our product candidates for our clinical studies. There are a limited number of suppliers for raw materials and certain processes, such as spray drying,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or processes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8"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2"/>
        </w:numPr>
        <w:rPr>
          <w:rFonts w:ascii="Arial" w:cs="Arial" w:eastAsia="Arial" w:hAnsi="Arial"/>
          <w:sz w:val="17"/>
          <w:szCs w:val="17"/>
          <w:color w:val="231F20"/>
        </w:rPr>
      </w:pPr>
      <w:r>
        <w:rPr>
          <w:rFonts w:ascii="Arial" w:cs="Arial" w:eastAsia="Arial" w:hAnsi="Arial"/>
          <w:sz w:val="17"/>
          <w:szCs w:val="17"/>
          <w:color w:val="auto"/>
        </w:rPr>
        <w:t>regulatory investigations, product recalls or withdrawals, or labeling, marketing or promotional restrictions;</w:t>
      </w:r>
    </w:p>
    <w:p>
      <w:pPr>
        <w:spacing w:after="0" w:line="236" w:lineRule="exact"/>
        <w:rPr>
          <w:rFonts w:ascii="Arial" w:cs="Arial" w:eastAsia="Arial" w:hAnsi="Arial"/>
          <w:sz w:val="17"/>
          <w:szCs w:val="17"/>
          <w:color w:val="231F20"/>
        </w:rPr>
      </w:pPr>
    </w:p>
    <w:p>
      <w:pPr>
        <w:ind w:left="720" w:hanging="319"/>
        <w:spacing w:after="0"/>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the inability to commercialize or co-promote our product candidates.</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If we fail to attract, retain and motivate our executives, senior management and key personnel, our business will suffer.</w:t>
      </w:r>
    </w:p>
    <w:p>
      <w:pPr>
        <w:spacing w:after="0" w:line="26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research,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5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have developed a proprietary drug discovery and design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pacing w:after="0" w:line="18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5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6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In addition, such a breach may require notification to governmental agencies, the media or individuals pursuant to various federal and state privacy and security laws, if applicable, including the Health Insurance Portability and Accountability Act of 1996 (“HIPAA”), as amended by the Health Information Technology for Clinical Health Act of 2009 (“HITECH”) and its implementing rules and regulations. Even when HIPAA does not apply, according to the Federal Trade Commission (the “FTC”) failing to take appropriate steps to keep consumers’ personnel information secure constitutes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We may also be subject to state laws requiring notification of affected individuals and state regulators in the event of a breach of personal information, which is a broader class of information than the health information protected by HIPAA. For example, California recently enacted legislation, the California Consumer Privacy Act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16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8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require, among other things, our management to report on the effectiveness of our internal control over financial reporting. Our compliance with Section 404 requires that we incur substantial expense and expend significant management efforts.</w:t>
      </w:r>
    </w:p>
    <w:p>
      <w:pPr>
        <w:spacing w:after="0" w:line="18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identified a material weakness in our internal control over financial reporting in the past.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w:t>
      </w:r>
    </w:p>
    <w:p>
      <w:pPr>
        <w:spacing w:after="0" w:line="192"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70"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currently expect to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Kirin Co., Ltd. (“KKC”) for certain research programs and for commercialization of tenapanor for hyperphosphatemia in Japan; with Shanghai Fosun Pharmaceutical Industrial Development Co. Ltd. (“Fosun Pharma”) for commercialization of tenapanor for hyperphosphatemia and IBS-C in China and related territories; and in Canada with Knight Therapeutics, Inc.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a collaboration partnership for tenapanor for IBS-C commercialization in the United States or for any future product candidates and programs on terms that are acceptable to us, or at all. With respect to tenapanor for IBS-C in the United States, this may be because third parties may not view tenapanor for the treatment of IBS-C as having sufficient potential to be successfully commercialized. Additionally, despite third party interest in the commercialization of tenapanor for IBS-C in the United States, we may decide that it is not in the best interests of the Company to enter into such a collaboration partnership. If we are unable to establish a collaboration partnership for the commercialization of IBS-C in the United States under acceptable terms, the commercialization of tenapanor for IBS-C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 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ongoing COVID-19 pandemic, or any other outbreak of epidemic diseases, or the perception of their effects, could have a material adverse effect on our business, financial condition, results of operations or cash flows.</w:t>
      </w:r>
    </w:p>
    <w:p>
      <w:pPr>
        <w:spacing w:after="0" w:line="124" w:lineRule="exact"/>
        <w:rPr>
          <w:sz w:val="20"/>
          <w:szCs w:val="20"/>
          <w:color w:val="auto"/>
        </w:rPr>
      </w:pPr>
    </w:p>
    <w:p>
      <w:pPr>
        <w:jc w:val="both"/>
        <w:ind w:left="60" w:right="59" w:firstLine="557"/>
        <w:spacing w:after="0" w:line="273" w:lineRule="auto"/>
        <w:rPr>
          <w:sz w:val="20"/>
          <w:szCs w:val="20"/>
          <w:color w:val="auto"/>
        </w:rPr>
      </w:pPr>
      <w:r>
        <w:rPr>
          <w:rFonts w:ascii="Arial" w:cs="Arial" w:eastAsia="Arial" w:hAnsi="Arial"/>
          <w:sz w:val="17"/>
          <w:szCs w:val="17"/>
          <w:color w:val="auto"/>
        </w:rPr>
        <w:t>Outbreaks of epidemic, pandemic, or contagious diseases, such as the current novel coronavirus (“COVID-19”) pandemic or, historically, the Ebola virus, Middle East Respiratory Syndrome, Severe Acute Respiratory Syndrome, or the H1N1 virus, could disrupt our business. Business disruptions could include disruptions or restrictions on our ability to conduct our clinical trials, as planned, travel, as well as temporary closures of the facilities of our collaboration partners, suppliers or contract manufacturers. Any disruption of our clinical trial operations, collaboration partners, suppliers or contract manufacturers could adversely impact our operating results.</w:t>
      </w:r>
    </w:p>
    <w:p>
      <w:pPr>
        <w:spacing w:after="0" w:line="178" w:lineRule="exact"/>
        <w:rPr>
          <w:sz w:val="20"/>
          <w:szCs w:val="20"/>
          <w:color w:val="auto"/>
        </w:rPr>
      </w:pPr>
    </w:p>
    <w:p>
      <w:pPr>
        <w:jc w:val="both"/>
        <w:ind w:left="60" w:right="59" w:firstLine="557"/>
        <w:spacing w:after="0" w:line="271" w:lineRule="auto"/>
        <w:rPr>
          <w:sz w:val="20"/>
          <w:szCs w:val="20"/>
          <w:color w:val="auto"/>
        </w:rPr>
      </w:pPr>
      <w:r>
        <w:rPr>
          <w:rFonts w:ascii="Arial" w:cs="Arial" w:eastAsia="Arial" w:hAnsi="Arial"/>
          <w:sz w:val="17"/>
          <w:szCs w:val="17"/>
          <w:color w:val="auto"/>
        </w:rPr>
        <w:t>While the COVID-19 pandemic did not materially adversely affect our business operations in the quarter ended June 30, 2020, economic and health conditions in the United States and across most of the globe have changed rapidly since the end of the quarter. While at this point, the extent to which the coronavirus outbreak may impact our results is uncertain, it could result in delays in the manufacture of tenapanor, or in the delivery of key intermediates or raw materials required to manufacture tenapanor or delays in clinical development activities by us, or our collaboration partners. It could also materially and negatively impact our ability, either alone, or with a collaboration partner, to successfully commercialize tenapanor, if approved for marketing and sale by the FDA or foreign regulatory authorities, including our ability to educate physicians and patients about the benefits, administration and use of tenapanor.</w:t>
      </w:r>
    </w:p>
    <w:p>
      <w:pPr>
        <w:spacing w:after="0" w:line="178" w:lineRule="exact"/>
        <w:rPr>
          <w:sz w:val="20"/>
          <w:szCs w:val="20"/>
          <w:color w:val="auto"/>
        </w:rPr>
      </w:pPr>
    </w:p>
    <w:p>
      <w:pPr>
        <w:jc w:val="both"/>
        <w:ind w:left="60" w:right="59" w:firstLine="557"/>
        <w:spacing w:after="0" w:line="277" w:lineRule="auto"/>
        <w:rPr>
          <w:sz w:val="20"/>
          <w:szCs w:val="20"/>
          <w:color w:val="auto"/>
        </w:rPr>
      </w:pPr>
      <w:r>
        <w:rPr>
          <w:rFonts w:ascii="Arial" w:cs="Arial" w:eastAsia="Arial" w:hAnsi="Arial"/>
          <w:sz w:val="18"/>
          <w:szCs w:val="18"/>
          <w:color w:val="auto"/>
        </w:rPr>
        <w:t>As a result of the COVID-19 pandemic, we may also experience disruptions that could severely impact our business, preclinical studies and clinical trials, including:</w:t>
      </w:r>
    </w:p>
    <w:p>
      <w:pPr>
        <w:spacing w:after="0" w:line="62" w:lineRule="exact"/>
        <w:rPr>
          <w:sz w:val="20"/>
          <w:szCs w:val="20"/>
          <w:color w:val="auto"/>
        </w:rPr>
      </w:pPr>
    </w:p>
    <w:p>
      <w:pPr>
        <w:jc w:val="both"/>
        <w:ind w:left="840" w:right="79" w:hanging="223"/>
        <w:spacing w:after="0" w:line="271" w:lineRule="auto"/>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While our Phase 3 clinical development of tenapanor for the control of serum phosphorus in CKD patients on dialysis is complete, we have ongoing and planned clinical trials for tenapanor that may be delayed as a result of the restrictions placed on access to dialysis centers during the COVID-19 outbreak. Other potential impacts of the COVID-19 pandemic on our various clinical trials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70" w:lineRule="exact"/>
        <w:rPr>
          <w:rFonts w:ascii="Arial" w:cs="Arial" w:eastAsia="Arial" w:hAnsi="Arial"/>
          <w:sz w:val="17"/>
          <w:szCs w:val="17"/>
          <w:color w:val="auto"/>
        </w:rPr>
      </w:pPr>
    </w:p>
    <w:p>
      <w:pPr>
        <w:jc w:val="both"/>
        <w:ind w:left="840" w:right="79" w:hanging="223"/>
        <w:spacing w:after="0" w:line="272" w:lineRule="auto"/>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have limited the use of our offices to essential employees and requested that most of our personnel, including all of our administrative employees, work remotely. We have restricted on-site staff to only those personnel and contractors who must perform essential activities that must be completed on-site and limited the number of staff in our research laboratories. The COVID-19 pandemic could disrupt our ability to secure supplies for our facilities and to provide personal protective equipment for our employees. The safety, health and well-being of our workforce is of primary concern and we may need to enact further precautionary measures to help minimize the risk of our employees being exposed to the novel coronavirus.</w:t>
      </w:r>
    </w:p>
    <w:p>
      <w:pPr>
        <w:spacing w:after="0" w:line="69" w:lineRule="exact"/>
        <w:rPr>
          <w:rFonts w:ascii="Arial" w:cs="Arial" w:eastAsia="Arial" w:hAnsi="Arial"/>
          <w:sz w:val="17"/>
          <w:szCs w:val="17"/>
          <w:color w:val="auto"/>
        </w:rPr>
      </w:pPr>
    </w:p>
    <w:p>
      <w:pPr>
        <w:jc w:val="both"/>
        <w:ind w:left="840" w:right="79" w:hanging="223"/>
        <w:spacing w:after="0" w:line="296" w:lineRule="auto"/>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increased reliance on personnel working from home may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w:t>
      </w:r>
    </w:p>
    <w:p>
      <w:pPr>
        <w:spacing w:after="0" w:line="53" w:lineRule="exact"/>
        <w:rPr>
          <w:rFonts w:ascii="Arial" w:cs="Arial" w:eastAsia="Arial" w:hAnsi="Arial"/>
          <w:sz w:val="16"/>
          <w:szCs w:val="16"/>
          <w:color w:val="auto"/>
        </w:rPr>
      </w:pPr>
    </w:p>
    <w:p>
      <w:pPr>
        <w:ind w:left="840" w:right="79" w:hanging="223"/>
        <w:spacing w:after="0" w:line="27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and comparable foreign regulatory agencies may experience operational interruptions or delays, which may impact timelines for regulatory submission, trial initiation and regulatory approval.</w:t>
      </w:r>
    </w:p>
    <w:p>
      <w:pPr>
        <w:spacing w:after="0" w:line="170" w:lineRule="exact"/>
        <w:rPr>
          <w:sz w:val="20"/>
          <w:szCs w:val="20"/>
          <w:color w:val="auto"/>
        </w:rPr>
      </w:pPr>
    </w:p>
    <w:p>
      <w:pPr>
        <w:jc w:val="both"/>
        <w:ind w:left="60" w:right="59" w:firstLine="557"/>
        <w:spacing w:after="0" w:line="293" w:lineRule="auto"/>
        <w:rPr>
          <w:sz w:val="20"/>
          <w:szCs w:val="20"/>
          <w:color w:val="auto"/>
        </w:rPr>
      </w:pPr>
      <w:r>
        <w:rPr>
          <w:rFonts w:ascii="Arial" w:cs="Arial" w:eastAsia="Arial" w:hAnsi="Arial"/>
          <w:sz w:val="16"/>
          <w:szCs w:val="16"/>
          <w:color w:val="auto"/>
        </w:rPr>
        <w:t>The COVID-19 outbreak continues to rapidly evolve. The extent to which the outbreak may impact our business, manufacturing, preclinical development activities, preclinical studies and planned clinical trials will depend on future developments, which are highly uncertain and cannot be predicted with confidence, such as the ultimate geographic spread of COVID-19,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68" w:lineRule="exact"/>
        <w:rPr>
          <w:sz w:val="20"/>
          <w:szCs w:val="20"/>
          <w:color w:val="auto"/>
        </w:rPr>
      </w:pPr>
    </w:p>
    <w:p>
      <w:pPr>
        <w:ind w:left="720" w:right="79" w:hanging="319"/>
        <w:spacing w:after="0" w:line="277"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exposure to unknown liabilities;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incurrence of substantial debt or dilutive issuances of equity securities;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higher-than-expected acquisition and integration costs;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write-downs of assets or goodwill or impairment charges;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increased amortization expenses;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6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4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manufacture our active drug substance for tenapanor. We are subject to additional risks related to entering these international business markets and relationships, including:</w:t>
      </w:r>
    </w:p>
    <w:p>
      <w:pPr>
        <w:spacing w:after="0" w:line="170"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different reimbursement systems, and different competitive drugs;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7"/>
          <w:szCs w:val="17"/>
          <w:color w:val="231F20"/>
        </w:rPr>
      </w:pPr>
      <w:r>
        <w:rPr>
          <w:rFonts w:ascii="Arial" w:cs="Arial" w:eastAsia="Arial" w:hAnsi="Arial"/>
          <w:sz w:val="17"/>
          <w:szCs w:val="17"/>
          <w:color w:val="auto"/>
        </w:rPr>
        <w:t>economic weakness, including inflation, or political instability in particular foreign economies and markets;</w:t>
      </w:r>
    </w:p>
    <w:p>
      <w:pPr>
        <w:spacing w:after="0" w:line="236" w:lineRule="exact"/>
        <w:rPr>
          <w:rFonts w:ascii="Arial" w:cs="Arial" w:eastAsia="Arial" w:hAnsi="Arial"/>
          <w:sz w:val="17"/>
          <w:szCs w:val="17"/>
          <w:color w:val="231F20"/>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production shortages resulting from any events affecting raw material supply or manufacturing capabilities abroad;</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7"/>
          <w:szCs w:val="17"/>
          <w:color w:val="231F20"/>
        </w:rPr>
      </w:pPr>
      <w:r>
        <w:rPr>
          <w:rFonts w:ascii="Arial" w:cs="Arial" w:eastAsia="Arial" w:hAnsi="Arial"/>
          <w:sz w:val="17"/>
          <w:szCs w:val="17"/>
          <w:color w:val="auto"/>
        </w:rPr>
        <w:t>business interruptions resulting from geopolitical actions, including war and terrorism, or natural disasters.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4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7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8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70"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 market any drug product in the United States until we receive marketing approval from the FDA.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87"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warning or untitled letters;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civil and criminal penalties;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injunctions;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withdrawal of regulatory approval of products;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product recalls;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total or partial suspension of production;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refusal to approve pending NDAs or supplements to approved NDAs.</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6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for a drug product either prior to or post-approval, such as additional drug-drug interaction studies or safety or efficacy studies,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8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70" w:lineRule="exact"/>
        <w:rPr>
          <w:sz w:val="20"/>
          <w:szCs w:val="20"/>
          <w:color w:val="auto"/>
        </w:rPr>
      </w:pPr>
    </w:p>
    <w:p>
      <w:pPr>
        <w:ind w:left="720" w:right="79" w:hanging="319"/>
        <w:spacing w:after="0" w:line="277" w:lineRule="auto"/>
        <w:tabs>
          <w:tab w:leader="none" w:pos="72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interpretation of data from preclinical studies or clinical studies;</w:t>
      </w:r>
    </w:p>
    <w:p>
      <w:pPr>
        <w:spacing w:after="0" w:line="170" w:lineRule="exact"/>
        <w:rPr>
          <w:rFonts w:ascii="Arial" w:cs="Arial" w:eastAsia="Arial" w:hAnsi="Arial"/>
          <w:sz w:val="18"/>
          <w:szCs w:val="18"/>
          <w:color w:val="231F20"/>
        </w:rPr>
      </w:pPr>
    </w:p>
    <w:p>
      <w:pPr>
        <w:ind w:left="720" w:right="79" w:hanging="319"/>
        <w:spacing w:after="0" w:line="308" w:lineRule="auto"/>
        <w:tabs>
          <w:tab w:leader="none" w:pos="72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the data collected from clinical studies of our product candidates may not be sufficient to support the submission of a NDA or other submission or to obtain regulatory approval in the United States or elsewhere;</w:t>
      </w:r>
    </w:p>
    <w:p>
      <w:pPr>
        <w:spacing w:after="0" w:line="146" w:lineRule="exact"/>
        <w:rPr>
          <w:rFonts w:ascii="Arial" w:cs="Arial" w:eastAsia="Arial" w:hAnsi="Arial"/>
          <w:sz w:val="17"/>
          <w:szCs w:val="17"/>
          <w:color w:val="231F20"/>
        </w:rPr>
      </w:pPr>
    </w:p>
    <w:p>
      <w:pPr>
        <w:ind w:left="720" w:right="79" w:hanging="319"/>
        <w:spacing w:after="0" w:line="308" w:lineRule="auto"/>
        <w:tabs>
          <w:tab w:leader="none" w:pos="72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we or our collaboration partners may be unable to demonstrate to the FDA or comparable foreign regulatory authorities that a product candidate’s risk-benefit ratio for its proposed indication is acceptable;</w:t>
      </w:r>
    </w:p>
    <w:p>
      <w:pPr>
        <w:spacing w:after="0" w:line="146" w:lineRule="exact"/>
        <w:rPr>
          <w:rFonts w:ascii="Arial" w:cs="Arial" w:eastAsia="Arial" w:hAnsi="Arial"/>
          <w:sz w:val="17"/>
          <w:szCs w:val="17"/>
          <w:color w:val="231F20"/>
        </w:rPr>
      </w:pPr>
    </w:p>
    <w:p>
      <w:pPr>
        <w:jc w:val="both"/>
        <w:ind w:left="720" w:right="79" w:hanging="319"/>
        <w:spacing w:after="0" w:line="263" w:lineRule="auto"/>
        <w:tabs>
          <w:tab w:leader="none" w:pos="72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2"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84"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warning or untitled letters, fines or holds on clinical trials;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injunctions or the imposition of civil or criminal penalties;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suspension or revocation of existing regulatory approvals;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suspension of any of our ongoing clinical trials;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refusal to approve pending applications or supplements to approved applications submitted by us;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restrictions on our or our contract manufacturers’ operations; or</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product seizure or detention, or refusal to permit the import or export of products.</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5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6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7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8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6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Tenapanor, which has been approved by the FDA for the treatment of IBS-C in adults, and/or our other product candidates, if approved, may cause or contribute to adverse medical events that we are required to report to regulatory agencies and if we fail to do so we could be subject to sanctions that would materially harm our business.</w:t>
      </w:r>
    </w:p>
    <w:p>
      <w:pPr>
        <w:spacing w:after="0" w:line="14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8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6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9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87" w:lineRule="exact"/>
        <w:rPr>
          <w:sz w:val="20"/>
          <w:szCs w:val="20"/>
          <w:color w:val="auto"/>
        </w:rPr>
      </w:pPr>
    </w:p>
    <w:p>
      <w:pPr>
        <w:jc w:val="both"/>
        <w:ind w:left="720" w:right="79" w:hanging="319"/>
        <w:spacing w:after="0" w:line="255" w:lineRule="auto"/>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92" w:lineRule="exact"/>
        <w:rPr>
          <w:rFonts w:ascii="Arial" w:cs="Arial" w:eastAsia="Arial" w:hAnsi="Arial"/>
          <w:sz w:val="18"/>
          <w:szCs w:val="18"/>
          <w:color w:val="231F20"/>
        </w:rPr>
      </w:pPr>
    </w:p>
    <w:p>
      <w:pPr>
        <w:jc w:val="both"/>
        <w:ind w:left="720" w:right="79" w:hanging="319"/>
        <w:spacing w:after="0" w:line="257" w:lineRule="auto"/>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187"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231F20"/>
        </w:rPr>
      </w:pPr>
    </w:p>
    <w:p>
      <w:pPr>
        <w:ind w:left="720" w:right="79" w:hanging="319"/>
        <w:spacing w:after="0" w:line="342" w:lineRule="auto"/>
        <w:tabs>
          <w:tab w:leader="none" w:pos="720" w:val="left"/>
        </w:tabs>
        <w:numPr>
          <w:ilvl w:val="0"/>
          <w:numId w:val="30"/>
        </w:numPr>
        <w:rPr>
          <w:rFonts w:ascii="Arial" w:cs="Arial" w:eastAsia="Arial" w:hAnsi="Arial"/>
          <w:sz w:val="16"/>
          <w:szCs w:val="16"/>
          <w:color w:val="231F20"/>
        </w:rPr>
      </w:pPr>
      <w:r>
        <w:rPr>
          <w:rFonts w:ascii="Arial" w:cs="Arial" w:eastAsia="Arial" w:hAnsi="Arial"/>
          <w:sz w:val="16"/>
          <w:szCs w:val="16"/>
          <w:color w:val="auto"/>
        </w:rPr>
        <w:t>the federal physician sunshine requirements under the Affordable Care Act, which requires manufacturers of drugs, devices, biologics, and medical supplies to report annually to CMS information related to payments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63" w:lineRule="auto"/>
        <w:rPr>
          <w:sz w:val="20"/>
          <w:szCs w:val="20"/>
          <w:color w:val="auto"/>
        </w:rPr>
      </w:pPr>
      <w:r>
        <w:rPr>
          <w:rFonts w:ascii="Arial" w:cs="Arial" w:eastAsia="Arial" w:hAnsi="Arial"/>
          <w:sz w:val="18"/>
          <w:szCs w:val="18"/>
          <w:color w:val="auto"/>
        </w:rPr>
        <w:t>other transfers of value to physicians, certain other healthcare providers beginning in 2022, and teaching hospitals, and ownership and investment interests held by physicians and other healthcare providers and their immediate family members;</w:t>
      </w:r>
    </w:p>
    <w:p>
      <w:pPr>
        <w:spacing w:after="0" w:line="184" w:lineRule="exact"/>
        <w:rPr>
          <w:sz w:val="20"/>
          <w:szCs w:val="20"/>
          <w:color w:val="auto"/>
        </w:rPr>
      </w:pPr>
    </w:p>
    <w:p>
      <w:pPr>
        <w:ind w:left="720" w:right="79" w:hanging="319"/>
        <w:spacing w:after="0" w:line="308" w:lineRule="auto"/>
        <w:tabs>
          <w:tab w:leader="none" w:pos="720" w:val="left"/>
        </w:tabs>
        <w:numPr>
          <w:ilvl w:val="0"/>
          <w:numId w:val="31"/>
        </w:numPr>
        <w:rPr>
          <w:rFonts w:ascii="Arial" w:cs="Arial" w:eastAsia="Arial" w:hAnsi="Arial"/>
          <w:sz w:val="17"/>
          <w:szCs w:val="17"/>
          <w:color w:val="231F20"/>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w:t>
      </w:r>
    </w:p>
    <w:p>
      <w:pPr>
        <w:spacing w:after="0" w:line="146" w:lineRule="exact"/>
        <w:rPr>
          <w:rFonts w:ascii="Arial" w:cs="Arial" w:eastAsia="Arial" w:hAnsi="Arial"/>
          <w:sz w:val="17"/>
          <w:szCs w:val="17"/>
          <w:color w:val="231F20"/>
        </w:rPr>
      </w:pPr>
    </w:p>
    <w:p>
      <w:pPr>
        <w:jc w:val="both"/>
        <w:ind w:left="720" w:right="79" w:hanging="319"/>
        <w:spacing w:after="0" w:line="286" w:lineRule="auto"/>
        <w:tabs>
          <w:tab w:leader="none" w:pos="720" w:val="left"/>
        </w:tabs>
        <w:numPr>
          <w:ilvl w:val="0"/>
          <w:numId w:val="31"/>
        </w:numPr>
        <w:rPr>
          <w:rFonts w:ascii="Arial" w:cs="Arial" w:eastAsia="Arial" w:hAnsi="Arial"/>
          <w:sz w:val="17"/>
          <w:szCs w:val="17"/>
          <w:color w:val="231F20"/>
        </w:rPr>
      </w:pPr>
      <w:r>
        <w:rPr>
          <w:rFonts w:ascii="Arial" w:cs="Arial" w:eastAsia="Arial" w:hAnsi="Arial"/>
          <w:sz w:val="17"/>
          <w:szCs w:val="17"/>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65" w:lineRule="exact"/>
        <w:rPr>
          <w:rFonts w:ascii="Arial" w:cs="Arial" w:eastAsia="Arial" w:hAnsi="Arial"/>
          <w:sz w:val="17"/>
          <w:szCs w:val="17"/>
          <w:color w:val="231F20"/>
        </w:rPr>
      </w:pPr>
    </w:p>
    <w:p>
      <w:pPr>
        <w:ind w:left="720" w:right="79" w:hanging="319"/>
        <w:spacing w:after="0" w:line="308" w:lineRule="auto"/>
        <w:tabs>
          <w:tab w:leader="none" w:pos="720" w:val="left"/>
        </w:tabs>
        <w:numPr>
          <w:ilvl w:val="0"/>
          <w:numId w:val="31"/>
        </w:numPr>
        <w:rPr>
          <w:rFonts w:ascii="Arial" w:cs="Arial" w:eastAsia="Arial" w:hAnsi="Arial"/>
          <w:sz w:val="17"/>
          <w:szCs w:val="17"/>
          <w:color w:val="231F20"/>
        </w:rPr>
      </w:pPr>
      <w:r>
        <w:rPr>
          <w:rFonts w:ascii="Arial" w:cs="Arial" w:eastAsia="Arial" w:hAnsi="Arial"/>
          <w:sz w:val="17"/>
          <w:szCs w:val="17"/>
          <w:color w:val="auto"/>
        </w:rPr>
        <w:t>state laws that require drug manufacturers to report information related to payments and other transfers of value to physicians and other healthcare providers or pricing information and marketing expenditures; and</w:t>
      </w:r>
    </w:p>
    <w:p>
      <w:pPr>
        <w:spacing w:after="0" w:line="146" w:lineRule="exact"/>
        <w:rPr>
          <w:rFonts w:ascii="Arial" w:cs="Arial" w:eastAsia="Arial" w:hAnsi="Arial"/>
          <w:sz w:val="17"/>
          <w:szCs w:val="17"/>
          <w:color w:val="231F20"/>
        </w:rPr>
      </w:pPr>
    </w:p>
    <w:p>
      <w:pPr>
        <w:ind w:left="720" w:right="79" w:hanging="319"/>
        <w:spacing w:after="0" w:line="277" w:lineRule="auto"/>
        <w:tabs>
          <w:tab w:leader="none" w:pos="72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8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77"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additional clinical trials to be conducted prior to obtaining approval;</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changes to manufacturing methods;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recall, replacement, or discontinuance of one or more of our products;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additional record keeping.</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The Bipartisan Budget Act of 2018 increased this discount to 70% beginning in January 2019.</w:t>
      </w:r>
    </w:p>
    <w:p>
      <w:pPr>
        <w:spacing w:after="0" w:line="168"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as well as efforts by the current Presidential Administration to modify, or repeal all, or certain provisions of, the Affordable Care Act. By way of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and other efforts to challenge, repeal, or replace the ACA will impact the ACA or our business. We cannot predict the reform initiatives that may be adopted in the future or whether initiatives that have been adopted will be repealed or modified.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7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These new laws, among other things, included aggregate reductions of Medicare payments of 2% per fiscal year to providers that will remain in effect through 2029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5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77"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8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7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4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8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6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8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6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9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95"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0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6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stock price may be volatile and our stockholders may not be able to resell shares of our common stock at or above the price they paid.</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84"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alone or with collaboration partners, to commercialize or obtain regulatory approval for tenapanor, or delays in commercializing or obtaining regulatory approval;</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regulatory approval, results of regulatory inspections of our facilities or those of our contract manufacturing organizations, or specific label restrictions or patient populations for tenapanor’s use, or changes or delays in the regulatory review process;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clinical development of any of our product candidates;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economic and market conditions and overall fluctuations in the United States equity markets; and</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stock and, together with our management, will be able to exert significant control over matters subject to stockholder approval.</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Based on the number of shares outstanding as of June 30, 2020, our officers, directors and stockholders who hold at least 5% of our stock together beneficially own approximately 44.3%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together, could cause us to enter into transactions or agreements that we would not otherwise consider. Similarly, this concentration of ownership may have the effect of delaying or preventing a change in control of our company otherwise favored by our other stockholders. As of June 30, 2020, entities affiliated with New Enterprise Associates, or NEA, a venture capital fund, collectively beneficially owned approximately 15.3% of our common stock, including shares that NEA has the right to acquire within 60 days of June 30, 2020 upon exercise of warrants held by NEA.</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in the public market could cause our stock price to fall.</w:t>
      </w:r>
    </w:p>
    <w:p>
      <w:pPr>
        <w:spacing w:after="0" w:line="26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trading price of our common stock could decline. As of June 30, 2020, we had 89,140,563 shares of common stock outstanding. Of those shares, approximately 37.3 million were held by current directors, executive officers and stockholders owning 5% or more of our outstanding common stock.</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As of June 30, 2020, approximately 0.9 million shares of common stock issuable upon vesting of outstanding restricted stock units and approximately 9.3 million shares of common stock issuable upon exercise of outstanding options were eligible for sale in the public market to the extent permitted by the provisions of the applicable vesting schedules, and Rule 144 and Rule 701 under the Securities Act. If these additional shares of common stock are issued and sold, or if it is perceived that they will be sold, in the public market, the trading price of our common stock could decline.</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49" w:lineRule="exact"/>
        <w:rPr>
          <w:sz w:val="20"/>
          <w:szCs w:val="20"/>
          <w:color w:val="auto"/>
        </w:rPr>
      </w:pPr>
    </w:p>
    <w:p>
      <w:pPr>
        <w:ind w:left="720" w:right="79" w:hanging="319"/>
        <w:spacing w:after="0" w:line="277"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ability of our board of directors to alter our bylaws without obtaining stockholder approval;</w:t>
      </w:r>
    </w:p>
    <w:p>
      <w:pPr>
        <w:spacing w:after="0" w:line="225"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231F20"/>
        </w:rPr>
      </w:pPr>
    </w:p>
    <w:p>
      <w:pPr>
        <w:jc w:val="both"/>
        <w:ind w:left="720" w:right="79" w:hanging="319"/>
        <w:spacing w:after="0" w:line="286" w:lineRule="auto"/>
        <w:tabs>
          <w:tab w:leader="none" w:pos="720" w:val="left"/>
        </w:tabs>
        <w:numPr>
          <w:ilvl w:val="0"/>
          <w:numId w:val="36"/>
        </w:numPr>
        <w:rPr>
          <w:rFonts w:ascii="Arial" w:cs="Arial" w:eastAsia="Arial" w:hAnsi="Arial"/>
          <w:sz w:val="17"/>
          <w:szCs w:val="17"/>
          <w:color w:val="231F20"/>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65" w:lineRule="exact"/>
        <w:rPr>
          <w:rFonts w:ascii="Arial" w:cs="Arial" w:eastAsia="Arial" w:hAnsi="Arial"/>
          <w:sz w:val="17"/>
          <w:szCs w:val="17"/>
          <w:color w:val="231F20"/>
        </w:rPr>
      </w:pPr>
    </w:p>
    <w:p>
      <w:pPr>
        <w:jc w:val="both"/>
        <w:ind w:left="720" w:right="79" w:hanging="319"/>
        <w:spacing w:after="0" w:line="259" w:lineRule="auto"/>
        <w:tabs>
          <w:tab w:leader="none" w:pos="72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46" w:lineRule="exact"/>
        <w:rPr>
          <w:sz w:val="20"/>
          <w:szCs w:val="20"/>
          <w:color w:val="auto"/>
        </w:rPr>
      </w:pPr>
    </w:p>
    <w:p>
      <w:pPr>
        <w:jc w:val="both"/>
        <w:ind w:left="720" w:right="79" w:hanging="319"/>
        <w:spacing w:after="0" w:line="275" w:lineRule="auto"/>
        <w:tabs>
          <w:tab w:leader="none" w:pos="72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6" w:lineRule="exact"/>
        <w:rPr>
          <w:rFonts w:ascii="Arial" w:cs="Arial" w:eastAsia="Arial" w:hAnsi="Arial"/>
          <w:sz w:val="17"/>
          <w:szCs w:val="17"/>
          <w:color w:val="231F20"/>
        </w:rPr>
      </w:pPr>
    </w:p>
    <w:p>
      <w:pPr>
        <w:ind w:left="720" w:right="79" w:hanging="319"/>
        <w:spacing w:after="0" w:line="277"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83"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3" w:lineRule="auto"/>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4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6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Effective May 16, 2018, we entered into a loan and security agreement pursuant to which the Lenders agreed to provide us a $50.0 million term loan facility. Covenants in the loan and security agreement limit our ability to pay dividends or make other distributions. For additional information refer to “NOTE 5. BORROWINGS” in the notes to our unaudited condensed financial statements in Part I, Item 1, </w:t>
      </w:r>
      <w:r>
        <w:rPr>
          <w:rFonts w:ascii="Arial" w:cs="Arial" w:eastAsia="Arial" w:hAnsi="Arial"/>
          <w:sz w:val="18"/>
          <w:szCs w:val="18"/>
          <w:i w:val="1"/>
          <w:iCs w:val="1"/>
          <w:color w:val="auto"/>
        </w:rPr>
        <w:t>Notes to Condensed Financial Statements</w:t>
      </w:r>
      <w:r>
        <w:rPr>
          <w:rFonts w:ascii="Arial" w:cs="Arial" w:eastAsia="Arial" w:hAnsi="Arial"/>
          <w:sz w:val="18"/>
          <w:szCs w:val="18"/>
          <w:color w:val="auto"/>
        </w:rPr>
        <w:t>, of this Quarterly Report on Form 10 Q.</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  Patheon Manufacturing Services Agreement</w:t>
      </w:r>
    </w:p>
    <w:p>
      <w:pPr>
        <w:spacing w:after="0" w:line="225" w:lineRule="exact"/>
        <w:rPr>
          <w:sz w:val="20"/>
          <w:szCs w:val="20"/>
          <w:color w:val="auto"/>
        </w:rPr>
      </w:pPr>
    </w:p>
    <w:p>
      <w:pPr>
        <w:ind w:left="60" w:right="99" w:firstLine="369"/>
        <w:spacing w:after="0" w:line="301" w:lineRule="auto"/>
        <w:rPr>
          <w:sz w:val="20"/>
          <w:szCs w:val="20"/>
          <w:color w:val="auto"/>
        </w:rPr>
      </w:pPr>
      <w:r>
        <w:rPr>
          <w:rFonts w:ascii="Arial" w:cs="Arial" w:eastAsia="Arial" w:hAnsi="Arial"/>
          <w:sz w:val="16"/>
          <w:szCs w:val="16"/>
          <w:color w:val="auto"/>
        </w:rPr>
        <w:t>On May 18, 2020, we entered into a multi-year manufacturing services agreement (the “Patheon MSA”) with Patheon Pharmaceuticals Inc. (“Patheon”). Under the Patheon MSA, Patheon has agreed to manufacture and supply tenapanor in oral tablet form (“Product”) to us for sale and distribution, if and when approved for sale in each such territory, by us, or our collaboration partners, in the European Union, the United States, Canada, Japan, and China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spacing w:after="0" w:line="286" w:lineRule="auto"/>
        <w:rPr>
          <w:sz w:val="20"/>
          <w:szCs w:val="20"/>
          <w:color w:val="auto"/>
        </w:rPr>
      </w:pPr>
      <w:r>
        <w:rPr>
          <w:rFonts w:ascii="Arial" w:cs="Arial" w:eastAsia="Arial" w:hAnsi="Arial"/>
          <w:sz w:val="17"/>
          <w:szCs w:val="17"/>
          <w:color w:val="auto"/>
        </w:rPr>
        <w:t>“Territory”). We may purchase Product from other manufacturers but are obligated to purchase from Patheon a certain minimum percent of our overall requirements. So long as we remain in compliance with the terms of the Agreement, Patheon will provide certain exclusivity rights as more fully described in the Patheon MSA.</w:t>
      </w:r>
    </w:p>
    <w:p>
      <w:pPr>
        <w:spacing w:after="0" w:line="165"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The term of the Patheon MSA expires December 31 of the sixth year after the first commercial sale of Product by us or any of our affiliates. Thereafter, the Patheon MSA will automatically renew after the initial term for successive terms unless either we or Patheon gives written notice of intent to terminate the Patheon MSA a certain time before the end of the then current term.</w:t>
      </w:r>
    </w:p>
    <w:p>
      <w:pPr>
        <w:spacing w:after="0" w:line="187" w:lineRule="exact"/>
        <w:rPr>
          <w:sz w:val="20"/>
          <w:szCs w:val="20"/>
          <w:color w:val="auto"/>
        </w:rPr>
      </w:pPr>
    </w:p>
    <w:p>
      <w:pPr>
        <w:ind w:left="60" w:right="239" w:firstLine="324"/>
        <w:spacing w:after="0" w:line="289" w:lineRule="auto"/>
        <w:rPr>
          <w:sz w:val="20"/>
          <w:szCs w:val="20"/>
          <w:color w:val="auto"/>
        </w:rPr>
      </w:pPr>
      <w:r>
        <w:rPr>
          <w:rFonts w:ascii="Arial" w:cs="Arial" w:eastAsia="Arial" w:hAnsi="Arial"/>
          <w:sz w:val="16"/>
          <w:szCs w:val="16"/>
          <w:color w:val="auto"/>
        </w:rPr>
        <w:t>The Patheon MSA may be terminated (i) by either party for the other party’s uncured material breach, (ii) by either party for an event of force majeure that it cannot reasonably mitigate, (iii) by us upon prior written notice if any authority takes action or raises an objection permanently preventing us from selling the Product in the Territory, (iv) by us on prior written notice if we no longer intend to order services for a Product, (v) with us on prior written notice if there have been more than a specified amount of supply failures in a specified period, (vi) by us if Patheon is unable to comply with a product change control request or if a regulatory authority notifies us or Patheon that there is a significant uncured regulatory deficiency related to the performance of the services at Patheon’s manufacturing site, (vii) by Patheon if payment in full of overdue and undisputed invoices is not received within a certain specified time, or (viii) by Patheon if we assign the Patheon MSA to a competitor of Patheon as more fully described in the Patheon MSA.</w:t>
      </w:r>
    </w:p>
    <w:p>
      <w:pPr>
        <w:spacing w:after="0" w:line="166" w:lineRule="exact"/>
        <w:rPr>
          <w:sz w:val="20"/>
          <w:szCs w:val="20"/>
          <w:color w:val="auto"/>
        </w:rPr>
      </w:pPr>
    </w:p>
    <w:p>
      <w:pPr>
        <w:ind w:left="60" w:right="399" w:firstLine="324"/>
        <w:spacing w:after="0" w:line="311" w:lineRule="auto"/>
        <w:rPr>
          <w:sz w:val="20"/>
          <w:szCs w:val="20"/>
          <w:color w:val="auto"/>
        </w:rPr>
      </w:pPr>
      <w:r>
        <w:rPr>
          <w:rFonts w:ascii="Arial" w:cs="Arial" w:eastAsia="Arial" w:hAnsi="Arial"/>
          <w:sz w:val="16"/>
          <w:szCs w:val="16"/>
          <w:color w:val="auto"/>
        </w:rPr>
        <w:t>The Patheon MSA contains, among other provisions, certain warranties by us and Patheon, grants certain limited license rights related to either party’s intellectual property in connection with the manufacturing and supply of Product, provides for certain indemnification rights in favor of both parties and includes confidentiality provisions.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4620" w:type="dxa"/>
            <w:vAlign w:val="bottom"/>
            <w:gridSpan w:val="13"/>
          </w:tcPr>
          <w:p>
            <w:pPr>
              <w:ind w:left="260"/>
              <w:spacing w:after="0"/>
              <w:rPr>
                <w:sz w:val="20"/>
                <w:szCs w:val="20"/>
                <w:color w:val="auto"/>
              </w:rPr>
            </w:pPr>
            <w:r>
              <w:rPr>
                <w:rFonts w:ascii="Arial" w:cs="Arial" w:eastAsia="Arial" w:hAnsi="Arial"/>
                <w:sz w:val="18"/>
                <w:szCs w:val="18"/>
                <w:b w:val="1"/>
                <w:bCs w:val="1"/>
                <w:color w:val="auto"/>
              </w:rPr>
              <w:t>Exhibits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180" w:type="dxa"/>
            <w:vAlign w:val="bottom"/>
            <w:gridSpan w:val="11"/>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Date</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80" w:type="dxa"/>
            <w:vAlign w:val="bottom"/>
            <w:gridSpan w:val="11"/>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60" w:type="dxa"/>
            <w:vAlign w:val="bottom"/>
            <w:tcBorders>
              <w:top w:val="single" w:sz="8" w:color="auto"/>
            </w:tcBorders>
            <w:gridSpan w:val="12"/>
          </w:tcPr>
          <w:p>
            <w:pPr>
              <w:spacing w:after="0" w:line="169"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Offer Letter, dated April 27, 2020, by and between Ardelyx,</w:t>
              </w:r>
            </w:hyperlink>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Inc. and Susan Rodriguez</w:t>
              </w:r>
            </w:hyperlink>
          </w:p>
        </w:tc>
        <w:tc>
          <w:tcPr>
            <w:tcW w:w="2480" w:type="dxa"/>
            <w:vAlign w:val="bottom"/>
            <w:tcBorders>
              <w:top w:val="single" w:sz="8" w:color="0000EE"/>
            </w:tcBorders>
            <w:gridSpan w:val="6"/>
          </w:tcPr>
          <w:p>
            <w:pPr>
              <w:spacing w:after="0"/>
              <w:rPr>
                <w:sz w:val="17"/>
                <w:szCs w:val="17"/>
                <w:color w:val="auto"/>
              </w:rPr>
            </w:pPr>
          </w:p>
        </w:tc>
        <w:tc>
          <w:tcPr>
            <w:tcW w:w="32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Change in Control Severance Agreement, dated June 2, 2020,</w:t>
              </w:r>
            </w:hyperlink>
          </w:p>
        </w:tc>
        <w:tc>
          <w:tcPr>
            <w:tcW w:w="2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40" w:type="dxa"/>
            <w:vAlign w:val="bottom"/>
            <w:gridSpan w:val="14"/>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by and between Ardelyx, Inc. and Susan Rodriquez</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20" w:type="dxa"/>
            <w:vAlign w:val="bottom"/>
            <w:gridSpan w:val="2"/>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4640" w:type="dxa"/>
            <w:vAlign w:val="bottom"/>
            <w:gridSpan w:val="14"/>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Offer Letter, dated June 2, 2020, by and between Ardelyx,</w:t>
              </w:r>
            </w:hyperlink>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Inc. and Justin Renz</w:t>
              </w:r>
            </w:hyperlink>
          </w:p>
        </w:tc>
        <w:tc>
          <w:tcPr>
            <w:tcW w:w="2720" w:type="dxa"/>
            <w:vAlign w:val="bottom"/>
            <w:tcBorders>
              <w:top w:val="single" w:sz="8" w:color="0000EE"/>
            </w:tcBorders>
            <w:gridSpan w:val="6"/>
          </w:tcPr>
          <w:p>
            <w:pPr>
              <w:spacing w:after="0"/>
              <w:rPr>
                <w:sz w:val="17"/>
                <w:szCs w:val="17"/>
                <w:color w:val="auto"/>
              </w:rPr>
            </w:pPr>
          </w:p>
        </w:tc>
        <w:tc>
          <w:tcPr>
            <w:tcW w:w="4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Change in Control Severance Agreement, dated June 8, 2020,</w:t>
              </w:r>
            </w:hyperlink>
          </w:p>
        </w:tc>
        <w:tc>
          <w:tcPr>
            <w:tcW w:w="2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40" w:type="dxa"/>
            <w:vAlign w:val="bottom"/>
            <w:gridSpan w:val="1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by and between Ardelyx, Inc. and Justin Renz</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sz w:val="20"/>
                <w:szCs w:val="20"/>
                <w:color w:val="auto"/>
              </w:rPr>
            </w:pPr>
            <w:r>
              <w:rPr>
                <w:rFonts w:ascii="Arial" w:cs="Arial" w:eastAsia="Arial" w:hAnsi="Arial"/>
                <w:sz w:val="18"/>
                <w:szCs w:val="18"/>
                <w:color w:val="auto"/>
              </w:rPr>
              <w:t>10.5††</w:t>
            </w:r>
          </w:p>
        </w:tc>
        <w:tc>
          <w:tcPr>
            <w:tcW w:w="41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Manufacturing Services Agreement, dated May 18, 2020,</w:t>
              </w:r>
            </w:hyperlink>
          </w:p>
        </w:tc>
        <w:tc>
          <w:tcPr>
            <w:tcW w:w="50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40" w:type="dxa"/>
            <w:vAlign w:val="bottom"/>
            <w:gridSpan w:val="14"/>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between Ardelyx, Inc., and Patheon Pharmaceuticals Inc.</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20" w:type="dxa"/>
            <w:vAlign w:val="bottom"/>
            <w:gridSpan w:val="2"/>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4640" w:type="dxa"/>
            <w:vAlign w:val="bottom"/>
            <w:gridSpan w:val="14"/>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Certification of Chief Executive Officer Pursuant to</w:t>
              </w:r>
            </w:hyperlink>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tcBorders>
              <w:top w:val="single" w:sz="8" w:color="0000EE"/>
            </w:tcBorders>
            <w:gridSpan w:val="7"/>
          </w:tcPr>
          <w:p>
            <w:pPr>
              <w:spacing w:after="0"/>
              <w:rPr>
                <w:rFonts w:ascii="Arial" w:cs="Arial" w:eastAsia="Arial" w:hAnsi="Arial"/>
                <w:sz w:val="18"/>
                <w:szCs w:val="18"/>
                <w:u w:val="single" w:color="auto"/>
                <w:color w:val="0000EE"/>
                <w:w w:val="97"/>
              </w:rPr>
            </w:pPr>
            <w:hyperlink w:anchor="page138">
              <w:r>
                <w:rPr>
                  <w:rFonts w:ascii="Arial" w:cs="Arial" w:eastAsia="Arial" w:hAnsi="Arial"/>
                  <w:sz w:val="18"/>
                  <w:szCs w:val="18"/>
                  <w:u w:val="single" w:color="auto"/>
                  <w:color w:val="0000EE"/>
                  <w:w w:val="97"/>
                </w:rPr>
                <w:t>Section 302 of the Sarbanes-Oxley Act of 2002.</w:t>
              </w:r>
            </w:hyperlink>
          </w:p>
        </w:tc>
        <w:tc>
          <w:tcPr>
            <w:tcW w:w="920" w:type="dxa"/>
            <w:vAlign w:val="bottom"/>
            <w:gridSpan w:val="7"/>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20" w:type="dxa"/>
            <w:vAlign w:val="bottom"/>
            <w:gridSpan w:val="2"/>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36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39">
              <w:r>
                <w:rPr>
                  <w:rFonts w:ascii="Arial" w:cs="Arial" w:eastAsia="Arial" w:hAnsi="Arial"/>
                  <w:sz w:val="18"/>
                  <w:szCs w:val="18"/>
                  <w:color w:val="0000EE"/>
                  <w:w w:val="92"/>
                </w:rPr>
                <w:t>Certification of Chief Financial Officer Pursuant to</w:t>
              </w:r>
            </w:hyperlink>
          </w:p>
        </w:tc>
        <w:tc>
          <w:tcPr>
            <w:tcW w:w="96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40" w:type="dxa"/>
            <w:vAlign w:val="bottom"/>
            <w:gridSpan w:val="14"/>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Section 302 of the Sarbanes-Oxley Act of 2002.</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20" w:type="dxa"/>
            <w:vAlign w:val="bottom"/>
            <w:gridSpan w:val="2"/>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4640" w:type="dxa"/>
            <w:vAlign w:val="bottom"/>
            <w:gridSpan w:val="14"/>
          </w:tcPr>
          <w:p>
            <w:pPr>
              <w:spacing w:after="0"/>
              <w:rPr>
                <w:rFonts w:ascii="Arial" w:cs="Arial" w:eastAsia="Arial" w:hAnsi="Arial"/>
                <w:sz w:val="18"/>
                <w:szCs w:val="18"/>
                <w:color w:val="0000EE"/>
                <w:w w:val="99"/>
              </w:rPr>
            </w:pPr>
            <w:hyperlink w:anchor="page140">
              <w:r>
                <w:rPr>
                  <w:rFonts w:ascii="Arial" w:cs="Arial" w:eastAsia="Arial" w:hAnsi="Arial"/>
                  <w:sz w:val="18"/>
                  <w:szCs w:val="18"/>
                  <w:color w:val="0000EE"/>
                  <w:w w:val="99"/>
                </w:rPr>
                <w:t>Certification of Chief Executive Officer and Chief Financial</w:t>
              </w:r>
            </w:hyperlink>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92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40" w:type="dxa"/>
            <w:vAlign w:val="bottom"/>
            <w:gridSpan w:val="14"/>
          </w:tcPr>
          <w:p>
            <w:pPr>
              <w:spacing w:after="0" w:line="196" w:lineRule="exact"/>
              <w:rPr>
                <w:rFonts w:ascii="Arial" w:cs="Arial" w:eastAsia="Arial" w:hAnsi="Arial"/>
                <w:sz w:val="18"/>
                <w:szCs w:val="18"/>
                <w:color w:val="0000EE"/>
                <w:w w:val="95"/>
              </w:rPr>
            </w:pPr>
            <w:hyperlink w:anchor="page140">
              <w:r>
                <w:rPr>
                  <w:rFonts w:ascii="Arial" w:cs="Arial" w:eastAsia="Arial" w:hAnsi="Arial"/>
                  <w:sz w:val="18"/>
                  <w:szCs w:val="18"/>
                  <w:color w:val="0000EE"/>
                  <w:w w:val="95"/>
                </w:rPr>
                <w:t>Officer Pursuant to Section 906 of the Sarbanes-Oxley Act of</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140">
              <w:r>
                <w:rPr>
                  <w:rFonts w:ascii="Arial" w:cs="Arial" w:eastAsia="Arial" w:hAnsi="Arial"/>
                  <w:sz w:val="18"/>
                  <w:szCs w:val="18"/>
                  <w:color w:val="0000EE"/>
                  <w:w w:val="84"/>
                </w:rPr>
                <w:t>2002.</w:t>
              </w:r>
            </w:hyperlink>
          </w:p>
        </w:tc>
        <w:tc>
          <w:tcPr>
            <w:tcW w:w="10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520" w:type="dxa"/>
            <w:vAlign w:val="bottom"/>
            <w:gridSpan w:val="2"/>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4640" w:type="dxa"/>
            <w:vAlign w:val="bottom"/>
            <w:gridSpan w:val="14"/>
          </w:tcPr>
          <w:p>
            <w:pPr>
              <w:spacing w:after="0"/>
              <w:rPr>
                <w:sz w:val="20"/>
                <w:szCs w:val="20"/>
                <w:color w:val="auto"/>
              </w:rPr>
            </w:pPr>
            <w:r>
              <w:rPr>
                <w:rFonts w:ascii="Arial" w:cs="Arial" w:eastAsia="Arial" w:hAnsi="Arial"/>
                <w:sz w:val="18"/>
                <w:szCs w:val="18"/>
                <w:color w:val="auto"/>
              </w:rPr>
              <w:t>The following financial statements, formatted in Inline</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40" w:type="dxa"/>
            <w:vAlign w:val="bottom"/>
            <w:gridSpan w:val="14"/>
          </w:tcPr>
          <w:p>
            <w:pPr>
              <w:spacing w:after="0"/>
              <w:rPr>
                <w:sz w:val="20"/>
                <w:szCs w:val="20"/>
                <w:color w:val="auto"/>
              </w:rPr>
            </w:pPr>
            <w:r>
              <w:rPr>
                <w:rFonts w:ascii="Arial" w:cs="Arial" w:eastAsia="Arial" w:hAnsi="Arial"/>
                <w:sz w:val="18"/>
                <w:szCs w:val="18"/>
                <w:color w:val="auto"/>
              </w:rPr>
              <w:t>Extensible Business Reporting Language (XBRL):</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40" w:right="3859" w:hanging="9"/>
        <w:spacing w:after="0" w:line="281" w:lineRule="auto"/>
        <w:tabs>
          <w:tab w:leader="none" w:pos="9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Condensed Balance Sheets as of June 30, 2020 and December 31, 2019, (ii) Condensed Statements of Operations and Comprehensive Loss for the three and six months ended June 30, 2020 and 2019, (iii) Condensed Statements of Cash Flows for the six months ended June 30, 2020 and 2019, and</w:t>
      </w:r>
    </w:p>
    <w:p>
      <w:pPr>
        <w:spacing w:after="0" w:line="2" w:lineRule="exact"/>
        <w:rPr>
          <w:rFonts w:ascii="Arial" w:cs="Arial" w:eastAsia="Arial" w:hAnsi="Arial"/>
          <w:sz w:val="16"/>
          <w:szCs w:val="16"/>
          <w:color w:val="auto"/>
        </w:rPr>
      </w:pPr>
    </w:p>
    <w:p>
      <w:pPr>
        <w:ind w:left="1040" w:hanging="30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Notes to Unaudited Condensed Financial Statements.</w:t>
      </w:r>
    </w:p>
    <w:p>
      <w:pPr>
        <w:spacing w:after="0" w:line="9" w:lineRule="exact"/>
        <w:rPr>
          <w:sz w:val="20"/>
          <w:szCs w:val="20"/>
          <w:color w:val="auto"/>
        </w:rPr>
      </w:pPr>
    </w:p>
    <w:p>
      <w:pPr>
        <w:ind w:left="740" w:right="3959" w:hanging="684"/>
        <w:spacing w:after="0" w:line="260"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wp:posOffset>
            </wp:positionV>
            <wp:extent cx="14141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Indicated management contract or compensatory plan.</w:t>
      </w:r>
    </w:p>
    <w:p>
      <w:pPr>
        <w:spacing w:after="0" w:line="225" w:lineRule="exact"/>
        <w:rPr>
          <w:sz w:val="20"/>
          <w:szCs w:val="20"/>
          <w:color w:val="auto"/>
        </w:rPr>
      </w:pPr>
    </w:p>
    <w:p>
      <w:pPr>
        <w:ind w:left="60" w:right="279" w:hanging="10"/>
        <w:spacing w:after="0" w:line="277" w:lineRule="auto"/>
        <w:tabs>
          <w:tab w:leader="none" w:pos="2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would likely cause competitive harm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40" w:type="dxa"/>
            <w:vAlign w:val="bottom"/>
            <w:gridSpan w:val="2"/>
          </w:tcPr>
          <w:p>
            <w:pPr>
              <w:ind w:left="1420"/>
              <w:spacing w:after="0"/>
              <w:rPr>
                <w:sz w:val="20"/>
                <w:szCs w:val="20"/>
                <w:color w:val="auto"/>
              </w:rPr>
            </w:pPr>
            <w:r>
              <w:rPr>
                <w:rFonts w:ascii="Arial" w:cs="Arial" w:eastAsia="Arial" w:hAnsi="Arial"/>
                <w:sz w:val="18"/>
                <w:szCs w:val="18"/>
                <w:b w:val="1"/>
                <w:bCs w:val="1"/>
                <w:color w:val="auto"/>
              </w:rPr>
              <w:t>Ardelyx, Inc.</w:t>
            </w:r>
          </w:p>
        </w:tc>
      </w:tr>
      <w:tr>
        <w:trPr>
          <w:trHeight w:val="648"/>
        </w:trPr>
        <w:tc>
          <w:tcPr>
            <w:tcW w:w="2960" w:type="dxa"/>
            <w:vAlign w:val="bottom"/>
          </w:tcPr>
          <w:p>
            <w:pPr>
              <w:spacing w:after="0"/>
              <w:rPr>
                <w:sz w:val="20"/>
                <w:szCs w:val="20"/>
                <w:color w:val="auto"/>
              </w:rPr>
            </w:pPr>
            <w:r>
              <w:rPr>
                <w:rFonts w:ascii="Arial" w:cs="Arial" w:eastAsia="Arial" w:hAnsi="Arial"/>
                <w:sz w:val="18"/>
                <w:szCs w:val="18"/>
                <w:color w:val="auto"/>
              </w:rPr>
              <w:t>Date: August 6, 2020</w:t>
            </w:r>
          </w:p>
        </w:tc>
        <w:tc>
          <w:tcPr>
            <w:tcW w:w="5940" w:type="dxa"/>
            <w:vAlign w:val="bottom"/>
            <w:gridSpan w:val="2"/>
          </w:tcPr>
          <w:p>
            <w:pPr>
              <w:ind w:left="1420"/>
              <w:spacing w:after="0"/>
              <w:rPr>
                <w:sz w:val="20"/>
                <w:szCs w:val="20"/>
                <w:color w:val="auto"/>
              </w:rPr>
            </w:pPr>
            <w:r>
              <w:rPr>
                <w:rFonts w:ascii="Arial" w:cs="Arial" w:eastAsia="Arial" w:hAnsi="Arial"/>
                <w:sz w:val="18"/>
                <w:szCs w:val="18"/>
                <w:color w:val="auto"/>
              </w:rPr>
              <w:t>By:/s/ Justin Renz</w:t>
            </w:r>
          </w:p>
        </w:tc>
      </w:tr>
      <w:tr>
        <w:trPr>
          <w:trHeight w:val="191"/>
        </w:trPr>
        <w:tc>
          <w:tcPr>
            <w:tcW w:w="2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Justin Renz</w:t>
            </w:r>
          </w:p>
        </w:tc>
      </w:tr>
      <w:tr>
        <w:trPr>
          <w:trHeight w:val="216"/>
        </w:trPr>
        <w:tc>
          <w:tcPr>
            <w:tcW w:w="2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34"/>
        </w:trPr>
        <w:tc>
          <w:tcPr>
            <w:tcW w:w="2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w w:val="99"/>
              </w:rPr>
              <w:t>(Chief Accounting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171450</wp:posOffset>
            </wp:positionV>
            <wp:extent cx="1645920" cy="6172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459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34175 Ardenwood Blvd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Fremont, CA 94555</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(510) 745-1700 – Tele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(510) 745-0493 – Fax</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www.ardelyx.com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April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Susan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Susan: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behalf of Ardelyx (the “Company”), I am pleased to offer you employment in the exempt position of Chief Commercial Officer reporting to the Chief Executive Officer, responsible for Commercial, Business Development and Alliance Management. This letter sets out the terms of Ardelyx’s offer of employment, which is contingent upon the completion of reference checks to Ardelyx’s satisfaction. If you accept this offer, you will be required to execute the Company’s standard form of employee non-disclosure and assignment of inventions agreement. In addition, you and the Company will enter into a Change in Control Severance Agreement that will further define some of the provisions set forth in this offer letter (the “Severance Agreement”).</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Your first day of full-time employment with Ardelyx is currently expected to be on or before May 18, 2020. Your full time starting base salary will be $18,333.34 semi-monthly, which is equivalent to $440,000.00 per year, less applicable tax and other withholdings in accordance with the Company’s normal payroll procedure. You will also be eligible to receive an annual bonus of up to forty percent (40%) of your base salary, with the amount of the bonus determined by the Board of Directors based the performance of the Company. Your awarded bonus for 2020 will not be pro-rated.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your first day of employment, you will be granted an option to purchase shares of Company common stock under a Company equity incentive plan which stock option shall have an accounting grant date fair value of $1.25M. Your option will be exercisable at a per share exercise price equal to the fair market value of Ardelyx stock on your option grant date. Your option will vest over a period of 4 years, with 25% of the shares vesting at the end of your first year of employment, and the remainder vesting monthly over the following three years and will be subject to the terms and conditions of the Company’s equity incentive plan and standard form of stock option agreement, which you will be required to sign as a condition of receiving the option.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on your first day of employment, you will be granted a Restricted Stock Unit (RSU). The RSU will be for 20,000 shares of common stock of the Company and will vest in full upon the acceptance for filing by the Food and Drug Administration of a New Drug Application (“NDA”) for tenapanor for the treatment of hyperphosphatemia; provided that if the NDA is not accepted on or before December 31, 2020, the RSU shall be terminated for no consideration. The RSU granted to you will be subject to the terms and conditions of the Company’s equity incentive plan and standard form of full value award, which you will be required to sign as a condition of receiving the RSU. The Company’s standard terms of the full value award requires an automatic sell to cover applicable withholding taxes prior to the settlement of any vested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jc w:val="both"/>
        <w:spacing w:after="0" w:line="311" w:lineRule="auto"/>
        <w:rPr>
          <w:sz w:val="20"/>
          <w:szCs w:val="20"/>
          <w:color w:val="auto"/>
        </w:rPr>
      </w:pPr>
      <w:r>
        <w:rPr>
          <w:rFonts w:ascii="Arial" w:cs="Arial" w:eastAsia="Arial" w:hAnsi="Arial"/>
          <w:sz w:val="16"/>
          <w:szCs w:val="16"/>
          <w:color w:val="auto"/>
        </w:rPr>
        <w:t>You will be eligible to participate in various Company equity and benefit plans, including group health insurance, 401(k), and the Employee Stock Purchase Plan. You will earn three weeks of vacation each year. You will be eligible for salary increases and additional equity grants in accordance with the Company’s practice. Your salary increase and equity grant for 2021 will not be pro-rated.</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this offer of employment is accepted, your employment with the Company will be “at will.” This means it is for no specified term and may be terminated by you or the Company at any time, with or without cause or advance notice. In addition, the Company reserves the right to modify your compensation, position, duties or reporting relationship to meet business needs and to decide on appropriate discipline. The Severance Agreement will provide, subject to the terms and conditions thereof, for (i) twelve month salary continuation and the payment of healthcare continuation costs for twelves months, if you terminate your employment for good reason or you are terminated without cause, in either case, outside of a change of control period, and (ii) a lump sum payment equal to 100% of the sum of twelve months of your base salary and your target annual bonus for the year of termination; the payment of healthcare continuation costs for 12 months; and the vesting of 100% of your unvested stock options and RSUs, if you terminate your employment for good reason or you are terminated without cause, in either case during a change of control period.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Please sign and date this letter on the spaces provided below to acknowledge your acceptance of the terms of this agreement and return it to me prior to or on 10:00 am EST, April 27, 2020 at which time this offer shall expire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Susan, it has been a real pleasure meeting you and all of us here at Ardelyx concur that you are an excellent fit with our team, and we look forward to working with you at Ardelyx.</w:t>
      </w:r>
    </w:p>
    <w:p>
      <w:pPr>
        <w:spacing w:after="0" w:line="38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Ardelyx, Inc.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Mike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9400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Mike Raab</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agree to and accept employment with Ardelyx on the terms and conditions set forth in this agreement. I understand and agree that my employment with the Company is at-will.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w w:val="95"/>
              </w:rPr>
              <w:t>Date: April 29, 2020</w:t>
            </w:r>
          </w:p>
        </w:tc>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Rodriguez</w:t>
            </w:r>
          </w:p>
        </w:tc>
      </w:tr>
      <w:tr>
        <w:trPr>
          <w:trHeight w:val="224"/>
        </w:trPr>
        <w:tc>
          <w:tcPr>
            <w:tcW w:w="15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Susan Rodriguez</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w w:val="92"/>
              </w:rPr>
              <w:t>Tentative Start Date:</w:t>
            </w:r>
          </w:p>
        </w:tc>
        <w:tc>
          <w:tcPr>
            <w:tcW w:w="30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986"/>
        </w:trPr>
        <w:tc>
          <w:tcPr>
            <w:tcW w:w="15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1" w:right="99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ARDELYX,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SEVERANCE AGREEMENT</w:t>
      </w:r>
    </w:p>
    <w:p>
      <w:pPr>
        <w:spacing w:after="0" w:line="212"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This Change in Control Severance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by and between Susan Rodriguez (the “</w:t>
      </w:r>
      <w:r>
        <w:rPr>
          <w:rFonts w:ascii="Arial" w:cs="Arial" w:eastAsia="Arial" w:hAnsi="Arial"/>
          <w:sz w:val="22"/>
          <w:szCs w:val="22"/>
          <w:u w:val="single" w:color="auto"/>
          <w:color w:val="auto"/>
        </w:rPr>
        <w:t>Executive</w:t>
      </w:r>
      <w:r>
        <w:rPr>
          <w:rFonts w:ascii="Arial" w:cs="Arial" w:eastAsia="Arial" w:hAnsi="Arial"/>
          <w:sz w:val="22"/>
          <w:szCs w:val="22"/>
          <w:color w:val="auto"/>
        </w:rPr>
        <w:t>”) and Ardelyx, Inc. (the “</w:t>
      </w:r>
      <w:r>
        <w:rPr>
          <w:rFonts w:ascii="Arial" w:cs="Arial" w:eastAsia="Arial" w:hAnsi="Arial"/>
          <w:sz w:val="22"/>
          <w:szCs w:val="22"/>
          <w:u w:val="single" w:color="auto"/>
          <w:color w:val="auto"/>
        </w:rPr>
        <w:t>Company</w:t>
      </w:r>
      <w:r>
        <w:rPr>
          <w:rFonts w:ascii="Arial" w:cs="Arial" w:eastAsia="Arial" w:hAnsi="Arial"/>
          <w:sz w:val="22"/>
          <w:szCs w:val="22"/>
          <w:color w:val="auto"/>
        </w:rPr>
        <w:t>”), effective as May 18, 2020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ind w:right="100" w:firstLine="656"/>
        <w:spacing w:after="0" w:line="246" w:lineRule="auto"/>
        <w:tabs>
          <w:tab w:leader="none" w:pos="1290" w:val="left"/>
        </w:tabs>
        <w:numPr>
          <w:ilvl w:val="0"/>
          <w:numId w:val="43"/>
        </w:numPr>
        <w:rPr>
          <w:rFonts w:ascii="Arial" w:cs="Arial" w:eastAsia="Arial" w:hAnsi="Arial"/>
          <w:sz w:val="21"/>
          <w:szCs w:val="21"/>
          <w:color w:val="auto"/>
        </w:rPr>
      </w:pPr>
      <w:r>
        <w:rPr>
          <w:rFonts w:ascii="Arial" w:cs="Arial" w:eastAsia="Arial" w:hAnsi="Arial"/>
          <w:sz w:val="21"/>
          <w:szCs w:val="21"/>
          <w:color w:val="auto"/>
        </w:rPr>
        <w:t>It is expected that the Company from time to time will consider the possibility of an acquisition by another company or other change in control.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recognizes that such consideration as well as the possibility of an involuntary termination or reduction in responsibility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84" w:lineRule="exact"/>
        <w:rPr>
          <w:rFonts w:ascii="Arial" w:cs="Arial" w:eastAsia="Arial" w:hAnsi="Arial"/>
          <w:sz w:val="21"/>
          <w:szCs w:val="21"/>
          <w:color w:val="auto"/>
        </w:rPr>
      </w:pPr>
    </w:p>
    <w:p>
      <w:pPr>
        <w:ind w:firstLine="656"/>
        <w:spacing w:after="0" w:line="297" w:lineRule="auto"/>
        <w:tabs>
          <w:tab w:leader="none" w:pos="13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33" w:lineRule="exact"/>
        <w:rPr>
          <w:rFonts w:ascii="Arial" w:cs="Arial" w:eastAsia="Arial" w:hAnsi="Arial"/>
          <w:sz w:val="19"/>
          <w:szCs w:val="19"/>
          <w:color w:val="auto"/>
        </w:rPr>
      </w:pPr>
    </w:p>
    <w:p>
      <w:pPr>
        <w:ind w:right="60" w:firstLine="656"/>
        <w:spacing w:after="0" w:line="238" w:lineRule="auto"/>
        <w:tabs>
          <w:tab w:leader="none" w:pos="1328"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184" w:lineRule="exact"/>
        <w:rPr>
          <w:rFonts w:ascii="Arial" w:cs="Arial" w:eastAsia="Arial" w:hAnsi="Arial"/>
          <w:sz w:val="22"/>
          <w:szCs w:val="22"/>
          <w:color w:val="auto"/>
        </w:rPr>
      </w:pPr>
    </w:p>
    <w:p>
      <w:pPr>
        <w:ind w:right="320" w:firstLine="656"/>
        <w:spacing w:after="0" w:line="250" w:lineRule="auto"/>
        <w:tabs>
          <w:tab w:leader="none" w:pos="128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certain transition payments as an incentive to join the Company.</w:t>
      </w:r>
    </w:p>
    <w:p>
      <w:pPr>
        <w:spacing w:after="0" w:line="175" w:lineRule="exact"/>
        <w:rPr>
          <w:sz w:val="20"/>
          <w:szCs w:val="20"/>
          <w:color w:val="auto"/>
        </w:rPr>
      </w:pPr>
    </w:p>
    <w:p>
      <w:pPr>
        <w:ind w:left="660" w:right="1660" w:hanging="4"/>
        <w:spacing w:after="0" w:line="435" w:lineRule="auto"/>
        <w:tabs>
          <w:tab w:leader="none" w:pos="1332" w:val="left"/>
        </w:tabs>
        <w:numPr>
          <w:ilvl w:val="0"/>
          <w:numId w:val="44"/>
        </w:numPr>
        <w:rPr>
          <w:rFonts w:ascii="Arial" w:cs="Arial" w:eastAsia="Arial" w:hAnsi="Arial"/>
          <w:sz w:val="22"/>
          <w:szCs w:val="22"/>
          <w:color w:val="auto"/>
        </w:rPr>
      </w:pPr>
      <w:r>
        <w:rPr>
          <w:rFonts w:ascii="Arial" w:cs="Arial" w:eastAsia="Arial" w:hAnsi="Arial"/>
          <w:sz w:val="22"/>
          <w:szCs w:val="22"/>
          <w:color w:val="auto"/>
        </w:rPr>
        <w:t>Certain capitalized terms used in this Agreement are defined in Section 8 below. The parties hereto agree as follows:</w:t>
      </w:r>
    </w:p>
    <w:p>
      <w:pPr>
        <w:spacing w:after="0" w:line="1" w:lineRule="exact"/>
        <w:rPr>
          <w:sz w:val="20"/>
          <w:szCs w:val="20"/>
          <w:color w:val="auto"/>
        </w:rPr>
      </w:pPr>
    </w:p>
    <w:p>
      <w:pPr>
        <w:ind w:right="40" w:firstLine="656"/>
        <w:spacing w:after="0" w:line="328" w:lineRule="auto"/>
        <w:tabs>
          <w:tab w:leader="none" w:pos="129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This Agreement shall become effective as of the Effective Date and terminate upon the date that all obligations of the parties hereto with respect to this Agreement have been satisfied.</w:t>
      </w:r>
    </w:p>
    <w:p>
      <w:pPr>
        <w:spacing w:after="0" w:line="104" w:lineRule="exact"/>
        <w:rPr>
          <w:rFonts w:ascii="Arial" w:cs="Arial" w:eastAsia="Arial" w:hAnsi="Arial"/>
          <w:sz w:val="19"/>
          <w:szCs w:val="19"/>
          <w:color w:val="auto"/>
        </w:rPr>
      </w:pPr>
    </w:p>
    <w:p>
      <w:pPr>
        <w:ind w:right="140" w:firstLine="656"/>
        <w:spacing w:after="0" w:line="250" w:lineRule="auto"/>
        <w:tabs>
          <w:tab w:leader="none" w:pos="1296"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shall continue to be “at-will,” as defined under applicable law. If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5" w:name="page76"/>
    <w:bookmarkEnd w:id="75"/>
    <w:p>
      <w:pPr>
        <w:ind w:right="20"/>
        <w:spacing w:after="0" w:line="250" w:lineRule="auto"/>
        <w:rPr>
          <w:sz w:val="20"/>
          <w:szCs w:val="20"/>
          <w:color w:val="auto"/>
        </w:rPr>
      </w:pPr>
      <w:r>
        <w:rPr>
          <w:rFonts w:ascii="Arial" w:cs="Arial" w:eastAsia="Arial" w:hAnsi="Arial"/>
          <w:sz w:val="22"/>
          <w:szCs w:val="22"/>
          <w:color w:val="auto"/>
        </w:rPr>
        <w:t>employment terminates for any reason, Executive shall not be entitled to any payments, benefits, damages, awards or compensation other than as provided by this Agreement.</w:t>
      </w:r>
    </w:p>
    <w:p>
      <w:pPr>
        <w:spacing w:after="0" w:line="175" w:lineRule="exact"/>
        <w:rPr>
          <w:sz w:val="20"/>
          <w:szCs w:val="20"/>
          <w:color w:val="auto"/>
        </w:rPr>
      </w:pPr>
    </w:p>
    <w:p>
      <w:pPr>
        <w:ind w:right="20" w:firstLine="656"/>
        <w:spacing w:after="0" w:line="246" w:lineRule="auto"/>
        <w:tabs>
          <w:tab w:leader="none" w:pos="1296"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Covered Termination Other Than During a Change in Control Period</w:t>
      </w:r>
      <w:r>
        <w:rPr>
          <w:rFonts w:ascii="Arial" w:cs="Arial" w:eastAsia="Arial" w:hAnsi="Arial"/>
          <w:sz w:val="21"/>
          <w:szCs w:val="21"/>
          <w:color w:val="auto"/>
        </w:rPr>
        <w:t>. If Executive experiences a Covered Termination other than during a Change in Control Period, and if Executive delivers to the Company a general release of all claims against the Company and its affiliates in a form acceptable to the Company (a “</w:t>
      </w:r>
      <w:r>
        <w:rPr>
          <w:rFonts w:ascii="Arial" w:cs="Arial" w:eastAsia="Arial" w:hAnsi="Arial"/>
          <w:sz w:val="21"/>
          <w:szCs w:val="21"/>
          <w:u w:val="single" w:color="auto"/>
          <w:color w:val="auto"/>
        </w:rPr>
        <w:t>Release of Claims</w:t>
      </w:r>
      <w:r>
        <w:rPr>
          <w:rFonts w:ascii="Arial" w:cs="Arial" w:eastAsia="Arial" w:hAnsi="Arial"/>
          <w:sz w:val="21"/>
          <w:szCs w:val="21"/>
          <w:color w:val="auto"/>
        </w:rPr>
        <w:t>”) that becomes effective and irrevocable within sixty (60) days, or such shorter period of time specified by the Company, following such Covered Termination, then in addition to any accrued but unpaid salary, bonus, vacation and expense reimbursement payable in accordance with applicable law, the Company shall provide Executive with the following:</w:t>
      </w:r>
    </w:p>
    <w:p>
      <w:pPr>
        <w:spacing w:after="0" w:line="184" w:lineRule="exact"/>
        <w:rPr>
          <w:sz w:val="20"/>
          <w:szCs w:val="20"/>
          <w:color w:val="auto"/>
        </w:rPr>
      </w:pPr>
    </w:p>
    <w:p>
      <w:pPr>
        <w:ind w:left="660" w:right="260" w:hanging="4"/>
        <w:spacing w:after="0" w:line="282" w:lineRule="auto"/>
        <w:tabs>
          <w:tab w:leader="none" w:pos="133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Executive shall be entitled to receive an amount equal to nine (9) months of Executive’s Base Salary payable in substantially equal installments in accordance with the Company’s normal payroll policies, less applicable withholdings, with such installments to commence as soon as administratively practicable following the date the Release of Claims is not subject to revocation and, in any event, within sixty (60) days following the date of the Covered Termination.</w:t>
      </w:r>
    </w:p>
    <w:p>
      <w:pPr>
        <w:spacing w:after="0" w:line="147" w:lineRule="exact"/>
        <w:rPr>
          <w:rFonts w:ascii="Arial" w:cs="Arial" w:eastAsia="Arial" w:hAnsi="Arial"/>
          <w:sz w:val="19"/>
          <w:szCs w:val="19"/>
          <w:color w:val="auto"/>
        </w:rPr>
      </w:pPr>
    </w:p>
    <w:p>
      <w:pPr>
        <w:ind w:left="660" w:hanging="4"/>
        <w:spacing w:after="0" w:line="271" w:lineRule="auto"/>
        <w:tabs>
          <w:tab w:leader="none" w:pos="1344"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If Executive elects to receive continued healthcare coverage pursuant to the provisions of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 Company shall directly pay, or reimburse Executive for, the premium for Executive and Executive’s covered dependents through the earlier of (i) the first (1</w:t>
      </w:r>
      <w:r>
        <w:rPr>
          <w:rFonts w:ascii="Arial" w:cs="Arial" w:eastAsia="Arial" w:hAnsi="Arial"/>
          <w:sz w:val="14"/>
          <w:szCs w:val="14"/>
          <w:color w:val="auto"/>
        </w:rPr>
        <w:t>st</w:t>
      </w:r>
      <w:r>
        <w:rPr>
          <w:rFonts w:ascii="Arial" w:cs="Arial" w:eastAsia="Arial" w:hAnsi="Arial"/>
          <w:sz w:val="19"/>
          <w:szCs w:val="19"/>
          <w:color w:val="auto"/>
        </w:rPr>
        <w:t>) anniversary of the date of Executive’s termination of employment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 (b), Executive may, if eligible, elect to continue healthcare coverage at Executive’s expense in accordance the provisions of COBRA.</w:t>
      </w:r>
    </w:p>
    <w:p>
      <w:pPr>
        <w:spacing w:after="0" w:line="164" w:lineRule="exact"/>
        <w:rPr>
          <w:sz w:val="20"/>
          <w:szCs w:val="20"/>
          <w:color w:val="auto"/>
        </w:rPr>
      </w:pPr>
    </w:p>
    <w:p>
      <w:pPr>
        <w:ind w:right="20" w:firstLine="656"/>
        <w:spacing w:after="0" w:line="235" w:lineRule="auto"/>
        <w:tabs>
          <w:tab w:leader="none" w:pos="129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Covered Termination During a Change in Control Period</w:t>
      </w:r>
      <w:r>
        <w:rPr>
          <w:rFonts w:ascii="Arial" w:cs="Arial" w:eastAsia="Arial" w:hAnsi="Arial"/>
          <w:sz w:val="22"/>
          <w:szCs w:val="22"/>
          <w:color w:val="auto"/>
        </w:rPr>
        <w:t>. If Executive experiences a Covered Termination during a Change in Control Period, and if Executive delivers to the Company a Release of Claims that becomes effective and irrevocable within sixty (60) days, or such shorter period of time specified by the Company, following such Covered Termination, then in addition to any accrued but unpaid salary, bonus, vacation and expense reimbursement payable in accordance with applicable law, the Company shall provide Executive with the following:</w:t>
      </w:r>
    </w:p>
    <w:p>
      <w:pPr>
        <w:spacing w:after="0" w:line="188" w:lineRule="exact"/>
        <w:rPr>
          <w:sz w:val="20"/>
          <w:szCs w:val="20"/>
          <w:color w:val="auto"/>
        </w:rPr>
      </w:pPr>
    </w:p>
    <w:p>
      <w:pPr>
        <w:ind w:left="1320" w:hanging="664"/>
        <w:spacing w:after="0"/>
        <w:tabs>
          <w:tab w:leader="none" w:pos="132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Executive shall be entitled to receive an amount equal to one hundred percent of the</w:t>
      </w:r>
    </w:p>
    <w:p>
      <w:pPr>
        <w:spacing w:after="0" w:line="42" w:lineRule="exact"/>
        <w:rPr>
          <w:rFonts w:ascii="Arial" w:cs="Arial" w:eastAsia="Arial" w:hAnsi="Arial"/>
          <w:sz w:val="19"/>
          <w:szCs w:val="19"/>
          <w:color w:val="auto"/>
        </w:rPr>
      </w:pPr>
    </w:p>
    <w:p>
      <w:pPr>
        <w:ind w:left="660" w:right="920"/>
        <w:spacing w:after="0" w:line="236" w:lineRule="auto"/>
        <w:rPr>
          <w:rFonts w:ascii="Arial" w:cs="Arial" w:eastAsia="Arial" w:hAnsi="Arial"/>
          <w:sz w:val="19"/>
          <w:szCs w:val="19"/>
          <w:color w:val="auto"/>
        </w:rPr>
      </w:pPr>
      <w:r>
        <w:rPr>
          <w:rFonts w:ascii="Arial" w:cs="Arial" w:eastAsia="Arial" w:hAnsi="Arial"/>
          <w:sz w:val="22"/>
          <w:szCs w:val="22"/>
          <w:color w:val="auto"/>
        </w:rPr>
        <w:t>sum of: (i) Executive’s Base Salary and (ii) Executive’s target annual bonus for the fiscal year of Executive’s termination, in each case, at the rate in effect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77" w:right="999" w:bottom="1440" w:gutter="0" w:footer="0" w:header="0"/>
        </w:sectPr>
      </w:pPr>
    </w:p>
    <w:bookmarkStart w:id="76" w:name="page77"/>
    <w:bookmarkEnd w:id="76"/>
    <w:p>
      <w:pPr>
        <w:ind w:left="640" w:right="60"/>
        <w:spacing w:after="0" w:line="297" w:lineRule="auto"/>
        <w:rPr>
          <w:sz w:val="20"/>
          <w:szCs w:val="20"/>
          <w:color w:val="auto"/>
        </w:rPr>
      </w:pPr>
      <w:r>
        <w:rPr>
          <w:rFonts w:ascii="Arial" w:cs="Arial" w:eastAsia="Arial" w:hAnsi="Arial"/>
          <w:sz w:val="19"/>
          <w:szCs w:val="19"/>
          <w:color w:val="auto"/>
        </w:rPr>
        <w:t>prior to Executive’s termination of employment payable in a cash lump sum, less applicable withholdings, as soon as administratively practicable following the date the Release of Claims is not subject to revocation and, in any event, within sixty (60) days following the date of the Covered Termination.</w:t>
      </w:r>
    </w:p>
    <w:p>
      <w:pPr>
        <w:spacing w:after="0" w:line="134" w:lineRule="exact"/>
        <w:rPr>
          <w:sz w:val="20"/>
          <w:szCs w:val="20"/>
          <w:color w:val="auto"/>
        </w:rPr>
      </w:pPr>
    </w:p>
    <w:p>
      <w:pPr>
        <w:ind w:left="640" w:right="140" w:hanging="4"/>
        <w:spacing w:after="0" w:line="277" w:lineRule="auto"/>
        <w:tabs>
          <w:tab w:leader="none" w:pos="1324"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one hundred percent (100%) of the shares subject thereto. To the extent vested after giving effect to the acceleration provided in the preceding sentence, each stock option held by Executive shall remain exercisable until the earlier of the original expiration date for such stock option or the first anniversary of Executive’s Covered Termination.</w:t>
      </w:r>
    </w:p>
    <w:p>
      <w:pPr>
        <w:spacing w:after="0" w:line="151" w:lineRule="exact"/>
        <w:rPr>
          <w:rFonts w:ascii="Arial" w:cs="Arial" w:eastAsia="Arial" w:hAnsi="Arial"/>
          <w:sz w:val="19"/>
          <w:szCs w:val="19"/>
          <w:color w:val="auto"/>
        </w:rPr>
      </w:pPr>
    </w:p>
    <w:p>
      <w:pPr>
        <w:ind w:left="640" w:hanging="4"/>
        <w:spacing w:after="0" w:line="271" w:lineRule="auto"/>
        <w:tabs>
          <w:tab w:leader="none" w:pos="131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If Executive elects to receive continued healthcare coverage pursuant to the provisions of COBRA, the Company shall directly pay, or reimburse Executive for, the premium for Executive and Executive’s covered dependents through the earlier of (i) the first (1</w:t>
      </w:r>
      <w:r>
        <w:rPr>
          <w:rFonts w:ascii="Arial" w:cs="Arial" w:eastAsia="Arial" w:hAnsi="Arial"/>
          <w:sz w:val="14"/>
          <w:szCs w:val="14"/>
          <w:color w:val="auto"/>
        </w:rPr>
        <w:t>st</w:t>
      </w:r>
      <w:r>
        <w:rPr>
          <w:rFonts w:ascii="Arial" w:cs="Arial" w:eastAsia="Arial" w:hAnsi="Arial"/>
          <w:sz w:val="19"/>
          <w:szCs w:val="19"/>
          <w:color w:val="auto"/>
        </w:rPr>
        <w:t>) anniversary of the date of Executive’s termination of employment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5(c), Executive may, if eligible, elect to continue healthcare coverage at Executive’s expense in accordance the provisions of COBRA.</w:t>
      </w:r>
    </w:p>
    <w:p>
      <w:pPr>
        <w:spacing w:after="0" w:line="200" w:lineRule="exact"/>
        <w:rPr>
          <w:sz w:val="20"/>
          <w:szCs w:val="20"/>
          <w:color w:val="auto"/>
        </w:rPr>
      </w:pPr>
    </w:p>
    <w:p>
      <w:pPr>
        <w:spacing w:after="0" w:line="211" w:lineRule="exact"/>
        <w:rPr>
          <w:sz w:val="20"/>
          <w:szCs w:val="20"/>
          <w:color w:val="auto"/>
        </w:rPr>
      </w:pPr>
    </w:p>
    <w:p>
      <w:pPr>
        <w:ind w:left="-20" w:right="40" w:firstLine="656"/>
        <w:spacing w:after="0" w:line="236" w:lineRule="auto"/>
        <w:tabs>
          <w:tab w:leader="none" w:pos="1276"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Executive’s service with the Company is terminated by the Company or by Executive for any or no reason other than as a Covered Termination,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spacing w:after="0" w:line="187" w:lineRule="exact"/>
        <w:rPr>
          <w:rFonts w:ascii="Arial" w:cs="Arial" w:eastAsia="Arial" w:hAnsi="Arial"/>
          <w:sz w:val="22"/>
          <w:szCs w:val="22"/>
          <w:color w:val="auto"/>
        </w:rPr>
      </w:pPr>
    </w:p>
    <w:p>
      <w:pPr>
        <w:ind w:left="-20" w:right="120" w:firstLine="656"/>
        <w:spacing w:after="0" w:line="275" w:lineRule="auto"/>
        <w:tabs>
          <w:tab w:leader="none" w:pos="127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Notwithstanding anything in this Agreement to the contrary, if any payment or distribution Executive would receive pursuant to this Agreement or otherwise (“</w:t>
      </w:r>
      <w:r>
        <w:rPr>
          <w:rFonts w:ascii="Arial" w:cs="Arial" w:eastAsia="Arial" w:hAnsi="Arial"/>
          <w:sz w:val="19"/>
          <w:szCs w:val="19"/>
          <w:u w:val="single" w:color="auto"/>
          <w:color w:val="auto"/>
        </w:rPr>
        <w:t>Payment</w:t>
      </w:r>
      <w:r>
        <w:rPr>
          <w:rFonts w:ascii="Arial" w:cs="Arial" w:eastAsia="Arial" w:hAnsi="Arial"/>
          <w:sz w:val="19"/>
          <w:szCs w:val="19"/>
          <w:color w:val="auto"/>
        </w:rPr>
        <w:t>”) would (a) constitute a “parachute payment” within the meaning of Section 280G of the Code, and (b) but for this sentence,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18" w:right="1019" w:bottom="1440" w:gutter="0" w:footer="0" w:header="0"/>
        </w:sectPr>
      </w:pPr>
    </w:p>
    <w:bookmarkStart w:id="77" w:name="page78"/>
    <w:bookmarkEnd w:id="77"/>
    <w:p>
      <w:pPr>
        <w:ind w:right="40"/>
        <w:spacing w:after="0" w:line="273" w:lineRule="auto"/>
        <w:rPr>
          <w:sz w:val="20"/>
          <w:szCs w:val="20"/>
          <w:color w:val="auto"/>
        </w:rPr>
      </w:pPr>
      <w:r>
        <w:rPr>
          <w:rFonts w:ascii="Arial" w:cs="Arial" w:eastAsia="Arial" w:hAnsi="Arial"/>
          <w:sz w:val="19"/>
          <w:szCs w:val="19"/>
          <w:color w:val="auto"/>
        </w:rPr>
        <w:t>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7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61"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Definition of Terms</w:t>
      </w:r>
      <w:r>
        <w:rPr>
          <w:rFonts w:ascii="Arial" w:cs="Arial" w:eastAsia="Arial" w:hAnsi="Arial"/>
          <w:sz w:val="19"/>
          <w:szCs w:val="19"/>
          <w:color w:val="auto"/>
        </w:rPr>
        <w:t>. The following terms referred to in this Agreement shall have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188" w:lineRule="exact"/>
        <w:rPr>
          <w:rFonts w:ascii="Arial" w:cs="Arial" w:eastAsia="Arial" w:hAnsi="Arial"/>
          <w:sz w:val="19"/>
          <w:szCs w:val="19"/>
          <w:color w:val="auto"/>
        </w:rPr>
      </w:pPr>
    </w:p>
    <w:p>
      <w:pPr>
        <w:ind w:right="320" w:firstLine="1304"/>
        <w:spacing w:after="0"/>
        <w:tabs>
          <w:tab w:leader="none" w:pos="1968"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w:t>
      </w:r>
      <w:r>
        <w:rPr>
          <w:rFonts w:ascii="Arial" w:cs="Arial" w:eastAsia="Arial" w:hAnsi="Arial"/>
          <w:sz w:val="22"/>
          <w:szCs w:val="22"/>
          <w:u w:val="single" w:color="auto"/>
          <w:color w:val="auto"/>
        </w:rPr>
        <w:t>Base Salary</w:t>
      </w:r>
      <w:r>
        <w:rPr>
          <w:rFonts w:ascii="Arial" w:cs="Arial" w:eastAsia="Arial" w:hAnsi="Arial"/>
          <w:sz w:val="22"/>
          <w:szCs w:val="22"/>
          <w:color w:val="auto"/>
        </w:rPr>
        <w:t>” means Executive’s annual base salary in effect immediately prior to Executive’s termination (disregarding any reduction in base salary that would give rise to Executive’s right to a Voluntary Resignation for Good Reason).</w:t>
      </w:r>
    </w:p>
    <w:p>
      <w:pPr>
        <w:spacing w:after="0" w:line="186" w:lineRule="exact"/>
        <w:rPr>
          <w:rFonts w:ascii="Arial" w:cs="Arial" w:eastAsia="Arial" w:hAnsi="Arial"/>
          <w:sz w:val="22"/>
          <w:szCs w:val="22"/>
          <w:color w:val="auto"/>
        </w:rPr>
      </w:pPr>
    </w:p>
    <w:p>
      <w:pPr>
        <w:ind w:firstLine="1304"/>
        <w:spacing w:after="0" w:line="271" w:lineRule="auto"/>
        <w:tabs>
          <w:tab w:leader="none" w:pos="1980"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w:t>
      </w:r>
      <w:r>
        <w:rPr>
          <w:rFonts w:ascii="Arial" w:cs="Arial" w:eastAsia="Arial" w:hAnsi="Arial"/>
          <w:sz w:val="19"/>
          <w:szCs w:val="19"/>
          <w:u w:val="single" w:color="auto"/>
          <w:color w:val="auto"/>
        </w:rPr>
        <w:t>Cause</w:t>
      </w:r>
      <w:r>
        <w:rPr>
          <w:rFonts w:ascii="Arial" w:cs="Arial" w:eastAsia="Arial" w:hAnsi="Arial"/>
          <w:sz w:val="19"/>
          <w:szCs w:val="19"/>
          <w:color w:val="auto"/>
        </w:rPr>
        <w:t>” means (i) Executive’s theft, dishonesty or falsification of any employment or Company records that is non-trivial in nature; (ii) Executive’s malicious or reckless disclosure of the Company’s confidential or proprietary information or any material breach by Executive of his or her obligations under the Confidential Information Agreement (as defined below); (iii) the conviction of the Executive of a felony (excluding motor vehicle violations) or the commission of gross negligence or willful misconduct, where a majority of the non-employee members of the Board reasonably determines that such act or misconduct has (A) seriously undermined the ability of the Board or management of the Company to entrust Executive with important matters or otherwise work effectively with Executive, (B) substantially contributed to the Company’s loss of significant revenues or business opportunities, or (C) significantly and detrimentally affected the business or reputation of the Company or any of its subsidiaries; and/or (iv) the willful failure or refusal by Executive to follow the reasonable and lawful directives of the Board or Executive’s direct supervisor, provided such willful failure or refusal continues after Executive’s receipt of reasonable notice in writing of such failure or refusal and a reasonable opportunity of not less than 30 days to correct the problem. For the purpose of this Agreement, no act, or failure to act, shall be considered “willful” unless undertaken by Executive with an absence of good faith that this act, or failure to act, was in the best interests of the Company.</w:t>
      </w:r>
    </w:p>
    <w:p>
      <w:pPr>
        <w:spacing w:after="0" w:line="160" w:lineRule="exact"/>
        <w:rPr>
          <w:rFonts w:ascii="Arial" w:cs="Arial" w:eastAsia="Arial" w:hAnsi="Arial"/>
          <w:sz w:val="19"/>
          <w:szCs w:val="19"/>
          <w:color w:val="auto"/>
        </w:rPr>
      </w:pPr>
    </w:p>
    <w:p>
      <w:pPr>
        <w:ind w:firstLine="1304"/>
        <w:spacing w:after="0" w:line="297" w:lineRule="auto"/>
        <w:tabs>
          <w:tab w:leader="none" w:pos="1968"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have the meaning set forth in the Company’s 2014 Equity Incentive Award Plan, as it may be amended from time to time, provided that such event must also constitute a “change in control event” as defined in Treasury Regulation Section 1.409A-3(i)(5).</w:t>
      </w:r>
    </w:p>
    <w:p>
      <w:pPr>
        <w:spacing w:after="0" w:line="133" w:lineRule="exact"/>
        <w:rPr>
          <w:rFonts w:ascii="Arial" w:cs="Arial" w:eastAsia="Arial" w:hAnsi="Arial"/>
          <w:sz w:val="19"/>
          <w:szCs w:val="19"/>
          <w:color w:val="auto"/>
        </w:rPr>
      </w:pPr>
    </w:p>
    <w:p>
      <w:pPr>
        <w:ind w:right="20" w:firstLine="1304"/>
        <w:spacing w:after="0" w:line="250" w:lineRule="auto"/>
        <w:tabs>
          <w:tab w:leader="none" w:pos="1980"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w:t>
      </w: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means the period of time beginning three (3) months prior to and ending twelve (12) months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78" w:name="page79"/>
    <w:bookmarkEnd w:id="78"/>
    <w:p>
      <w:pPr>
        <w:ind w:left="-20" w:right="420" w:firstLine="1304"/>
        <w:spacing w:after="0" w:line="241" w:lineRule="auto"/>
        <w:tabs>
          <w:tab w:leader="none" w:pos="1948"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Covered Termination</w:t>
      </w:r>
      <w:r>
        <w:rPr>
          <w:rFonts w:ascii="Arial" w:cs="Arial" w:eastAsia="Arial" w:hAnsi="Arial"/>
          <w:sz w:val="22"/>
          <w:szCs w:val="22"/>
          <w:color w:val="auto"/>
        </w:rPr>
        <w:t>. “</w:t>
      </w:r>
      <w:r>
        <w:rPr>
          <w:rFonts w:ascii="Arial" w:cs="Arial" w:eastAsia="Arial" w:hAnsi="Arial"/>
          <w:sz w:val="22"/>
          <w:szCs w:val="22"/>
          <w:u w:val="single" w:color="auto"/>
          <w:color w:val="auto"/>
        </w:rPr>
        <w:t>Covered Termination</w:t>
      </w:r>
      <w:r>
        <w:rPr>
          <w:rFonts w:ascii="Arial" w:cs="Arial" w:eastAsia="Arial" w:hAnsi="Arial"/>
          <w:sz w:val="22"/>
          <w:szCs w:val="22"/>
          <w:color w:val="auto"/>
        </w:rPr>
        <w:t>” means (a) an Involuntary Termination Without Cause or (b) a Voluntary Resignation for Good Reason, provided that such termination or resignation constitutes a Separation from Service.</w:t>
      </w:r>
    </w:p>
    <w:p>
      <w:pPr>
        <w:spacing w:after="0" w:line="183" w:lineRule="exact"/>
        <w:rPr>
          <w:rFonts w:ascii="Arial" w:cs="Arial" w:eastAsia="Arial" w:hAnsi="Arial"/>
          <w:sz w:val="22"/>
          <w:szCs w:val="22"/>
          <w:color w:val="auto"/>
        </w:rPr>
      </w:pPr>
    </w:p>
    <w:p>
      <w:pPr>
        <w:ind w:left="-20" w:right="40" w:firstLine="1304"/>
        <w:spacing w:after="0" w:line="245" w:lineRule="auto"/>
        <w:tabs>
          <w:tab w:leader="none" w:pos="1924" w:val="left"/>
        </w:tabs>
        <w:numPr>
          <w:ilvl w:val="1"/>
          <w:numId w:val="53"/>
        </w:numPr>
        <w:rPr>
          <w:rFonts w:ascii="Arial" w:cs="Arial" w:eastAsia="Arial" w:hAnsi="Arial"/>
          <w:sz w:val="21"/>
          <w:szCs w:val="21"/>
          <w:color w:val="auto"/>
        </w:rPr>
      </w:pPr>
      <w:r>
        <w:rPr>
          <w:rFonts w:ascii="Arial" w:cs="Arial" w:eastAsia="Arial" w:hAnsi="Arial"/>
          <w:sz w:val="21"/>
          <w:szCs w:val="21"/>
          <w:u w:val="single" w:color="auto"/>
          <w:color w:val="auto"/>
        </w:rPr>
        <w:t>Good Reason Condition</w:t>
      </w:r>
      <w:r>
        <w:rPr>
          <w:rFonts w:ascii="Arial" w:cs="Arial" w:eastAsia="Arial" w:hAnsi="Arial"/>
          <w:sz w:val="21"/>
          <w:szCs w:val="21"/>
          <w:color w:val="auto"/>
        </w:rPr>
        <w:t>. “</w:t>
      </w:r>
      <w:r>
        <w:rPr>
          <w:rFonts w:ascii="Arial" w:cs="Arial" w:eastAsia="Arial" w:hAnsi="Arial"/>
          <w:sz w:val="21"/>
          <w:szCs w:val="21"/>
          <w:u w:val="single" w:color="auto"/>
          <w:color w:val="auto"/>
        </w:rPr>
        <w:t>Good Reason Condition</w:t>
      </w:r>
      <w:r>
        <w:rPr>
          <w:rFonts w:ascii="Arial" w:cs="Arial" w:eastAsia="Arial" w:hAnsi="Arial"/>
          <w:sz w:val="21"/>
          <w:szCs w:val="21"/>
          <w:color w:val="auto"/>
        </w:rPr>
        <w:t>” means that any of the following are undertaken without Executive’s express written consent: (i) a material diminution in Executive’s authority, duties, or responsibilities which substantially reduces the nature or character of Executive’s position with the Company; (ii</w:t>
      </w:r>
      <w:r>
        <w:rPr>
          <w:rFonts w:ascii="Arial" w:cs="Arial" w:eastAsia="Arial" w:hAnsi="Arial"/>
          <w:sz w:val="21"/>
          <w:szCs w:val="21"/>
          <w:b w:val="1"/>
          <w:bCs w:val="1"/>
          <w:color w:val="auto"/>
        </w:rPr>
        <w:t>)</w:t>
      </w:r>
      <w:r>
        <w:rPr>
          <w:rFonts w:ascii="Arial" w:cs="Arial" w:eastAsia="Arial" w:hAnsi="Arial"/>
          <w:sz w:val="21"/>
          <w:szCs w:val="21"/>
          <w:color w:val="auto"/>
        </w:rPr>
        <w:t xml:space="preserve"> a material reduction by the Company of Executive’s base salary as in effect immediately prior to such reduction; (iii</w:t>
      </w:r>
      <w:r>
        <w:rPr>
          <w:rFonts w:ascii="Arial" w:cs="Arial" w:eastAsia="Arial" w:hAnsi="Arial"/>
          <w:sz w:val="21"/>
          <w:szCs w:val="21"/>
          <w:b w:val="1"/>
          <w:bCs w:val="1"/>
          <w:color w:val="auto"/>
        </w:rPr>
        <w:t>)</w:t>
      </w:r>
      <w:r>
        <w:rPr>
          <w:rFonts w:ascii="Arial" w:cs="Arial" w:eastAsia="Arial" w:hAnsi="Arial"/>
          <w:sz w:val="21"/>
          <w:szCs w:val="21"/>
          <w:color w:val="auto"/>
        </w:rPr>
        <w:t xml:space="preserve"> a relocation of Executive’s principal office to a location more than fifty (50) miles from the location of Executive’s principal office as of immediately prior to such relocation, except for required travel by Executive on the Company’s business or (iv) any material breach by the Company of any provision of Executive’s employment agreement or offer letter agreement which the Company does not cure within 30 days following written notice thereof from Executive.</w:t>
      </w:r>
    </w:p>
    <w:p>
      <w:pPr>
        <w:spacing w:after="0" w:line="184" w:lineRule="exact"/>
        <w:rPr>
          <w:rFonts w:ascii="Arial" w:cs="Arial" w:eastAsia="Arial" w:hAnsi="Arial"/>
          <w:sz w:val="21"/>
          <w:szCs w:val="21"/>
          <w:color w:val="auto"/>
        </w:rPr>
      </w:pPr>
    </w:p>
    <w:p>
      <w:pPr>
        <w:ind w:left="-20" w:right="80" w:firstLine="1304"/>
        <w:spacing w:after="0" w:line="252" w:lineRule="auto"/>
        <w:tabs>
          <w:tab w:leader="none" w:pos="1960" w:val="left"/>
        </w:tabs>
        <w:numPr>
          <w:ilvl w:val="1"/>
          <w:numId w:val="53"/>
        </w:numPr>
        <w:rPr>
          <w:rFonts w:ascii="Arial" w:cs="Arial" w:eastAsia="Arial" w:hAnsi="Arial"/>
          <w:sz w:val="21"/>
          <w:szCs w:val="21"/>
          <w:color w:val="auto"/>
        </w:rPr>
      </w:pPr>
      <w:r>
        <w:rPr>
          <w:rFonts w:ascii="Arial" w:cs="Arial" w:eastAsia="Arial" w:hAnsi="Arial"/>
          <w:sz w:val="21"/>
          <w:szCs w:val="21"/>
          <w:u w:val="single" w:color="auto"/>
          <w:color w:val="auto"/>
        </w:rPr>
        <w:t>Involuntary Termination Without Cause</w:t>
      </w:r>
      <w:r>
        <w:rPr>
          <w:rFonts w:ascii="Arial" w:cs="Arial" w:eastAsia="Arial" w:hAnsi="Arial"/>
          <w:sz w:val="21"/>
          <w:szCs w:val="21"/>
          <w:color w:val="auto"/>
        </w:rPr>
        <w:t>. “</w:t>
      </w:r>
      <w:r>
        <w:rPr>
          <w:rFonts w:ascii="Arial" w:cs="Arial" w:eastAsia="Arial" w:hAnsi="Arial"/>
          <w:sz w:val="21"/>
          <w:szCs w:val="21"/>
          <w:u w:val="single" w:color="auto"/>
          <w:color w:val="auto"/>
        </w:rPr>
        <w:t>Involuntary Termination Without Cause</w:t>
      </w:r>
      <w:r>
        <w:rPr>
          <w:rFonts w:ascii="Arial" w:cs="Arial" w:eastAsia="Arial" w:hAnsi="Arial"/>
          <w:sz w:val="21"/>
          <w:szCs w:val="21"/>
          <w:color w:val="auto"/>
        </w:rPr>
        <w:t>” 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spacing w:after="0" w:line="173" w:lineRule="exact"/>
        <w:rPr>
          <w:rFonts w:ascii="Arial" w:cs="Arial" w:eastAsia="Arial" w:hAnsi="Arial"/>
          <w:sz w:val="21"/>
          <w:szCs w:val="21"/>
          <w:color w:val="auto"/>
        </w:rPr>
      </w:pPr>
    </w:p>
    <w:p>
      <w:pPr>
        <w:ind w:left="-20" w:right="60" w:firstLine="1304"/>
        <w:spacing w:after="0"/>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Executive’s termination of employment or service constitutes a “separation from service” within the meaning of Treasury Regulation Section 1.409A-1(h).</w:t>
      </w:r>
    </w:p>
    <w:p>
      <w:pPr>
        <w:spacing w:after="0" w:line="186" w:lineRule="exact"/>
        <w:rPr>
          <w:rFonts w:ascii="Arial" w:cs="Arial" w:eastAsia="Arial" w:hAnsi="Arial"/>
          <w:sz w:val="22"/>
          <w:szCs w:val="22"/>
          <w:color w:val="auto"/>
        </w:rPr>
      </w:pPr>
    </w:p>
    <w:p>
      <w:pPr>
        <w:ind w:left="-20" w:right="20" w:firstLine="1304"/>
        <w:spacing w:after="0" w:line="273" w:lineRule="auto"/>
        <w:tabs>
          <w:tab w:leader="none" w:pos="1966"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Voluntary Resignation for Good Reason</w:t>
      </w:r>
      <w:r>
        <w:rPr>
          <w:rFonts w:ascii="Arial" w:cs="Arial" w:eastAsia="Arial" w:hAnsi="Arial"/>
          <w:sz w:val="19"/>
          <w:szCs w:val="19"/>
          <w:color w:val="auto"/>
        </w:rPr>
        <w:t>. “</w:t>
      </w:r>
      <w:r>
        <w:rPr>
          <w:rFonts w:ascii="Arial" w:cs="Arial" w:eastAsia="Arial" w:hAnsi="Arial"/>
          <w:sz w:val="19"/>
          <w:szCs w:val="19"/>
          <w:u w:val="single" w:color="auto"/>
          <w:color w:val="auto"/>
        </w:rPr>
        <w:t>Voluntary Resignation for Good Reason</w:t>
      </w:r>
      <w:r>
        <w:rPr>
          <w:rFonts w:ascii="Arial" w:cs="Arial" w:eastAsia="Arial" w:hAnsi="Arial"/>
          <w:sz w:val="19"/>
          <w:szCs w:val="19"/>
          <w:color w:val="auto"/>
        </w:rPr>
        <w:t>” means Executive’s resignation as a result of a Good Reason Condition in accordance with this subsection (i). In order for a resignation to constitute a Voluntary Resignation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 in Sections 4 or 5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spacing w:after="0" w:line="155" w:lineRule="exact"/>
        <w:rPr>
          <w:rFonts w:ascii="Arial" w:cs="Arial" w:eastAsia="Arial" w:hAnsi="Arial"/>
          <w:sz w:val="19"/>
          <w:szCs w:val="19"/>
          <w:color w:val="auto"/>
        </w:rPr>
      </w:pPr>
    </w:p>
    <w:p>
      <w:pPr>
        <w:ind w:left="1280" w:hanging="644"/>
        <w:spacing w:after="0"/>
        <w:tabs>
          <w:tab w:leader="none" w:pos="128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 w:firstLine="1304"/>
        <w:spacing w:after="0" w:line="236" w:lineRule="auto"/>
        <w:tabs>
          <w:tab w:leader="none" w:pos="1948"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Company’s Successors</w:t>
      </w:r>
      <w:r>
        <w:rPr>
          <w:rFonts w:ascii="Arial" w:cs="Arial" w:eastAsia="Arial" w:hAnsi="Arial"/>
          <w:sz w:val="22"/>
          <w:szCs w:val="22"/>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18" w:right="999" w:bottom="1440" w:gutter="0" w:footer="0" w:header="0"/>
        </w:sectPr>
      </w:pPr>
    </w:p>
    <w:bookmarkStart w:id="79" w:name="page80"/>
    <w:bookmarkEnd w:id="79"/>
    <w:p>
      <w:pPr>
        <w:ind w:right="280"/>
        <w:spacing w:after="0" w:line="297" w:lineRule="auto"/>
        <w:rPr>
          <w:sz w:val="20"/>
          <w:szCs w:val="20"/>
          <w:color w:val="auto"/>
        </w:rPr>
      </w:pPr>
      <w:r>
        <w:rPr>
          <w:rFonts w:ascii="Arial" w:cs="Arial" w:eastAsia="Arial" w:hAnsi="Arial"/>
          <w:sz w:val="19"/>
          <w:szCs w:val="19"/>
          <w:color w:val="auto"/>
        </w:rPr>
        <w:t>of a succession. For all purposes under this Agreement, the term “Company” shall include any successor to the Company’s business and/or assets which executes and delivers the assumption agreement described in this Section 9 (a) or which becomes bound by the terms of this Agreement by operation of law.</w:t>
      </w:r>
    </w:p>
    <w:p>
      <w:pPr>
        <w:spacing w:after="0" w:line="134" w:lineRule="exact"/>
        <w:rPr>
          <w:sz w:val="20"/>
          <w:szCs w:val="20"/>
          <w:color w:val="auto"/>
        </w:rPr>
      </w:pPr>
    </w:p>
    <w:p>
      <w:pPr>
        <w:ind w:right="20" w:firstLine="1304"/>
        <w:spacing w:after="0"/>
        <w:tabs>
          <w:tab w:leader="none" w:pos="1980"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86" w:lineRule="exact"/>
        <w:rPr>
          <w:rFonts w:ascii="Arial" w:cs="Arial" w:eastAsia="Arial" w:hAnsi="Arial"/>
          <w:sz w:val="22"/>
          <w:szCs w:val="22"/>
          <w:color w:val="auto"/>
        </w:rPr>
      </w:pPr>
    </w:p>
    <w:p>
      <w:pPr>
        <w:ind w:right="40" w:firstLine="656"/>
        <w:spacing w:after="0" w:line="248" w:lineRule="auto"/>
        <w:tabs>
          <w:tab w:leader="none" w:pos="1296"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primary office location, and all notices shall be directed to the attention of its Vice President, General Counsel.</w:t>
      </w:r>
    </w:p>
    <w:p>
      <w:pPr>
        <w:spacing w:after="0" w:line="176" w:lineRule="exact"/>
        <w:rPr>
          <w:rFonts w:ascii="Arial" w:cs="Arial" w:eastAsia="Arial" w:hAnsi="Arial"/>
          <w:sz w:val="21"/>
          <w:szCs w:val="21"/>
          <w:color w:val="auto"/>
        </w:rPr>
      </w:pPr>
    </w:p>
    <w:p>
      <w:pPr>
        <w:ind w:left="1300" w:hanging="644"/>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Confidentiality; Non-Solicitation.</w:t>
      </w:r>
    </w:p>
    <w:p>
      <w:pPr>
        <w:spacing w:after="0" w:line="206" w:lineRule="exact"/>
        <w:rPr>
          <w:rFonts w:ascii="Arial" w:cs="Arial" w:eastAsia="Arial" w:hAnsi="Arial"/>
          <w:sz w:val="22"/>
          <w:szCs w:val="22"/>
          <w:color w:val="auto"/>
        </w:rPr>
      </w:pPr>
    </w:p>
    <w:p>
      <w:pPr>
        <w:ind w:right="40" w:firstLine="1304"/>
        <w:spacing w:after="0" w:line="270" w:lineRule="auto"/>
        <w:tabs>
          <w:tab w:leader="none" w:pos="1968"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w:t>
      </w:r>
      <w:r>
        <w:rPr>
          <w:rFonts w:ascii="Arial" w:cs="Arial" w:eastAsia="Arial" w:hAnsi="Arial"/>
          <w:sz w:val="19"/>
          <w:szCs w:val="19"/>
          <w:i w:val="1"/>
          <w:iCs w:val="1"/>
          <w:color w:val="auto"/>
        </w:rPr>
        <w:t>provided, however</w:t>
      </w:r>
      <w:r>
        <w:rPr>
          <w:rFonts w:ascii="Arial" w:cs="Arial" w:eastAsia="Arial" w:hAnsi="Arial"/>
          <w:sz w:val="19"/>
          <w:szCs w:val="19"/>
          <w:color w:val="auto"/>
        </w:rPr>
        <w:t>, that Executive shall not be obligated to treat as confidential, or return to the Company copies of any Confidential Information that (i) was publicly known at the time of disclosure to Executive, (ii) 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information disclosed to Executive or known by Executive as a consequence of or through his or 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Proprietary Information and Inventions Assignment Agreement entered into between Executive and the Company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firstLine="1304"/>
        <w:spacing w:after="0" w:line="234" w:lineRule="auto"/>
        <w:tabs>
          <w:tab w:leader="none" w:pos="1980"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xml:space="preserve">. In addition to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Arial" w:cs="Arial" w:eastAsia="Arial" w:hAnsi="Arial"/>
          <w:sz w:val="22"/>
          <w:szCs w:val="22"/>
          <w:i w:val="1"/>
          <w:iCs w:val="1"/>
          <w:color w:val="auto"/>
        </w:rPr>
        <w:t>provided, however</w:t>
      </w:r>
      <w:r>
        <w:rPr>
          <w:rFonts w:ascii="Arial" w:cs="Arial" w:eastAsia="Arial" w:hAnsi="Arial"/>
          <w:sz w:val="22"/>
          <w:szCs w:val="22"/>
          <w:color w:val="auto"/>
        </w:rPr>
        <w:t>, that a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0" w:name="page81"/>
    <w:bookmarkEnd w:id="80"/>
    <w:p>
      <w:pPr>
        <w:spacing w:after="0" w:line="297" w:lineRule="auto"/>
        <w:rPr>
          <w:sz w:val="20"/>
          <w:szCs w:val="20"/>
          <w:color w:val="auto"/>
        </w:rPr>
      </w:pPr>
      <w:r>
        <w:rPr>
          <w:rFonts w:ascii="Arial" w:cs="Arial" w:eastAsia="Arial" w:hAnsi="Arial"/>
          <w:sz w:val="19"/>
          <w:szCs w:val="19"/>
          <w:color w:val="auto"/>
        </w:rPr>
        <w:t>advertisement to which an employee of the Company responds shall in no event be deemed to result in a breach of this Section 11(b). Executive also agrees not to harass or disparage the Company or its employees, clients, directors or agents or divert or attempt to divert any actual or potential business of the Company.</w:t>
      </w:r>
    </w:p>
    <w:p>
      <w:pPr>
        <w:spacing w:after="0" w:line="134" w:lineRule="exact"/>
        <w:rPr>
          <w:sz w:val="20"/>
          <w:szCs w:val="20"/>
          <w:color w:val="auto"/>
        </w:rPr>
      </w:pPr>
    </w:p>
    <w:p>
      <w:pPr>
        <w:ind w:right="140" w:firstLine="1304"/>
        <w:spacing w:after="0" w:line="248" w:lineRule="auto"/>
        <w:tabs>
          <w:tab w:leader="none" w:pos="1968"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Survival of Provisions</w:t>
      </w:r>
      <w:r>
        <w:rPr>
          <w:rFonts w:ascii="Arial" w:cs="Arial" w:eastAsia="Arial" w:hAnsi="Arial"/>
          <w:sz w:val="21"/>
          <w:szCs w:val="21"/>
          <w:color w:val="auto"/>
        </w:rPr>
        <w:t>. The provisions of this Section 11 shall survive the termination or expiration of the applicable Executive’s employment with the Company and shall be fully enforceable thereafter. If it is determined by a court of competent jurisdiction in any state that any restriction in this Section 11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76" w:lineRule="exact"/>
        <w:rPr>
          <w:rFonts w:ascii="Arial" w:cs="Arial" w:eastAsia="Arial" w:hAnsi="Arial"/>
          <w:sz w:val="21"/>
          <w:szCs w:val="21"/>
          <w:color w:val="auto"/>
        </w:rPr>
      </w:pPr>
    </w:p>
    <w:p>
      <w:pPr>
        <w:ind w:right="40" w:firstLine="656"/>
        <w:spacing w:after="0" w:line="270" w:lineRule="auto"/>
        <w:tabs>
          <w:tab w:leader="none" w:pos="128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Alameda County, California, conducted by Judicial Arbitration and Mediation Services, Inc. (“</w:t>
      </w:r>
      <w:r>
        <w:rPr>
          <w:rFonts w:ascii="Arial" w:cs="Arial" w:eastAsia="Arial" w:hAnsi="Arial"/>
          <w:sz w:val="19"/>
          <w:szCs w:val="19"/>
          <w:u w:val="single" w:color="auto"/>
          <w:color w:val="auto"/>
        </w:rPr>
        <w:t>JAMS</w:t>
      </w:r>
      <w:r>
        <w:rPr>
          <w:rFonts w:ascii="Arial" w:cs="Arial" w:eastAsia="Arial" w:hAnsi="Arial"/>
          <w:sz w:val="19"/>
          <w:szCs w:val="19"/>
          <w:color w:val="auto"/>
        </w:rPr>
        <w:t xml:space="preserve">”) under the applicable JAMS employment rules. </w:t>
      </w:r>
      <w:r>
        <w:rPr>
          <w:rFonts w:ascii="Arial" w:cs="Arial" w:eastAsia="Arial" w:hAnsi="Arial"/>
          <w:sz w:val="19"/>
          <w:szCs w:val="19"/>
          <w:b w:val="1"/>
          <w:bCs w:val="1"/>
          <w:color w:val="auto"/>
        </w:rPr>
        <w:t>By agreeing to this arbitration procedure, both Executive and the Company waive the</w:t>
      </w:r>
      <w:r>
        <w:rPr>
          <w:rFonts w:ascii="Arial" w:cs="Arial" w:eastAsia="Arial" w:hAnsi="Arial"/>
          <w:sz w:val="19"/>
          <w:szCs w:val="19"/>
          <w:color w:val="auto"/>
        </w:rPr>
        <w:t xml:space="preserve"> </w:t>
      </w:r>
      <w:r>
        <w:rPr>
          <w:rFonts w:ascii="Arial" w:cs="Arial" w:eastAsia="Arial" w:hAnsi="Arial"/>
          <w:sz w:val="19"/>
          <w:szCs w:val="19"/>
          <w:b w:val="1"/>
          <w:bCs w:val="1"/>
          <w:color w:val="auto"/>
        </w:rPr>
        <w:t>right to resolve any such dispute through a trial by jury or judge or administrative proceeding</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arbitrator 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spacing w:after="0" w:line="168" w:lineRule="exact"/>
        <w:rPr>
          <w:rFonts w:ascii="Arial" w:cs="Arial" w:eastAsia="Arial" w:hAnsi="Arial"/>
          <w:sz w:val="19"/>
          <w:szCs w:val="19"/>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80" w:hanging="676"/>
        <w:spacing w:after="0"/>
        <w:tabs>
          <w:tab w:leader="none" w:pos="1980"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0" w:firstLine="1952"/>
        <w:spacing w:after="0" w:line="277" w:lineRule="auto"/>
        <w:tabs>
          <w:tab w:leader="none" w:pos="2634" w:val="left"/>
        </w:tabs>
        <w:numPr>
          <w:ilvl w:val="2"/>
          <w:numId w:val="58"/>
        </w:numPr>
        <w:rPr>
          <w:rFonts w:ascii="Arial" w:cs="Arial" w:eastAsia="Arial" w:hAnsi="Arial"/>
          <w:sz w:val="19"/>
          <w:szCs w:val="19"/>
          <w:color w:val="auto"/>
        </w:rPr>
      </w:pPr>
      <w:r>
        <w:rPr>
          <w:rFonts w:ascii="Arial" w:cs="Arial" w:eastAsia="Arial" w:hAnsi="Arial"/>
          <w:sz w:val="19"/>
          <w:szCs w:val="19"/>
          <w:u w:val="single" w:color="auto"/>
          <w:color w:val="auto"/>
        </w:rPr>
        <w:t>Separation from Service</w:t>
      </w:r>
      <w:r>
        <w:rPr>
          <w:rFonts w:ascii="Arial" w:cs="Arial" w:eastAsia="Arial" w:hAnsi="Arial"/>
          <w:sz w:val="19"/>
          <w:szCs w:val="19"/>
          <w:color w:val="auto"/>
        </w:rPr>
        <w:t>. Notwithstanding any provision to the contrary in this Agreement, no amount deemed deferred compensation subject to Section 409A of the Code shall be payable pursuant to Section 4 unless Executive’s termination of employment constitutes a Separation from Service and, except as provided under Section 13 (a)(ii) of this Agreement, any such amount shall not be paid, or in the case of installments, commence payment, until the sixtieth (60</w:t>
      </w:r>
      <w:r>
        <w:rPr>
          <w:rFonts w:ascii="Arial" w:cs="Arial" w:eastAsia="Arial" w:hAnsi="Arial"/>
          <w:sz w:val="14"/>
          <w:szCs w:val="14"/>
          <w:color w:val="auto"/>
        </w:rPr>
        <w:t>th</w:t>
      </w:r>
      <w:r>
        <w:rPr>
          <w:rFonts w:ascii="Arial" w:cs="Arial" w:eastAsia="Arial" w:hAnsi="Arial"/>
          <w:sz w:val="19"/>
          <w:szCs w:val="19"/>
          <w:color w:val="auto"/>
        </w:rPr>
        <w:t>) day following Executive’s Separation from Service. Any installment payments that would have been made to Executive during the sixty (60) day period immediately following Executive’s Separation from Service but for the preceding sentence shall be paid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81" w:name="page82"/>
    <w:bookmarkEnd w:id="81"/>
    <w:p>
      <w:pPr>
        <w:ind w:right="220"/>
        <w:spacing w:after="0" w:line="250" w:lineRule="auto"/>
        <w:rPr>
          <w:sz w:val="20"/>
          <w:szCs w:val="20"/>
          <w:color w:val="auto"/>
        </w:rPr>
      </w:pPr>
      <w:r>
        <w:rPr>
          <w:rFonts w:ascii="Arial" w:cs="Arial" w:eastAsia="Arial" w:hAnsi="Arial"/>
          <w:sz w:val="22"/>
          <w:szCs w:val="22"/>
          <w:color w:val="auto"/>
        </w:rPr>
        <w:t>Executive on the sixtieth (60</w:t>
      </w:r>
      <w:r>
        <w:rPr>
          <w:rFonts w:ascii="Arial" w:cs="Arial" w:eastAsia="Arial" w:hAnsi="Arial"/>
          <w:sz w:val="16"/>
          <w:szCs w:val="16"/>
          <w:color w:val="auto"/>
        </w:rPr>
        <w:t>th</w:t>
      </w:r>
      <w:r>
        <w:rPr>
          <w:rFonts w:ascii="Arial" w:cs="Arial" w:eastAsia="Arial" w:hAnsi="Arial"/>
          <w:sz w:val="22"/>
          <w:szCs w:val="22"/>
          <w:color w:val="auto"/>
        </w:rPr>
        <w:t>) day following Executive’s Separation from Service and the remaining payments shall be made as provided in this Agreement.</w:t>
      </w:r>
    </w:p>
    <w:p>
      <w:pPr>
        <w:spacing w:after="0" w:line="175" w:lineRule="exact"/>
        <w:rPr>
          <w:sz w:val="20"/>
          <w:szCs w:val="20"/>
          <w:color w:val="auto"/>
        </w:rPr>
      </w:pPr>
    </w:p>
    <w:p>
      <w:pPr>
        <w:ind w:firstLine="1952"/>
        <w:spacing w:after="0" w:line="245" w:lineRule="auto"/>
        <w:tabs>
          <w:tab w:leader="none" w:pos="2640"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Specified Employee</w:t>
      </w:r>
      <w:r>
        <w:rPr>
          <w:rFonts w:ascii="Arial" w:cs="Arial" w:eastAsia="Arial" w:hAnsi="Arial"/>
          <w:sz w:val="21"/>
          <w:szCs w:val="21"/>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the Executive’s Separation from Service or (b) the date of Executive’s death. Upon the first business day following the expiration of the applicable Code Section 409A(a)(2)(B)(i) period, all payments deferred pursuant to this Section 13(a)(ii) shall be paid in a lump sum to Executive, and any remaining payments due under this Agreement shall be paid as otherwise provided herein.</w:t>
      </w:r>
    </w:p>
    <w:p>
      <w:pPr>
        <w:spacing w:after="0" w:line="180" w:lineRule="exact"/>
        <w:rPr>
          <w:rFonts w:ascii="Arial" w:cs="Arial" w:eastAsia="Arial" w:hAnsi="Arial"/>
          <w:sz w:val="21"/>
          <w:szCs w:val="21"/>
          <w:color w:val="auto"/>
        </w:rPr>
      </w:pPr>
    </w:p>
    <w:p>
      <w:pPr>
        <w:ind w:firstLine="1952"/>
        <w:spacing w:after="0" w:line="279" w:lineRule="auto"/>
        <w:tabs>
          <w:tab w:leader="none" w:pos="2646"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Expense Reimbursements</w:t>
      </w:r>
      <w:r>
        <w:rPr>
          <w:rFonts w:ascii="Arial" w:cs="Arial" w:eastAsia="Arial" w:hAnsi="Arial"/>
          <w:sz w:val="19"/>
          <w:szCs w:val="19"/>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50" w:lineRule="exact"/>
        <w:rPr>
          <w:rFonts w:ascii="Arial" w:cs="Arial" w:eastAsia="Arial" w:hAnsi="Arial"/>
          <w:sz w:val="19"/>
          <w:szCs w:val="19"/>
          <w:color w:val="auto"/>
        </w:rPr>
      </w:pPr>
    </w:p>
    <w:p>
      <w:pPr>
        <w:ind w:firstLine="1952"/>
        <w:spacing w:after="0" w:line="287" w:lineRule="auto"/>
        <w:tabs>
          <w:tab w:leader="none" w:pos="2634"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Installments</w:t>
      </w:r>
      <w:r>
        <w:rPr>
          <w:rFonts w:ascii="Arial" w:cs="Arial" w:eastAsia="Arial" w:hAnsi="Arial"/>
          <w:sz w:val="19"/>
          <w:szCs w:val="19"/>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42" w:lineRule="exact"/>
        <w:rPr>
          <w:rFonts w:ascii="Arial" w:cs="Arial" w:eastAsia="Arial" w:hAnsi="Arial"/>
          <w:sz w:val="19"/>
          <w:szCs w:val="19"/>
          <w:color w:val="auto"/>
        </w:rPr>
      </w:pPr>
    </w:p>
    <w:p>
      <w:pPr>
        <w:ind w:right="40" w:firstLine="1304"/>
        <w:spacing w:after="0" w:line="249" w:lineRule="auto"/>
        <w:tabs>
          <w:tab w:leader="none" w:pos="198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8" w:lineRule="exact"/>
        <w:rPr>
          <w:rFonts w:ascii="Arial" w:cs="Arial" w:eastAsia="Arial" w:hAnsi="Arial"/>
          <w:sz w:val="21"/>
          <w:szCs w:val="21"/>
          <w:color w:val="auto"/>
        </w:rPr>
      </w:pPr>
    </w:p>
    <w:p>
      <w:pPr>
        <w:ind w:firstLine="1304"/>
        <w:spacing w:after="0"/>
        <w:tabs>
          <w:tab w:leader="none" w:pos="196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Whole Agreement</w:t>
      </w:r>
      <w:r>
        <w:rPr>
          <w:rFonts w:ascii="Arial" w:cs="Arial" w:eastAsia="Arial" w:hAnsi="Arial"/>
          <w:sz w:val="22"/>
          <w:szCs w:val="22"/>
          <w:color w:val="auto"/>
        </w:rPr>
        <w:t>. This Agreement and the Confidential Information Agreement represent the entire understanding of the parties hereto with respect to the subject matter hereof and supersede all prior arrangements and understandings regarding same.</w:t>
      </w:r>
    </w:p>
    <w:p>
      <w:pPr>
        <w:spacing w:after="0" w:line="186" w:lineRule="exact"/>
        <w:rPr>
          <w:rFonts w:ascii="Arial" w:cs="Arial" w:eastAsia="Arial" w:hAnsi="Arial"/>
          <w:sz w:val="22"/>
          <w:szCs w:val="22"/>
          <w:color w:val="auto"/>
        </w:rPr>
      </w:pPr>
    </w:p>
    <w:p>
      <w:pPr>
        <w:ind w:right="860" w:firstLine="1304"/>
        <w:spacing w:after="0" w:line="250" w:lineRule="auto"/>
        <w:tabs>
          <w:tab w:leader="none" w:pos="198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shall be governed by the laws of the State of California.</w:t>
      </w:r>
    </w:p>
    <w:p>
      <w:pPr>
        <w:spacing w:after="0" w:line="174" w:lineRule="exact"/>
        <w:rPr>
          <w:rFonts w:ascii="Arial" w:cs="Arial" w:eastAsia="Arial" w:hAnsi="Arial"/>
          <w:sz w:val="22"/>
          <w:szCs w:val="22"/>
          <w:color w:val="auto"/>
        </w:rPr>
      </w:pPr>
    </w:p>
    <w:p>
      <w:pPr>
        <w:ind w:right="160" w:firstLine="1304"/>
        <w:spacing w:after="0"/>
        <w:tabs>
          <w:tab w:leader="none" w:pos="196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77" w:right="1039" w:bottom="1440" w:gutter="0" w:footer="0" w:header="0"/>
        </w:sectPr>
      </w:pPr>
    </w:p>
    <w:bookmarkStart w:id="82" w:name="page83"/>
    <w:bookmarkEnd w:id="82"/>
    <w:p>
      <w:pPr>
        <w:ind w:left="-420" w:firstLine="1304"/>
        <w:spacing w:after="0" w:line="274" w:lineRule="auto"/>
        <w:tabs>
          <w:tab w:leader="none" w:pos="1524"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all of which together will constitute one and the same instrument.</w:t>
      </w:r>
    </w:p>
    <w:p>
      <w:pPr>
        <w:spacing w:after="0" w:line="15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349885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100"/>
          </w:cols>
          <w:pgMar w:left="1400" w:top="118" w:right="1399" w:bottom="1440" w:gutter="0" w:footer="0" w:header="0"/>
        </w:sectPr>
      </w:pPr>
    </w:p>
    <w:bookmarkStart w:id="83" w:name="page84"/>
    <w:bookmarkEnd w:id="83"/>
    <w:p>
      <w:pPr>
        <w:ind w:firstLine="648"/>
        <w:spacing w:after="0" w:line="250"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ARDELYX, INC.</w:t>
      </w:r>
    </w:p>
    <w:p>
      <w:pPr>
        <w:spacing w:after="0" w:line="239" w:lineRule="exact"/>
        <w:rPr>
          <w:sz w:val="20"/>
          <w:szCs w:val="20"/>
          <w:color w:val="auto"/>
        </w:rPr>
      </w:pPr>
    </w:p>
    <w:p>
      <w:pPr>
        <w:ind w:left="4980"/>
        <w:spacing w:after="0"/>
        <w:tabs>
          <w:tab w:leader="none" w:pos="5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Mike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6985</wp:posOffset>
            </wp:positionV>
            <wp:extent cx="28117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Title: CEO</w:t>
      </w:r>
    </w:p>
    <w:p>
      <w:pPr>
        <w:ind w:left="4980"/>
        <w:spacing w:after="0"/>
        <w:rPr>
          <w:sz w:val="20"/>
          <w:szCs w:val="20"/>
          <w:color w:val="auto"/>
        </w:rPr>
      </w:pPr>
      <w:r>
        <w:rPr>
          <w:rFonts w:ascii="Arial" w:cs="Arial" w:eastAsia="Arial" w:hAnsi="Arial"/>
          <w:sz w:val="22"/>
          <w:szCs w:val="22"/>
          <w:color w:val="auto"/>
        </w:rPr>
        <w:t>Date: June 2, 2020</w:t>
      </w:r>
    </w:p>
    <w:p>
      <w:pPr>
        <w:spacing w:after="0" w:line="20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 Susan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6985</wp:posOffset>
            </wp:positionV>
            <wp:extent cx="31375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Susan Rodriguez</w:t>
      </w:r>
    </w:p>
    <w:p>
      <w:pPr>
        <w:spacing w:after="0" w:line="21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Date: June 2, 2020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77" w:right="9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1645920" cy="6172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459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34175 Ardenwood Blvd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Fremont, CA 94555</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(510) 745-1700 – Tele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(510) 745-0493 – Fax</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www.ardelyx.com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June 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48 Walnut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Milton, MA 02186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Justin: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behalf of Ardelyx (the “Company”), I am pleased to offer you employment in the exempt position of Chief Financial Officer reporting to the Chief Executive Officer. This letter sets out the terms of Ardelyx’s offer of employment, which is contingent upon the completion of reference checks to Ardelyx’s satisfaction. If you accept this offer, your employment will be subject to the terms of the Company’s standard form of Proprietary Information and Inventions Assignment agreement. In addition, you and the Company will enter into a Change in Control Severance Agreement that will further define some of the provisions set forth in this offer letter (the “Severance Agreement”).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Your first day of full-time employment with Ardelyx is currently expected to be June 8, 2020. Your full time starting base salary will be $17,916.67 semi-monthly, which is equivalent to $430,000.00 per year, less applicable tax and other withholdings in accordance with the Company’s normal payroll procedure. You will also be eligible to receive an annual bonus of up to forty percent (40%) of your base salary, with the amount of the bonus determined by the Board of Directors based upon the performance of the Company. Your awarded bonus for 2020 will be pro-rated for the number of months that you were employed at the Company during 2020.</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will also receive a sign-on cash bonus equal to $10,000.00, less applicable tax and other withholdings. The sign-on cash bonus will be paid to you in your first paycheck on June 15, 2020.</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your first day of employment, you will be granted an option to purchase shares of Company common stock under the Company’s 2016 Employment Commencement Incentive Plan (the “Incentive Plan”), which stock option shall have an accounting grant date fair value of one million dollars ($1,000,000). Your option will be exercisable at a per share exercise price equal to the fair market value of Ardelyx stock on your option grant date. Your option will vest over a period of 4 years, with 25% of the shares vesting at the end of your first year of employment, and the remainder vesting monthly over the following three years and will be subject to the terms and conditions of the Company’s equity incentive plan and standard form of stock option agreement, which you will be required to sign as a condition of receiving the option.</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on your first day of employment, you will be granted a Restricted Stock Unit (RSU). The RSU will be for 10,000 shares of common stock of the Company and will vest in full upon the acceptance for filing by the Food and Drug Administration of a New Drug Application (“NDA”) for tenapanor for the treatment of hyperphosphatemia; provided that if the NDA is not accepted on or before December 31, 2020, the RSU shall be terminated for no consideration. The RSU granted to you will be subject to the terms and conditions of the Company’s Incentive Plan and the approved standard form of full value award, which you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required to sign as a condition of receiving the RSU. The Company’s standard terms of the full value award requires an automatic sell to cover applicable withholding taxes prior to the settlement of any vested RSU.</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You will be eligible to participate in various Company equity and benefit plans, including group health insurance, 401(k), and the Employee Stock Purchase Plan. You will earn three weeks of vacation each year. You will be eligible for salary increases and additional equity grants in accordance with the Company’s practice. Your salary increase and equity grant for 2021 will not be pro-rated.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this offer of employment is accepted, your employment with the Company will be “at will.” This means it is for no specified term and may be terminated by you or the Company at any time, with or without cause or advance notice. In addition, the Company reserves the right to modify your compensation, position, duties or reporting relationship to meet business needs and to decide on appropriate discipline.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Please sign and date this letter on the spaces provided below to acknowledge your acceptance of the terms of this agreement and return it to me prior to or on 10:00 am EST, June 3, 2020 at which time this offer shall expire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Justin, it has been a real pleasure meeting you and all of us here at Ardelyx concur that you are an excellent fit with our team, and we look forward to working with you at Ardelyx.</w:t>
      </w:r>
    </w:p>
    <w:p>
      <w:pPr>
        <w:spacing w:after="0" w:line="38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Ardelyx, Inc.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Mike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9400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Mike Raab</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agree to and accept employment with Ardelyx on the terms and conditions set forth in this agreement. I understand and agree that my employment with the Company is at-will.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June 2,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Renz</w:t>
            </w:r>
          </w:p>
        </w:tc>
      </w:tr>
      <w:tr>
        <w:trPr>
          <w:trHeight w:val="224"/>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Justin Renz</w:t>
            </w:r>
          </w:p>
        </w:tc>
      </w:tr>
      <w:tr>
        <w:trPr>
          <w:trHeight w:val="418"/>
        </w:trPr>
        <w:tc>
          <w:tcPr>
            <w:tcW w:w="4960" w:type="dxa"/>
            <w:vAlign w:val="bottom"/>
          </w:tcPr>
          <w:p>
            <w:pPr>
              <w:spacing w:after="0"/>
              <w:rPr>
                <w:sz w:val="20"/>
                <w:szCs w:val="20"/>
                <w:color w:val="auto"/>
              </w:rPr>
            </w:pPr>
            <w:r>
              <w:rPr>
                <w:rFonts w:ascii="Arial" w:cs="Arial" w:eastAsia="Arial" w:hAnsi="Arial"/>
                <w:sz w:val="18"/>
                <w:szCs w:val="18"/>
                <w:color w:val="auto"/>
              </w:rPr>
              <w:t>Start Date:  June 8, 2020</w:t>
            </w:r>
          </w:p>
        </w:tc>
        <w:tc>
          <w:tcPr>
            <w:tcW w:w="4960" w:type="dxa"/>
            <w:vAlign w:val="bottom"/>
          </w:tcPr>
          <w:p>
            <w:pPr>
              <w:spacing w:after="0"/>
              <w:rPr>
                <w:sz w:val="24"/>
                <w:szCs w:val="24"/>
                <w:color w:val="auto"/>
              </w:rPr>
            </w:pP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1" w:right="99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ARDELYX,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SEVERANCE AGREEMENT</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This Change in Control Severance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by and between Justin Renz (the “</w:t>
      </w:r>
      <w:r>
        <w:rPr>
          <w:rFonts w:ascii="Arial" w:cs="Arial" w:eastAsia="Arial" w:hAnsi="Arial"/>
          <w:sz w:val="22"/>
          <w:szCs w:val="22"/>
          <w:u w:val="single" w:color="auto"/>
          <w:color w:val="auto"/>
        </w:rPr>
        <w:t>Executive</w:t>
      </w:r>
      <w:r>
        <w:rPr>
          <w:rFonts w:ascii="Arial" w:cs="Arial" w:eastAsia="Arial" w:hAnsi="Arial"/>
          <w:sz w:val="22"/>
          <w:szCs w:val="22"/>
          <w:color w:val="auto"/>
        </w:rPr>
        <w:t>”) and Ardelyx, Inc. (the “</w:t>
      </w:r>
      <w:r>
        <w:rPr>
          <w:rFonts w:ascii="Arial" w:cs="Arial" w:eastAsia="Arial" w:hAnsi="Arial"/>
          <w:sz w:val="22"/>
          <w:szCs w:val="22"/>
          <w:u w:val="single" w:color="auto"/>
          <w:color w:val="auto"/>
        </w:rPr>
        <w:t>Company</w:t>
      </w:r>
      <w:r>
        <w:rPr>
          <w:rFonts w:ascii="Arial" w:cs="Arial" w:eastAsia="Arial" w:hAnsi="Arial"/>
          <w:sz w:val="22"/>
          <w:szCs w:val="22"/>
          <w:color w:val="auto"/>
        </w:rPr>
        <w:t>”), effective as June 8, 2020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ind w:right="100" w:firstLine="656"/>
        <w:spacing w:after="0" w:line="246" w:lineRule="auto"/>
        <w:tabs>
          <w:tab w:leader="none" w:pos="1290" w:val="left"/>
        </w:tabs>
        <w:numPr>
          <w:ilvl w:val="0"/>
          <w:numId w:val="62"/>
        </w:numPr>
        <w:rPr>
          <w:rFonts w:ascii="Arial" w:cs="Arial" w:eastAsia="Arial" w:hAnsi="Arial"/>
          <w:sz w:val="21"/>
          <w:szCs w:val="21"/>
          <w:color w:val="auto"/>
        </w:rPr>
      </w:pPr>
      <w:r>
        <w:rPr>
          <w:rFonts w:ascii="Arial" w:cs="Arial" w:eastAsia="Arial" w:hAnsi="Arial"/>
          <w:sz w:val="21"/>
          <w:szCs w:val="21"/>
          <w:color w:val="auto"/>
        </w:rPr>
        <w:t>It is expected that the Company from time to time will consider the possibility of an acquisition by another company or other change in control.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recognizes that such consideration as well as the possibility of an involuntary termination or reduction in responsibility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84" w:lineRule="exact"/>
        <w:rPr>
          <w:rFonts w:ascii="Arial" w:cs="Arial" w:eastAsia="Arial" w:hAnsi="Arial"/>
          <w:sz w:val="21"/>
          <w:szCs w:val="21"/>
          <w:color w:val="auto"/>
        </w:rPr>
      </w:pPr>
    </w:p>
    <w:p>
      <w:pPr>
        <w:ind w:firstLine="656"/>
        <w:spacing w:after="0" w:line="297" w:lineRule="auto"/>
        <w:tabs>
          <w:tab w:leader="none" w:pos="132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33" w:lineRule="exact"/>
        <w:rPr>
          <w:rFonts w:ascii="Arial" w:cs="Arial" w:eastAsia="Arial" w:hAnsi="Arial"/>
          <w:sz w:val="19"/>
          <w:szCs w:val="19"/>
          <w:color w:val="auto"/>
        </w:rPr>
      </w:pPr>
    </w:p>
    <w:p>
      <w:pPr>
        <w:ind w:right="60" w:firstLine="656"/>
        <w:spacing w:after="0" w:line="238" w:lineRule="auto"/>
        <w:tabs>
          <w:tab w:leader="none" w:pos="13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184" w:lineRule="exact"/>
        <w:rPr>
          <w:rFonts w:ascii="Arial" w:cs="Arial" w:eastAsia="Arial" w:hAnsi="Arial"/>
          <w:sz w:val="22"/>
          <w:szCs w:val="22"/>
          <w:color w:val="auto"/>
        </w:rPr>
      </w:pPr>
    </w:p>
    <w:p>
      <w:pPr>
        <w:ind w:right="320" w:firstLine="656"/>
        <w:spacing w:after="0" w:line="250" w:lineRule="auto"/>
        <w:tabs>
          <w:tab w:leader="none" w:pos="128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certain transition payments as an incentive to join the Company.</w:t>
      </w:r>
    </w:p>
    <w:p>
      <w:pPr>
        <w:spacing w:after="0" w:line="175" w:lineRule="exact"/>
        <w:rPr>
          <w:sz w:val="20"/>
          <w:szCs w:val="20"/>
          <w:color w:val="auto"/>
        </w:rPr>
      </w:pPr>
    </w:p>
    <w:p>
      <w:pPr>
        <w:ind w:left="660" w:right="1660" w:hanging="4"/>
        <w:spacing w:after="0" w:line="435" w:lineRule="auto"/>
        <w:tabs>
          <w:tab w:leader="none" w:pos="1332" w:val="left"/>
        </w:tabs>
        <w:numPr>
          <w:ilvl w:val="0"/>
          <w:numId w:val="63"/>
        </w:numPr>
        <w:rPr>
          <w:rFonts w:ascii="Arial" w:cs="Arial" w:eastAsia="Arial" w:hAnsi="Arial"/>
          <w:sz w:val="22"/>
          <w:szCs w:val="22"/>
          <w:color w:val="auto"/>
        </w:rPr>
      </w:pPr>
      <w:r>
        <w:rPr>
          <w:rFonts w:ascii="Arial" w:cs="Arial" w:eastAsia="Arial" w:hAnsi="Arial"/>
          <w:sz w:val="22"/>
          <w:szCs w:val="22"/>
          <w:color w:val="auto"/>
        </w:rPr>
        <w:t>Certain capitalized terms used in this Agreement are defined in Section 8 below. The parties hereto agree as follows:</w:t>
      </w:r>
    </w:p>
    <w:p>
      <w:pPr>
        <w:spacing w:after="0" w:line="1" w:lineRule="exact"/>
        <w:rPr>
          <w:sz w:val="20"/>
          <w:szCs w:val="20"/>
          <w:color w:val="auto"/>
        </w:rPr>
      </w:pPr>
    </w:p>
    <w:p>
      <w:pPr>
        <w:ind w:right="40" w:firstLine="656"/>
        <w:spacing w:after="0" w:line="328"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This Agreement shall become effective as of the Effective Date and terminate upon the date that all obligations of the parties hereto with respect to this Agreement have been satisfied.</w:t>
      </w:r>
    </w:p>
    <w:p>
      <w:pPr>
        <w:spacing w:after="0" w:line="104" w:lineRule="exact"/>
        <w:rPr>
          <w:rFonts w:ascii="Arial" w:cs="Arial" w:eastAsia="Arial" w:hAnsi="Arial"/>
          <w:sz w:val="19"/>
          <w:szCs w:val="19"/>
          <w:color w:val="auto"/>
        </w:rPr>
      </w:pPr>
    </w:p>
    <w:p>
      <w:pPr>
        <w:ind w:right="140" w:firstLine="656"/>
        <w:spacing w:after="0" w:line="250" w:lineRule="auto"/>
        <w:tabs>
          <w:tab w:leader="none" w:pos="129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shall continue to be “at-will,” as defined under applicable law. If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87" w:name="page88"/>
    <w:bookmarkEnd w:id="87"/>
    <w:p>
      <w:pPr>
        <w:ind w:right="20"/>
        <w:spacing w:after="0" w:line="250" w:lineRule="auto"/>
        <w:rPr>
          <w:sz w:val="20"/>
          <w:szCs w:val="20"/>
          <w:color w:val="auto"/>
        </w:rPr>
      </w:pPr>
      <w:r>
        <w:rPr>
          <w:rFonts w:ascii="Arial" w:cs="Arial" w:eastAsia="Arial" w:hAnsi="Arial"/>
          <w:sz w:val="22"/>
          <w:szCs w:val="22"/>
          <w:color w:val="auto"/>
        </w:rPr>
        <w:t>employment terminates for any reason, Executive shall not be entitled to any payments, benefits, damages, awards or compensation other than as provided by this Agreement.</w:t>
      </w:r>
    </w:p>
    <w:p>
      <w:pPr>
        <w:spacing w:after="0" w:line="175" w:lineRule="exact"/>
        <w:rPr>
          <w:sz w:val="20"/>
          <w:szCs w:val="20"/>
          <w:color w:val="auto"/>
        </w:rPr>
      </w:pPr>
    </w:p>
    <w:p>
      <w:pPr>
        <w:ind w:right="20" w:firstLine="656"/>
        <w:spacing w:after="0" w:line="246" w:lineRule="auto"/>
        <w:tabs>
          <w:tab w:leader="none" w:pos="1296"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Covered Termination Other Than During a Change in Control Period</w:t>
      </w:r>
      <w:r>
        <w:rPr>
          <w:rFonts w:ascii="Arial" w:cs="Arial" w:eastAsia="Arial" w:hAnsi="Arial"/>
          <w:sz w:val="21"/>
          <w:szCs w:val="21"/>
          <w:color w:val="auto"/>
        </w:rPr>
        <w:t>. If Executive experiences a Covered Termination other than during a Change in Control Period, and if Executive delivers to the Company a general release of all claims against the Company and its affiliates in a form acceptable to the Company (a “</w:t>
      </w:r>
      <w:r>
        <w:rPr>
          <w:rFonts w:ascii="Arial" w:cs="Arial" w:eastAsia="Arial" w:hAnsi="Arial"/>
          <w:sz w:val="21"/>
          <w:szCs w:val="21"/>
          <w:u w:val="single" w:color="auto"/>
          <w:color w:val="auto"/>
        </w:rPr>
        <w:t>Release of Claims</w:t>
      </w:r>
      <w:r>
        <w:rPr>
          <w:rFonts w:ascii="Arial" w:cs="Arial" w:eastAsia="Arial" w:hAnsi="Arial"/>
          <w:sz w:val="21"/>
          <w:szCs w:val="21"/>
          <w:color w:val="auto"/>
        </w:rPr>
        <w:t>”) that becomes effective and irrevocable within sixty (60) days, or such shorter period of time specified by the Company, following such Covered Termination, then in addition to any accrued but unpaid salary, bonus, vacation and expense reimbursement payable in accordance with applicable law, the Company shall provide Executive with the following:</w:t>
      </w:r>
    </w:p>
    <w:p>
      <w:pPr>
        <w:spacing w:after="0" w:line="184" w:lineRule="exact"/>
        <w:rPr>
          <w:sz w:val="20"/>
          <w:szCs w:val="20"/>
          <w:color w:val="auto"/>
        </w:rPr>
      </w:pPr>
    </w:p>
    <w:p>
      <w:pPr>
        <w:ind w:left="660" w:right="260" w:hanging="4"/>
        <w:spacing w:after="0" w:line="282" w:lineRule="auto"/>
        <w:tabs>
          <w:tab w:leader="none" w:pos="1332"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Executive shall be entitled to receive an amount equal to nine (9) months of Executive’s Base Salary payable in substantially equal installments in accordance with the Company’s normal payroll policies, less applicable withholdings, with such installments to commence as soon as administratively practicable following the date the Release of Claims is not subject to revocation and, in any event, within sixty (60) days following the date of the Covered Termination.</w:t>
      </w:r>
    </w:p>
    <w:p>
      <w:pPr>
        <w:spacing w:after="0" w:line="147" w:lineRule="exact"/>
        <w:rPr>
          <w:rFonts w:ascii="Arial" w:cs="Arial" w:eastAsia="Arial" w:hAnsi="Arial"/>
          <w:sz w:val="19"/>
          <w:szCs w:val="19"/>
          <w:color w:val="auto"/>
        </w:rPr>
      </w:pPr>
    </w:p>
    <w:p>
      <w:pPr>
        <w:ind w:left="660" w:hanging="4"/>
        <w:spacing w:after="0" w:line="271" w:lineRule="auto"/>
        <w:tabs>
          <w:tab w:leader="none" w:pos="1344"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If Executive elects to receive continued healthcare coverage pursuant to the provisions of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 Company shall directly pay, or reimburse Executive for, the premium for Executive and Executive’s covered dependents through the earlier of (i) the first (1</w:t>
      </w:r>
      <w:r>
        <w:rPr>
          <w:rFonts w:ascii="Arial" w:cs="Arial" w:eastAsia="Arial" w:hAnsi="Arial"/>
          <w:sz w:val="14"/>
          <w:szCs w:val="14"/>
          <w:color w:val="auto"/>
        </w:rPr>
        <w:t>st</w:t>
      </w:r>
      <w:r>
        <w:rPr>
          <w:rFonts w:ascii="Arial" w:cs="Arial" w:eastAsia="Arial" w:hAnsi="Arial"/>
          <w:sz w:val="19"/>
          <w:szCs w:val="19"/>
          <w:color w:val="auto"/>
        </w:rPr>
        <w:t>) anniversary of the date of Executive’s termination of employment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 (b), Executive may, if eligible, elect to continue healthcare coverage at Executive’s expense in accordance the provisions of COBRA.</w:t>
      </w:r>
    </w:p>
    <w:p>
      <w:pPr>
        <w:spacing w:after="0" w:line="164" w:lineRule="exact"/>
        <w:rPr>
          <w:sz w:val="20"/>
          <w:szCs w:val="20"/>
          <w:color w:val="auto"/>
        </w:rPr>
      </w:pPr>
    </w:p>
    <w:p>
      <w:pPr>
        <w:ind w:right="20" w:firstLine="656"/>
        <w:spacing w:after="0" w:line="235"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Covered Termination During a Change in Control Period</w:t>
      </w:r>
      <w:r>
        <w:rPr>
          <w:rFonts w:ascii="Arial" w:cs="Arial" w:eastAsia="Arial" w:hAnsi="Arial"/>
          <w:sz w:val="22"/>
          <w:szCs w:val="22"/>
          <w:color w:val="auto"/>
        </w:rPr>
        <w:t>. If Executive experiences a Covered Termination during a Change in Control Period, and if Executive delivers to the Company a Release of Claims that becomes effective and irrevocable within sixty (60) days, or such shorter period of time specified by the Company, following such Covered Termination, then in addition to any accrued but unpaid salary, bonus, vacation and expense reimbursement payable in accordance with applicable law, the Company shall provide Executive with the following:</w:t>
      </w:r>
    </w:p>
    <w:p>
      <w:pPr>
        <w:spacing w:after="0" w:line="188" w:lineRule="exact"/>
        <w:rPr>
          <w:sz w:val="20"/>
          <w:szCs w:val="20"/>
          <w:color w:val="auto"/>
        </w:rPr>
      </w:pPr>
    </w:p>
    <w:p>
      <w:pPr>
        <w:ind w:left="1320" w:hanging="664"/>
        <w:spacing w:after="0"/>
        <w:tabs>
          <w:tab w:leader="none" w:pos="132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Executive shall be entitled to receive an amount equal to one hundred percent of the</w:t>
      </w:r>
    </w:p>
    <w:p>
      <w:pPr>
        <w:spacing w:after="0" w:line="42" w:lineRule="exact"/>
        <w:rPr>
          <w:rFonts w:ascii="Arial" w:cs="Arial" w:eastAsia="Arial" w:hAnsi="Arial"/>
          <w:sz w:val="19"/>
          <w:szCs w:val="19"/>
          <w:color w:val="auto"/>
        </w:rPr>
      </w:pPr>
    </w:p>
    <w:p>
      <w:pPr>
        <w:ind w:left="660" w:right="920"/>
        <w:spacing w:after="0" w:line="236" w:lineRule="auto"/>
        <w:rPr>
          <w:rFonts w:ascii="Arial" w:cs="Arial" w:eastAsia="Arial" w:hAnsi="Arial"/>
          <w:sz w:val="19"/>
          <w:szCs w:val="19"/>
          <w:color w:val="auto"/>
        </w:rPr>
      </w:pPr>
      <w:r>
        <w:rPr>
          <w:rFonts w:ascii="Arial" w:cs="Arial" w:eastAsia="Arial" w:hAnsi="Arial"/>
          <w:sz w:val="22"/>
          <w:szCs w:val="22"/>
          <w:color w:val="auto"/>
        </w:rPr>
        <w:t>sum of: (i) Executive’s Base Salary and (ii) Executive’s target annual bonus for the fiscal year of Executive’s termination, in each case, at the rate in effect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88" w:name="page89"/>
    <w:bookmarkEnd w:id="88"/>
    <w:p>
      <w:pPr>
        <w:ind w:left="640" w:right="60"/>
        <w:spacing w:after="0" w:line="297" w:lineRule="auto"/>
        <w:rPr>
          <w:sz w:val="20"/>
          <w:szCs w:val="20"/>
          <w:color w:val="auto"/>
        </w:rPr>
      </w:pPr>
      <w:r>
        <w:rPr>
          <w:rFonts w:ascii="Arial" w:cs="Arial" w:eastAsia="Arial" w:hAnsi="Arial"/>
          <w:sz w:val="19"/>
          <w:szCs w:val="19"/>
          <w:color w:val="auto"/>
        </w:rPr>
        <w:t>prior to Executive’s termination of employment payable in a cash lump sum, less applicable withholdings, as soon as administratively practicable following the date the Release of Claims is not subject to revocation and, in any event, within sixty (60) days following the date of the Covered Termination.</w:t>
      </w:r>
    </w:p>
    <w:p>
      <w:pPr>
        <w:spacing w:after="0" w:line="134" w:lineRule="exact"/>
        <w:rPr>
          <w:sz w:val="20"/>
          <w:szCs w:val="20"/>
          <w:color w:val="auto"/>
        </w:rPr>
      </w:pPr>
    </w:p>
    <w:p>
      <w:pPr>
        <w:ind w:left="640" w:right="140" w:hanging="4"/>
        <w:spacing w:after="0" w:line="277" w:lineRule="auto"/>
        <w:tabs>
          <w:tab w:leader="none" w:pos="1324"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one hundred percent (100%) of the shares subject thereto. To the extent vested after giving effect to the acceleration provided in the preceding sentence, each stock option held by Executive shall remain exercisable until the earlier of the original expiration date for such stock option or the first anniversary of Executive’s Covered Termination.</w:t>
      </w:r>
    </w:p>
    <w:p>
      <w:pPr>
        <w:spacing w:after="0" w:line="151" w:lineRule="exact"/>
        <w:rPr>
          <w:rFonts w:ascii="Arial" w:cs="Arial" w:eastAsia="Arial" w:hAnsi="Arial"/>
          <w:sz w:val="19"/>
          <w:szCs w:val="19"/>
          <w:color w:val="auto"/>
        </w:rPr>
      </w:pPr>
    </w:p>
    <w:p>
      <w:pPr>
        <w:ind w:left="640" w:hanging="4"/>
        <w:spacing w:after="0" w:line="271" w:lineRule="auto"/>
        <w:tabs>
          <w:tab w:leader="none" w:pos="131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If Executive elects to receive continued healthcare coverage pursuant to the provisions of COBRA, the Company shall directly pay, or reimburse Executive for, the premium for Executive and Executive’s covered dependents through the earlier of (i) the first (1</w:t>
      </w:r>
      <w:r>
        <w:rPr>
          <w:rFonts w:ascii="Arial" w:cs="Arial" w:eastAsia="Arial" w:hAnsi="Arial"/>
          <w:sz w:val="14"/>
          <w:szCs w:val="14"/>
          <w:color w:val="auto"/>
        </w:rPr>
        <w:t>st</w:t>
      </w:r>
      <w:r>
        <w:rPr>
          <w:rFonts w:ascii="Arial" w:cs="Arial" w:eastAsia="Arial" w:hAnsi="Arial"/>
          <w:sz w:val="19"/>
          <w:szCs w:val="19"/>
          <w:color w:val="auto"/>
        </w:rPr>
        <w:t>) anniversary of the date of Executive’s termination of employment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5(c), Executive may, if eligible, elect to continue healthcare coverage at Executive’s expense in accordance the provisions of COBRA.</w:t>
      </w:r>
    </w:p>
    <w:p>
      <w:pPr>
        <w:spacing w:after="0" w:line="200" w:lineRule="exact"/>
        <w:rPr>
          <w:sz w:val="20"/>
          <w:szCs w:val="20"/>
          <w:color w:val="auto"/>
        </w:rPr>
      </w:pPr>
    </w:p>
    <w:p>
      <w:pPr>
        <w:spacing w:after="0" w:line="211" w:lineRule="exact"/>
        <w:rPr>
          <w:sz w:val="20"/>
          <w:szCs w:val="20"/>
          <w:color w:val="auto"/>
        </w:rPr>
      </w:pPr>
    </w:p>
    <w:p>
      <w:pPr>
        <w:ind w:left="-20" w:right="40" w:firstLine="656"/>
        <w:spacing w:after="0" w:line="236" w:lineRule="auto"/>
        <w:tabs>
          <w:tab w:leader="none" w:pos="127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Executive’s service with the Company is terminated by the Company or by Executive for any or no reason other than as a Covered Termination,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spacing w:after="0" w:line="187" w:lineRule="exact"/>
        <w:rPr>
          <w:rFonts w:ascii="Arial" w:cs="Arial" w:eastAsia="Arial" w:hAnsi="Arial"/>
          <w:sz w:val="22"/>
          <w:szCs w:val="22"/>
          <w:color w:val="auto"/>
        </w:rPr>
      </w:pPr>
    </w:p>
    <w:p>
      <w:pPr>
        <w:ind w:left="-20" w:right="120" w:firstLine="656"/>
        <w:spacing w:after="0" w:line="275" w:lineRule="auto"/>
        <w:tabs>
          <w:tab w:leader="none" w:pos="127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Notwithstanding anything in this Agreement to the contrary, if any payment or distribution Executive would receive pursuant to this Agreement or otherwise (“</w:t>
      </w:r>
      <w:r>
        <w:rPr>
          <w:rFonts w:ascii="Arial" w:cs="Arial" w:eastAsia="Arial" w:hAnsi="Arial"/>
          <w:sz w:val="19"/>
          <w:szCs w:val="19"/>
          <w:u w:val="single" w:color="auto"/>
          <w:color w:val="auto"/>
        </w:rPr>
        <w:t>Payment</w:t>
      </w:r>
      <w:r>
        <w:rPr>
          <w:rFonts w:ascii="Arial" w:cs="Arial" w:eastAsia="Arial" w:hAnsi="Arial"/>
          <w:sz w:val="19"/>
          <w:szCs w:val="19"/>
          <w:color w:val="auto"/>
        </w:rPr>
        <w:t>”) would (a) constitute a “parachute payment” within the meaning of Section 280G of the Code, and (b) but for this sentence,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874" w:right="1019" w:bottom="1440" w:gutter="0" w:footer="0" w:header="0"/>
        </w:sectPr>
      </w:pPr>
    </w:p>
    <w:bookmarkStart w:id="89" w:name="page90"/>
    <w:bookmarkEnd w:id="89"/>
    <w:p>
      <w:pPr>
        <w:ind w:right="40"/>
        <w:spacing w:after="0" w:line="273" w:lineRule="auto"/>
        <w:rPr>
          <w:sz w:val="20"/>
          <w:szCs w:val="20"/>
          <w:color w:val="auto"/>
        </w:rPr>
      </w:pPr>
      <w:r>
        <w:rPr>
          <w:rFonts w:ascii="Arial" w:cs="Arial" w:eastAsia="Arial" w:hAnsi="Arial"/>
          <w:sz w:val="19"/>
          <w:szCs w:val="19"/>
          <w:color w:val="auto"/>
        </w:rPr>
        <w:t>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7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61"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Definition of Terms</w:t>
      </w:r>
      <w:r>
        <w:rPr>
          <w:rFonts w:ascii="Arial" w:cs="Arial" w:eastAsia="Arial" w:hAnsi="Arial"/>
          <w:sz w:val="19"/>
          <w:szCs w:val="19"/>
          <w:color w:val="auto"/>
        </w:rPr>
        <w:t>. The following terms referred to in this Agreement shall have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188" w:lineRule="exact"/>
        <w:rPr>
          <w:rFonts w:ascii="Arial" w:cs="Arial" w:eastAsia="Arial" w:hAnsi="Arial"/>
          <w:sz w:val="19"/>
          <w:szCs w:val="19"/>
          <w:color w:val="auto"/>
        </w:rPr>
      </w:pPr>
    </w:p>
    <w:p>
      <w:pPr>
        <w:ind w:right="320" w:firstLine="1304"/>
        <w:spacing w:after="0"/>
        <w:tabs>
          <w:tab w:leader="none" w:pos="1968"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w:t>
      </w:r>
      <w:r>
        <w:rPr>
          <w:rFonts w:ascii="Arial" w:cs="Arial" w:eastAsia="Arial" w:hAnsi="Arial"/>
          <w:sz w:val="22"/>
          <w:szCs w:val="22"/>
          <w:u w:val="single" w:color="auto"/>
          <w:color w:val="auto"/>
        </w:rPr>
        <w:t>Base Salary</w:t>
      </w:r>
      <w:r>
        <w:rPr>
          <w:rFonts w:ascii="Arial" w:cs="Arial" w:eastAsia="Arial" w:hAnsi="Arial"/>
          <w:sz w:val="22"/>
          <w:szCs w:val="22"/>
          <w:color w:val="auto"/>
        </w:rPr>
        <w:t>” means Executive’s annual base salary in effect immediately prior to Executive’s termination (disregarding any reduction in base salary that would give rise to Executive’s right to a Voluntary Resignation for Good Reason).</w:t>
      </w:r>
    </w:p>
    <w:p>
      <w:pPr>
        <w:spacing w:after="0" w:line="186" w:lineRule="exact"/>
        <w:rPr>
          <w:rFonts w:ascii="Arial" w:cs="Arial" w:eastAsia="Arial" w:hAnsi="Arial"/>
          <w:sz w:val="22"/>
          <w:szCs w:val="22"/>
          <w:color w:val="auto"/>
        </w:rPr>
      </w:pPr>
    </w:p>
    <w:p>
      <w:pPr>
        <w:ind w:firstLine="1304"/>
        <w:spacing w:after="0" w:line="271" w:lineRule="auto"/>
        <w:tabs>
          <w:tab w:leader="none" w:pos="1980"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w:t>
      </w:r>
      <w:r>
        <w:rPr>
          <w:rFonts w:ascii="Arial" w:cs="Arial" w:eastAsia="Arial" w:hAnsi="Arial"/>
          <w:sz w:val="19"/>
          <w:szCs w:val="19"/>
          <w:u w:val="single" w:color="auto"/>
          <w:color w:val="auto"/>
        </w:rPr>
        <w:t>Cause</w:t>
      </w:r>
      <w:r>
        <w:rPr>
          <w:rFonts w:ascii="Arial" w:cs="Arial" w:eastAsia="Arial" w:hAnsi="Arial"/>
          <w:sz w:val="19"/>
          <w:szCs w:val="19"/>
          <w:color w:val="auto"/>
        </w:rPr>
        <w:t>” means (i) Executive’s theft, dishonesty or falsification of any employment or Company records that is non-trivial in nature; (ii) Executive’s malicious or reckless disclosure of the Company’s confidential or proprietary information or any material breach by Executive of his or her obligations under the Confidential Information Agreement (as defined below); (iii) the conviction of the Executive of a felony (excluding motor vehicle violations) or the commission of gross negligence or willful misconduct, where a majority of the non-employee members of the Board reasonably determines that such act or misconduct has (A) seriously undermined the ability of the Board or management of the Company to entrust Executive with important matters or otherwise work effectively with Executive, (B) substantially contributed to the Company’s loss of significant revenues or business opportunities, or (C) significantly and detrimentally affected the business or reputation of the Company or any of its subsidiaries; and/or (iv) the willful failure or refusal by Executive to follow the reasonable and lawful directives of the Board or Executive’s direct supervisor, provided such willful failure or refusal continues after Executive’s receipt of reasonable notice in writing of such failure or refusal and a reasonable opportunity of not less than 30 days to correct the problem. For the purpose of this Agreement, no act, or failure to act, shall be considered “willful” unless undertaken by Executive with an absence of good faith that this act, or failure to act, was in the best interests of the Company.</w:t>
      </w:r>
    </w:p>
    <w:p>
      <w:pPr>
        <w:spacing w:after="0" w:line="160" w:lineRule="exact"/>
        <w:rPr>
          <w:rFonts w:ascii="Arial" w:cs="Arial" w:eastAsia="Arial" w:hAnsi="Arial"/>
          <w:sz w:val="19"/>
          <w:szCs w:val="19"/>
          <w:color w:val="auto"/>
        </w:rPr>
      </w:pPr>
    </w:p>
    <w:p>
      <w:pPr>
        <w:ind w:firstLine="1304"/>
        <w:spacing w:after="0" w:line="297" w:lineRule="auto"/>
        <w:tabs>
          <w:tab w:leader="none" w:pos="1968"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have the meaning set forth in the Company’s 2014 Equity Incentive Award Plan, as it may be amended from time to time, provided that such event must also constitute a “change in control event” as defined in Treasury Regulation Section 1.409A-3(i)(5).</w:t>
      </w:r>
    </w:p>
    <w:p>
      <w:pPr>
        <w:spacing w:after="0" w:line="133" w:lineRule="exact"/>
        <w:rPr>
          <w:rFonts w:ascii="Arial" w:cs="Arial" w:eastAsia="Arial" w:hAnsi="Arial"/>
          <w:sz w:val="19"/>
          <w:szCs w:val="19"/>
          <w:color w:val="auto"/>
        </w:rPr>
      </w:pPr>
    </w:p>
    <w:p>
      <w:pPr>
        <w:ind w:right="20" w:firstLine="1304"/>
        <w:spacing w:after="0" w:line="250" w:lineRule="auto"/>
        <w:tabs>
          <w:tab w:leader="none" w:pos="1980"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w:t>
      </w:r>
      <w:r>
        <w:rPr>
          <w:rFonts w:ascii="Arial" w:cs="Arial" w:eastAsia="Arial" w:hAnsi="Arial"/>
          <w:sz w:val="22"/>
          <w:szCs w:val="22"/>
          <w:u w:val="single" w:color="auto"/>
          <w:color w:val="auto"/>
        </w:rPr>
        <w:t>Change in Control Period</w:t>
      </w:r>
      <w:r>
        <w:rPr>
          <w:rFonts w:ascii="Arial" w:cs="Arial" w:eastAsia="Arial" w:hAnsi="Arial"/>
          <w:sz w:val="22"/>
          <w:szCs w:val="22"/>
          <w:color w:val="auto"/>
        </w:rPr>
        <w:t>” means the period of time beginning three (3) months prior to and ending twelve (12) months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90" w:name="page91"/>
    <w:bookmarkEnd w:id="90"/>
    <w:p>
      <w:pPr>
        <w:ind w:left="-20" w:right="420" w:firstLine="1304"/>
        <w:spacing w:after="0"/>
        <w:tabs>
          <w:tab w:leader="none" w:pos="1948"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Covered Termination</w:t>
      </w:r>
      <w:r>
        <w:rPr>
          <w:rFonts w:ascii="Arial" w:cs="Arial" w:eastAsia="Arial" w:hAnsi="Arial"/>
          <w:sz w:val="22"/>
          <w:szCs w:val="22"/>
          <w:color w:val="auto"/>
        </w:rPr>
        <w:t>. “</w:t>
      </w:r>
      <w:r>
        <w:rPr>
          <w:rFonts w:ascii="Arial" w:cs="Arial" w:eastAsia="Arial" w:hAnsi="Arial"/>
          <w:sz w:val="22"/>
          <w:szCs w:val="22"/>
          <w:u w:val="single" w:color="auto"/>
          <w:color w:val="auto"/>
        </w:rPr>
        <w:t>Covered Termination</w:t>
      </w:r>
      <w:r>
        <w:rPr>
          <w:rFonts w:ascii="Arial" w:cs="Arial" w:eastAsia="Arial" w:hAnsi="Arial"/>
          <w:sz w:val="22"/>
          <w:szCs w:val="22"/>
          <w:color w:val="auto"/>
        </w:rPr>
        <w:t>” means (a) an Involuntary Termination Without Cause or (b) a Voluntary Resignation for Good Reason, provided that such termination or resignation constitutes a Separation from Service.</w:t>
      </w:r>
    </w:p>
    <w:p>
      <w:pPr>
        <w:spacing w:after="0" w:line="186" w:lineRule="exact"/>
        <w:rPr>
          <w:rFonts w:ascii="Arial" w:cs="Arial" w:eastAsia="Arial" w:hAnsi="Arial"/>
          <w:sz w:val="22"/>
          <w:szCs w:val="22"/>
          <w:color w:val="auto"/>
        </w:rPr>
      </w:pPr>
    </w:p>
    <w:p>
      <w:pPr>
        <w:ind w:left="-20" w:right="40" w:firstLine="1304"/>
        <w:spacing w:after="0" w:line="245" w:lineRule="auto"/>
        <w:tabs>
          <w:tab w:leader="none" w:pos="1924"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Good Reason Condition</w:t>
      </w:r>
      <w:r>
        <w:rPr>
          <w:rFonts w:ascii="Arial" w:cs="Arial" w:eastAsia="Arial" w:hAnsi="Arial"/>
          <w:sz w:val="21"/>
          <w:szCs w:val="21"/>
          <w:color w:val="auto"/>
        </w:rPr>
        <w:t>. “</w:t>
      </w:r>
      <w:r>
        <w:rPr>
          <w:rFonts w:ascii="Arial" w:cs="Arial" w:eastAsia="Arial" w:hAnsi="Arial"/>
          <w:sz w:val="21"/>
          <w:szCs w:val="21"/>
          <w:u w:val="single" w:color="auto"/>
          <w:color w:val="auto"/>
        </w:rPr>
        <w:t>Good Reason Condition</w:t>
      </w:r>
      <w:r>
        <w:rPr>
          <w:rFonts w:ascii="Arial" w:cs="Arial" w:eastAsia="Arial" w:hAnsi="Arial"/>
          <w:sz w:val="21"/>
          <w:szCs w:val="21"/>
          <w:color w:val="auto"/>
        </w:rPr>
        <w:t>” means that any of the following are undertaken without Executive’s express written consent: (i) a material diminution in Executive’s authority, duties, or responsibilities which substantially reduces the nature or character of Executive’s position with the Company; (ii</w:t>
      </w:r>
      <w:r>
        <w:rPr>
          <w:rFonts w:ascii="Arial" w:cs="Arial" w:eastAsia="Arial" w:hAnsi="Arial"/>
          <w:sz w:val="21"/>
          <w:szCs w:val="21"/>
          <w:b w:val="1"/>
          <w:bCs w:val="1"/>
          <w:color w:val="auto"/>
        </w:rPr>
        <w:t>)</w:t>
      </w:r>
      <w:r>
        <w:rPr>
          <w:rFonts w:ascii="Arial" w:cs="Arial" w:eastAsia="Arial" w:hAnsi="Arial"/>
          <w:sz w:val="21"/>
          <w:szCs w:val="21"/>
          <w:color w:val="auto"/>
        </w:rPr>
        <w:t xml:space="preserve"> a material reduction by the Company of Executive’s base salary as in effect immediately prior to such reduction; (iii</w:t>
      </w:r>
      <w:r>
        <w:rPr>
          <w:rFonts w:ascii="Arial" w:cs="Arial" w:eastAsia="Arial" w:hAnsi="Arial"/>
          <w:sz w:val="21"/>
          <w:szCs w:val="21"/>
          <w:b w:val="1"/>
          <w:bCs w:val="1"/>
          <w:color w:val="auto"/>
        </w:rPr>
        <w:t>)</w:t>
      </w:r>
      <w:r>
        <w:rPr>
          <w:rFonts w:ascii="Arial" w:cs="Arial" w:eastAsia="Arial" w:hAnsi="Arial"/>
          <w:sz w:val="21"/>
          <w:szCs w:val="21"/>
          <w:color w:val="auto"/>
        </w:rPr>
        <w:t xml:space="preserve"> a relocation of Executive’s principal office to a location more than fifty (50) miles from the location of Executive’s principal office as of immediately prior to such relocation, except for required travel by Executive on the Company’s business or (iv) any material breach by the Company of any provision of Executive’s employment agreement or offer letter agreement which the Company does not cure within 30 days following written notice thereof from Executive.</w:t>
      </w:r>
    </w:p>
    <w:p>
      <w:pPr>
        <w:spacing w:after="0" w:line="184" w:lineRule="exact"/>
        <w:rPr>
          <w:rFonts w:ascii="Arial" w:cs="Arial" w:eastAsia="Arial" w:hAnsi="Arial"/>
          <w:sz w:val="21"/>
          <w:szCs w:val="21"/>
          <w:color w:val="auto"/>
        </w:rPr>
      </w:pPr>
    </w:p>
    <w:p>
      <w:pPr>
        <w:ind w:left="-20" w:right="80" w:firstLine="1304"/>
        <w:spacing w:after="0" w:line="252" w:lineRule="auto"/>
        <w:tabs>
          <w:tab w:leader="none" w:pos="1960"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Involuntary Termination Without Cause</w:t>
      </w:r>
      <w:r>
        <w:rPr>
          <w:rFonts w:ascii="Arial" w:cs="Arial" w:eastAsia="Arial" w:hAnsi="Arial"/>
          <w:sz w:val="21"/>
          <w:szCs w:val="21"/>
          <w:color w:val="auto"/>
        </w:rPr>
        <w:t>. “</w:t>
      </w:r>
      <w:r>
        <w:rPr>
          <w:rFonts w:ascii="Arial" w:cs="Arial" w:eastAsia="Arial" w:hAnsi="Arial"/>
          <w:sz w:val="21"/>
          <w:szCs w:val="21"/>
          <w:u w:val="single" w:color="auto"/>
          <w:color w:val="auto"/>
        </w:rPr>
        <w:t>Involuntary Termination Without Cause</w:t>
      </w:r>
      <w:r>
        <w:rPr>
          <w:rFonts w:ascii="Arial" w:cs="Arial" w:eastAsia="Arial" w:hAnsi="Arial"/>
          <w:sz w:val="21"/>
          <w:szCs w:val="21"/>
          <w:color w:val="auto"/>
        </w:rPr>
        <w:t>” 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spacing w:after="0" w:line="173" w:lineRule="exact"/>
        <w:rPr>
          <w:rFonts w:ascii="Arial" w:cs="Arial" w:eastAsia="Arial" w:hAnsi="Arial"/>
          <w:sz w:val="21"/>
          <w:szCs w:val="21"/>
          <w:color w:val="auto"/>
        </w:rPr>
      </w:pPr>
    </w:p>
    <w:p>
      <w:pPr>
        <w:ind w:left="-20" w:right="60" w:firstLine="1304"/>
        <w:spacing w:after="0"/>
        <w:tabs>
          <w:tab w:leader="none" w:pos="1960"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Separation from Service</w:t>
      </w:r>
      <w:r>
        <w:rPr>
          <w:rFonts w:ascii="Arial" w:cs="Arial" w:eastAsia="Arial" w:hAnsi="Arial"/>
          <w:sz w:val="22"/>
          <w:szCs w:val="22"/>
          <w:color w:val="auto"/>
        </w:rPr>
        <w:t>.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Executive’s termination of employment or service constitutes a “separation from service” within the meaning of Treasury Regulation Section 1.409A-1(h).</w:t>
      </w:r>
    </w:p>
    <w:p>
      <w:pPr>
        <w:spacing w:after="0" w:line="186" w:lineRule="exact"/>
        <w:rPr>
          <w:rFonts w:ascii="Arial" w:cs="Arial" w:eastAsia="Arial" w:hAnsi="Arial"/>
          <w:sz w:val="22"/>
          <w:szCs w:val="22"/>
          <w:color w:val="auto"/>
        </w:rPr>
      </w:pPr>
    </w:p>
    <w:p>
      <w:pPr>
        <w:ind w:left="-20" w:right="20" w:firstLine="1304"/>
        <w:spacing w:after="0" w:line="273" w:lineRule="auto"/>
        <w:tabs>
          <w:tab w:leader="none" w:pos="1966"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Voluntary Resignation for Good Reason</w:t>
      </w:r>
      <w:r>
        <w:rPr>
          <w:rFonts w:ascii="Arial" w:cs="Arial" w:eastAsia="Arial" w:hAnsi="Arial"/>
          <w:sz w:val="19"/>
          <w:szCs w:val="19"/>
          <w:color w:val="auto"/>
        </w:rPr>
        <w:t>. “</w:t>
      </w:r>
      <w:r>
        <w:rPr>
          <w:rFonts w:ascii="Arial" w:cs="Arial" w:eastAsia="Arial" w:hAnsi="Arial"/>
          <w:sz w:val="19"/>
          <w:szCs w:val="19"/>
          <w:u w:val="single" w:color="auto"/>
          <w:color w:val="auto"/>
        </w:rPr>
        <w:t>Voluntary Resignation for Good Reason</w:t>
      </w:r>
      <w:r>
        <w:rPr>
          <w:rFonts w:ascii="Arial" w:cs="Arial" w:eastAsia="Arial" w:hAnsi="Arial"/>
          <w:sz w:val="19"/>
          <w:szCs w:val="19"/>
          <w:color w:val="auto"/>
        </w:rPr>
        <w:t>” means Executive’s resignation as a result of a Good Reason Condition in accordance with this subsection (i). In order for a resignation to constitute a Voluntary Resignation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 in Sections 4 or 5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spacing w:after="0" w:line="155" w:lineRule="exact"/>
        <w:rPr>
          <w:rFonts w:ascii="Arial" w:cs="Arial" w:eastAsia="Arial" w:hAnsi="Arial"/>
          <w:sz w:val="19"/>
          <w:szCs w:val="19"/>
          <w:color w:val="auto"/>
        </w:rPr>
      </w:pPr>
    </w:p>
    <w:p>
      <w:pPr>
        <w:ind w:left="1280" w:hanging="644"/>
        <w:spacing w:after="0"/>
        <w:tabs>
          <w:tab w:leader="none" w:pos="128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 w:firstLine="1304"/>
        <w:spacing w:after="0" w:line="236" w:lineRule="auto"/>
        <w:tabs>
          <w:tab w:leader="none" w:pos="1948"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Company’s Successors</w:t>
      </w:r>
      <w:r>
        <w:rPr>
          <w:rFonts w:ascii="Arial" w:cs="Arial" w:eastAsia="Arial" w:hAnsi="Arial"/>
          <w:sz w:val="22"/>
          <w:szCs w:val="22"/>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4" w:right="999" w:bottom="1440" w:gutter="0" w:footer="0" w:header="0"/>
        </w:sectPr>
      </w:pPr>
    </w:p>
    <w:bookmarkStart w:id="91" w:name="page92"/>
    <w:bookmarkEnd w:id="91"/>
    <w:p>
      <w:pPr>
        <w:ind w:right="280"/>
        <w:spacing w:after="0" w:line="297" w:lineRule="auto"/>
        <w:rPr>
          <w:sz w:val="20"/>
          <w:szCs w:val="20"/>
          <w:color w:val="auto"/>
        </w:rPr>
      </w:pPr>
      <w:r>
        <w:rPr>
          <w:rFonts w:ascii="Arial" w:cs="Arial" w:eastAsia="Arial" w:hAnsi="Arial"/>
          <w:sz w:val="19"/>
          <w:szCs w:val="19"/>
          <w:color w:val="auto"/>
        </w:rPr>
        <w:t>of a succession. For all purposes under this Agreement, the term “Company” shall include any successor to the Company’s business and/or assets which executes and delivers the assumption agreement described in this Section 9 (a) or which becomes bound by the terms of this Agreement by operation of law.</w:t>
      </w:r>
    </w:p>
    <w:p>
      <w:pPr>
        <w:spacing w:after="0" w:line="134" w:lineRule="exact"/>
        <w:rPr>
          <w:sz w:val="20"/>
          <w:szCs w:val="20"/>
          <w:color w:val="auto"/>
        </w:rPr>
      </w:pPr>
    </w:p>
    <w:p>
      <w:pPr>
        <w:ind w:right="20" w:firstLine="1304"/>
        <w:spacing w:after="0"/>
        <w:tabs>
          <w:tab w:leader="none" w:pos="1980"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86" w:lineRule="exact"/>
        <w:rPr>
          <w:rFonts w:ascii="Arial" w:cs="Arial" w:eastAsia="Arial" w:hAnsi="Arial"/>
          <w:sz w:val="22"/>
          <w:szCs w:val="22"/>
          <w:color w:val="auto"/>
        </w:rPr>
      </w:pPr>
    </w:p>
    <w:p>
      <w:pPr>
        <w:ind w:right="40" w:firstLine="656"/>
        <w:spacing w:after="0" w:line="248" w:lineRule="auto"/>
        <w:tabs>
          <w:tab w:leader="none" w:pos="1296"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primary office location, and all notices shall be directed to the attention of its Vice President, General Counsel.</w:t>
      </w:r>
    </w:p>
    <w:p>
      <w:pPr>
        <w:spacing w:after="0" w:line="176" w:lineRule="exact"/>
        <w:rPr>
          <w:rFonts w:ascii="Arial" w:cs="Arial" w:eastAsia="Arial" w:hAnsi="Arial"/>
          <w:sz w:val="21"/>
          <w:szCs w:val="21"/>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Confidentiality; Non-Solicitation.</w:t>
      </w:r>
    </w:p>
    <w:p>
      <w:pPr>
        <w:spacing w:after="0" w:line="206" w:lineRule="exact"/>
        <w:rPr>
          <w:rFonts w:ascii="Arial" w:cs="Arial" w:eastAsia="Arial" w:hAnsi="Arial"/>
          <w:sz w:val="22"/>
          <w:szCs w:val="22"/>
          <w:color w:val="auto"/>
        </w:rPr>
      </w:pPr>
    </w:p>
    <w:p>
      <w:pPr>
        <w:ind w:right="40" w:firstLine="1304"/>
        <w:spacing w:after="0" w:line="270" w:lineRule="auto"/>
        <w:tabs>
          <w:tab w:leader="none" w:pos="1968"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w:t>
      </w:r>
      <w:r>
        <w:rPr>
          <w:rFonts w:ascii="Arial" w:cs="Arial" w:eastAsia="Arial" w:hAnsi="Arial"/>
          <w:sz w:val="19"/>
          <w:szCs w:val="19"/>
          <w:i w:val="1"/>
          <w:iCs w:val="1"/>
          <w:color w:val="auto"/>
        </w:rPr>
        <w:t>provided, however</w:t>
      </w:r>
      <w:r>
        <w:rPr>
          <w:rFonts w:ascii="Arial" w:cs="Arial" w:eastAsia="Arial" w:hAnsi="Arial"/>
          <w:sz w:val="19"/>
          <w:szCs w:val="19"/>
          <w:color w:val="auto"/>
        </w:rPr>
        <w:t>, that Executive shall not be obligated to treat as confidential, or return to the Company copies of any Confidential Information that (i) was publicly known at the time of disclosure to Executive, (ii) 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information disclosed to Executive or known by Executive as a consequence of or through his or 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Proprietary Information and Inventions Assignment Agreement entered into between Executive and the Company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firstLine="1304"/>
        <w:spacing w:after="0" w:line="234" w:lineRule="auto"/>
        <w:tabs>
          <w:tab w:leader="none" w:pos="1980"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xml:space="preserve">. In addition to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Arial" w:cs="Arial" w:eastAsia="Arial" w:hAnsi="Arial"/>
          <w:sz w:val="22"/>
          <w:szCs w:val="22"/>
          <w:i w:val="1"/>
          <w:iCs w:val="1"/>
          <w:color w:val="auto"/>
        </w:rPr>
        <w:t>provided, however</w:t>
      </w:r>
      <w:r>
        <w:rPr>
          <w:rFonts w:ascii="Arial" w:cs="Arial" w:eastAsia="Arial" w:hAnsi="Arial"/>
          <w:sz w:val="22"/>
          <w:szCs w:val="22"/>
          <w:color w:val="auto"/>
        </w:rPr>
        <w:t>, that a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2" w:name="page93"/>
    <w:bookmarkEnd w:id="92"/>
    <w:p>
      <w:pPr>
        <w:spacing w:after="0" w:line="297" w:lineRule="auto"/>
        <w:rPr>
          <w:sz w:val="20"/>
          <w:szCs w:val="20"/>
          <w:color w:val="auto"/>
        </w:rPr>
      </w:pPr>
      <w:r>
        <w:rPr>
          <w:rFonts w:ascii="Arial" w:cs="Arial" w:eastAsia="Arial" w:hAnsi="Arial"/>
          <w:sz w:val="19"/>
          <w:szCs w:val="19"/>
          <w:color w:val="auto"/>
        </w:rPr>
        <w:t>advertisement to which an employee of the Company responds shall in no event be deemed to result in a breach of this Section 11(b). Executive also agrees not to harass or disparage the Company or its employees, clients, directors or agents or divert or attempt to divert any actual or potential business of the Company.</w:t>
      </w:r>
    </w:p>
    <w:p>
      <w:pPr>
        <w:spacing w:after="0" w:line="134" w:lineRule="exact"/>
        <w:rPr>
          <w:sz w:val="20"/>
          <w:szCs w:val="20"/>
          <w:color w:val="auto"/>
        </w:rPr>
      </w:pPr>
    </w:p>
    <w:p>
      <w:pPr>
        <w:ind w:right="140" w:firstLine="1304"/>
        <w:spacing w:after="0" w:line="248" w:lineRule="auto"/>
        <w:tabs>
          <w:tab w:leader="none" w:pos="1968" w:val="left"/>
        </w:tabs>
        <w:numPr>
          <w:ilvl w:val="1"/>
          <w:numId w:val="76"/>
        </w:numPr>
        <w:rPr>
          <w:rFonts w:ascii="Arial" w:cs="Arial" w:eastAsia="Arial" w:hAnsi="Arial"/>
          <w:sz w:val="21"/>
          <w:szCs w:val="21"/>
          <w:color w:val="auto"/>
        </w:rPr>
      </w:pPr>
      <w:r>
        <w:rPr>
          <w:rFonts w:ascii="Arial" w:cs="Arial" w:eastAsia="Arial" w:hAnsi="Arial"/>
          <w:sz w:val="21"/>
          <w:szCs w:val="21"/>
          <w:u w:val="single" w:color="auto"/>
          <w:color w:val="auto"/>
        </w:rPr>
        <w:t>Survival of Provisions</w:t>
      </w:r>
      <w:r>
        <w:rPr>
          <w:rFonts w:ascii="Arial" w:cs="Arial" w:eastAsia="Arial" w:hAnsi="Arial"/>
          <w:sz w:val="21"/>
          <w:szCs w:val="21"/>
          <w:color w:val="auto"/>
        </w:rPr>
        <w:t>. The provisions of this Section 11 shall survive the termination or expiration of the applicable Executive’s employment with the Company and shall be fully enforceable thereafter. If it is determined by a court of competent jurisdiction in any state that any restriction in this Section 11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76" w:lineRule="exact"/>
        <w:rPr>
          <w:rFonts w:ascii="Arial" w:cs="Arial" w:eastAsia="Arial" w:hAnsi="Arial"/>
          <w:sz w:val="21"/>
          <w:szCs w:val="21"/>
          <w:color w:val="auto"/>
        </w:rPr>
      </w:pPr>
    </w:p>
    <w:p>
      <w:pPr>
        <w:ind w:right="40" w:firstLine="656"/>
        <w:spacing w:after="0" w:line="270" w:lineRule="auto"/>
        <w:tabs>
          <w:tab w:leader="none" w:pos="1288"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Alameda County, California, conducted by Judicial Arbitration and Mediation Services, Inc. (“</w:t>
      </w:r>
      <w:r>
        <w:rPr>
          <w:rFonts w:ascii="Arial" w:cs="Arial" w:eastAsia="Arial" w:hAnsi="Arial"/>
          <w:sz w:val="19"/>
          <w:szCs w:val="19"/>
          <w:u w:val="single" w:color="auto"/>
          <w:color w:val="auto"/>
        </w:rPr>
        <w:t>JAMS</w:t>
      </w:r>
      <w:r>
        <w:rPr>
          <w:rFonts w:ascii="Arial" w:cs="Arial" w:eastAsia="Arial" w:hAnsi="Arial"/>
          <w:sz w:val="19"/>
          <w:szCs w:val="19"/>
          <w:color w:val="auto"/>
        </w:rPr>
        <w:t xml:space="preserve">”) under the applicable JAMS employment rules. </w:t>
      </w:r>
      <w:r>
        <w:rPr>
          <w:rFonts w:ascii="Arial" w:cs="Arial" w:eastAsia="Arial" w:hAnsi="Arial"/>
          <w:sz w:val="19"/>
          <w:szCs w:val="19"/>
          <w:b w:val="1"/>
          <w:bCs w:val="1"/>
          <w:color w:val="auto"/>
        </w:rPr>
        <w:t>By agreeing to this arbitration procedure, both Executive and the Company waive the</w:t>
      </w:r>
      <w:r>
        <w:rPr>
          <w:rFonts w:ascii="Arial" w:cs="Arial" w:eastAsia="Arial" w:hAnsi="Arial"/>
          <w:sz w:val="19"/>
          <w:szCs w:val="19"/>
          <w:color w:val="auto"/>
        </w:rPr>
        <w:t xml:space="preserve"> </w:t>
      </w:r>
      <w:r>
        <w:rPr>
          <w:rFonts w:ascii="Arial" w:cs="Arial" w:eastAsia="Arial" w:hAnsi="Arial"/>
          <w:sz w:val="19"/>
          <w:szCs w:val="19"/>
          <w:b w:val="1"/>
          <w:bCs w:val="1"/>
          <w:color w:val="auto"/>
        </w:rPr>
        <w:t>right to resolve any such dispute through a trial by jury or judge or administrative proceeding</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arbitrator 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spacing w:after="0" w:line="168" w:lineRule="exact"/>
        <w:rPr>
          <w:rFonts w:ascii="Arial" w:cs="Arial" w:eastAsia="Arial" w:hAnsi="Arial"/>
          <w:sz w:val="19"/>
          <w:szCs w:val="19"/>
          <w:color w:val="auto"/>
        </w:rPr>
      </w:pPr>
    </w:p>
    <w:p>
      <w:pPr>
        <w:ind w:left="1300" w:hanging="644"/>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80" w:hanging="676"/>
        <w:spacing w:after="0"/>
        <w:tabs>
          <w:tab w:leader="none" w:pos="1980"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0" w:firstLine="1952"/>
        <w:spacing w:after="0" w:line="277" w:lineRule="auto"/>
        <w:tabs>
          <w:tab w:leader="none" w:pos="2634" w:val="left"/>
        </w:tabs>
        <w:numPr>
          <w:ilvl w:val="2"/>
          <w:numId w:val="77"/>
        </w:numPr>
        <w:rPr>
          <w:rFonts w:ascii="Arial" w:cs="Arial" w:eastAsia="Arial" w:hAnsi="Arial"/>
          <w:sz w:val="19"/>
          <w:szCs w:val="19"/>
          <w:color w:val="auto"/>
        </w:rPr>
      </w:pPr>
      <w:r>
        <w:rPr>
          <w:rFonts w:ascii="Arial" w:cs="Arial" w:eastAsia="Arial" w:hAnsi="Arial"/>
          <w:sz w:val="19"/>
          <w:szCs w:val="19"/>
          <w:u w:val="single" w:color="auto"/>
          <w:color w:val="auto"/>
        </w:rPr>
        <w:t>Separation from Service</w:t>
      </w:r>
      <w:r>
        <w:rPr>
          <w:rFonts w:ascii="Arial" w:cs="Arial" w:eastAsia="Arial" w:hAnsi="Arial"/>
          <w:sz w:val="19"/>
          <w:szCs w:val="19"/>
          <w:color w:val="auto"/>
        </w:rPr>
        <w:t>. Notwithstanding any provision to the contrary in this Agreement, no amount deemed deferred compensation subject to Section 409A of the Code shall be payable pursuant to Section 4 unless Executive’s termination of employment constitutes a Separation from Service and, except as provided under Section 13 (a)(ii) of this Agreement, any such amount shall not be paid, or in the case of installments, commence payment, until the sixtieth (60</w:t>
      </w:r>
      <w:r>
        <w:rPr>
          <w:rFonts w:ascii="Arial" w:cs="Arial" w:eastAsia="Arial" w:hAnsi="Arial"/>
          <w:sz w:val="14"/>
          <w:szCs w:val="14"/>
          <w:color w:val="auto"/>
        </w:rPr>
        <w:t>th</w:t>
      </w:r>
      <w:r>
        <w:rPr>
          <w:rFonts w:ascii="Arial" w:cs="Arial" w:eastAsia="Arial" w:hAnsi="Arial"/>
          <w:sz w:val="19"/>
          <w:szCs w:val="19"/>
          <w:color w:val="auto"/>
        </w:rPr>
        <w:t>) day following Executive’s Separation from Service. Any installment payments that would have been made to Executive during the sixty (60) day period immediately following Executive’s Separation from Service but for the preceding sentence shall be paid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93" w:name="page94"/>
    <w:bookmarkEnd w:id="93"/>
    <w:p>
      <w:pPr>
        <w:ind w:right="220"/>
        <w:spacing w:after="0" w:line="250" w:lineRule="auto"/>
        <w:rPr>
          <w:sz w:val="20"/>
          <w:szCs w:val="20"/>
          <w:color w:val="auto"/>
        </w:rPr>
      </w:pPr>
      <w:r>
        <w:rPr>
          <w:rFonts w:ascii="Arial" w:cs="Arial" w:eastAsia="Arial" w:hAnsi="Arial"/>
          <w:sz w:val="22"/>
          <w:szCs w:val="22"/>
          <w:color w:val="auto"/>
        </w:rPr>
        <w:t>Executive on the sixtieth (60</w:t>
      </w:r>
      <w:r>
        <w:rPr>
          <w:rFonts w:ascii="Arial" w:cs="Arial" w:eastAsia="Arial" w:hAnsi="Arial"/>
          <w:sz w:val="16"/>
          <w:szCs w:val="16"/>
          <w:color w:val="auto"/>
        </w:rPr>
        <w:t>th</w:t>
      </w:r>
      <w:r>
        <w:rPr>
          <w:rFonts w:ascii="Arial" w:cs="Arial" w:eastAsia="Arial" w:hAnsi="Arial"/>
          <w:sz w:val="22"/>
          <w:szCs w:val="22"/>
          <w:color w:val="auto"/>
        </w:rPr>
        <w:t>) day following Executive’s Separation from Service and the remaining payments shall be made as provided in this Agreement.</w:t>
      </w:r>
    </w:p>
    <w:p>
      <w:pPr>
        <w:spacing w:after="0" w:line="175" w:lineRule="exact"/>
        <w:rPr>
          <w:sz w:val="20"/>
          <w:szCs w:val="20"/>
          <w:color w:val="auto"/>
        </w:rPr>
      </w:pPr>
    </w:p>
    <w:p>
      <w:pPr>
        <w:ind w:firstLine="1952"/>
        <w:spacing w:after="0" w:line="245" w:lineRule="auto"/>
        <w:tabs>
          <w:tab w:leader="none" w:pos="2640"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Specified Employee</w:t>
      </w:r>
      <w:r>
        <w:rPr>
          <w:rFonts w:ascii="Arial" w:cs="Arial" w:eastAsia="Arial" w:hAnsi="Arial"/>
          <w:sz w:val="21"/>
          <w:szCs w:val="21"/>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the Executive’s Separation from Service or (b) the date of Executive’s death. Upon the first business day following the expiration of the applicable Code Section 409A(a)(2)(B)(i) period, all payments deferred pursuant to this Section 13(a)(ii) shall be paid in a lump sum to Executive, and any remaining payments due under this Agreement shall be paid as otherwise provided herein.</w:t>
      </w:r>
    </w:p>
    <w:p>
      <w:pPr>
        <w:spacing w:after="0" w:line="180" w:lineRule="exact"/>
        <w:rPr>
          <w:rFonts w:ascii="Arial" w:cs="Arial" w:eastAsia="Arial" w:hAnsi="Arial"/>
          <w:sz w:val="21"/>
          <w:szCs w:val="21"/>
          <w:color w:val="auto"/>
        </w:rPr>
      </w:pPr>
    </w:p>
    <w:p>
      <w:pPr>
        <w:ind w:firstLine="1952"/>
        <w:spacing w:after="0" w:line="279" w:lineRule="auto"/>
        <w:tabs>
          <w:tab w:leader="none" w:pos="2646"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Expense Reimbursements</w:t>
      </w:r>
      <w:r>
        <w:rPr>
          <w:rFonts w:ascii="Arial" w:cs="Arial" w:eastAsia="Arial" w:hAnsi="Arial"/>
          <w:sz w:val="19"/>
          <w:szCs w:val="19"/>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50" w:lineRule="exact"/>
        <w:rPr>
          <w:rFonts w:ascii="Arial" w:cs="Arial" w:eastAsia="Arial" w:hAnsi="Arial"/>
          <w:sz w:val="19"/>
          <w:szCs w:val="19"/>
          <w:color w:val="auto"/>
        </w:rPr>
      </w:pPr>
    </w:p>
    <w:p>
      <w:pPr>
        <w:ind w:firstLine="1952"/>
        <w:spacing w:after="0" w:line="287" w:lineRule="auto"/>
        <w:tabs>
          <w:tab w:leader="none" w:pos="2634"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Installments</w:t>
      </w:r>
      <w:r>
        <w:rPr>
          <w:rFonts w:ascii="Arial" w:cs="Arial" w:eastAsia="Arial" w:hAnsi="Arial"/>
          <w:sz w:val="19"/>
          <w:szCs w:val="19"/>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42" w:lineRule="exact"/>
        <w:rPr>
          <w:rFonts w:ascii="Arial" w:cs="Arial" w:eastAsia="Arial" w:hAnsi="Arial"/>
          <w:sz w:val="19"/>
          <w:szCs w:val="19"/>
          <w:color w:val="auto"/>
        </w:rPr>
      </w:pPr>
    </w:p>
    <w:p>
      <w:pPr>
        <w:ind w:right="40" w:firstLine="1304"/>
        <w:spacing w:after="0" w:line="249" w:lineRule="auto"/>
        <w:tabs>
          <w:tab w:leader="none" w:pos="1980"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8" w:lineRule="exact"/>
        <w:rPr>
          <w:rFonts w:ascii="Arial" w:cs="Arial" w:eastAsia="Arial" w:hAnsi="Arial"/>
          <w:sz w:val="21"/>
          <w:szCs w:val="21"/>
          <w:color w:val="auto"/>
        </w:rPr>
      </w:pPr>
    </w:p>
    <w:p>
      <w:pPr>
        <w:ind w:firstLine="1304"/>
        <w:spacing w:after="0"/>
        <w:tabs>
          <w:tab w:leader="none" w:pos="1968"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Whole Agreement</w:t>
      </w:r>
      <w:r>
        <w:rPr>
          <w:rFonts w:ascii="Arial" w:cs="Arial" w:eastAsia="Arial" w:hAnsi="Arial"/>
          <w:sz w:val="22"/>
          <w:szCs w:val="22"/>
          <w:color w:val="auto"/>
        </w:rPr>
        <w:t>. This Agreement and the Confidential Information Agreement represent the entire understanding of the parties hereto with respect to the subject matter hereof and supersede all prior arrangements and understandings regarding same.</w:t>
      </w:r>
    </w:p>
    <w:p>
      <w:pPr>
        <w:spacing w:after="0" w:line="186" w:lineRule="exact"/>
        <w:rPr>
          <w:rFonts w:ascii="Arial" w:cs="Arial" w:eastAsia="Arial" w:hAnsi="Arial"/>
          <w:sz w:val="22"/>
          <w:szCs w:val="22"/>
          <w:color w:val="auto"/>
        </w:rPr>
      </w:pPr>
    </w:p>
    <w:p>
      <w:pPr>
        <w:ind w:right="860" w:firstLine="1304"/>
        <w:spacing w:after="0" w:line="250" w:lineRule="auto"/>
        <w:tabs>
          <w:tab w:leader="none" w:pos="198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shall be governed by the laws of the State of California.</w:t>
      </w:r>
    </w:p>
    <w:p>
      <w:pPr>
        <w:spacing w:after="0" w:line="174" w:lineRule="exact"/>
        <w:rPr>
          <w:rFonts w:ascii="Arial" w:cs="Arial" w:eastAsia="Arial" w:hAnsi="Arial"/>
          <w:sz w:val="22"/>
          <w:szCs w:val="22"/>
          <w:color w:val="auto"/>
        </w:rPr>
      </w:pPr>
    </w:p>
    <w:p>
      <w:pPr>
        <w:ind w:right="160" w:firstLine="1304"/>
        <w:spacing w:after="0"/>
        <w:tabs>
          <w:tab w:leader="none" w:pos="1968"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333" w:right="1039" w:bottom="1440" w:gutter="0" w:footer="0" w:header="0"/>
        </w:sectPr>
      </w:pPr>
    </w:p>
    <w:bookmarkStart w:id="94" w:name="page95"/>
    <w:bookmarkEnd w:id="94"/>
    <w:p>
      <w:pPr>
        <w:ind w:left="-420" w:firstLine="1304"/>
        <w:spacing w:after="0" w:line="274" w:lineRule="auto"/>
        <w:tabs>
          <w:tab w:leader="none" w:pos="1524"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all of which together will constitute one and the same instrument.</w:t>
      </w:r>
    </w:p>
    <w:p>
      <w:pPr>
        <w:spacing w:after="0" w:line="15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349885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100"/>
          </w:cols>
          <w:pgMar w:left="1400" w:top="874" w:right="1399" w:bottom="1440" w:gutter="0" w:footer="0" w:header="0"/>
        </w:sectPr>
      </w:pPr>
    </w:p>
    <w:bookmarkStart w:id="95" w:name="page96"/>
    <w:bookmarkEnd w:id="95"/>
    <w:p>
      <w:pPr>
        <w:ind w:firstLine="648"/>
        <w:spacing w:after="0" w:line="250"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ARDELYX, INC.</w:t>
      </w:r>
    </w:p>
    <w:p>
      <w:pPr>
        <w:spacing w:after="0" w:line="239" w:lineRule="exact"/>
        <w:rPr>
          <w:sz w:val="20"/>
          <w:szCs w:val="20"/>
          <w:color w:val="auto"/>
        </w:rPr>
      </w:pPr>
    </w:p>
    <w:p>
      <w:pPr>
        <w:ind w:left="4980"/>
        <w:spacing w:after="0"/>
        <w:tabs>
          <w:tab w:leader="none" w:pos="5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Mike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6985</wp:posOffset>
            </wp:positionV>
            <wp:extent cx="28117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Title: CEO</w:t>
      </w:r>
    </w:p>
    <w:p>
      <w:pPr>
        <w:ind w:left="4980"/>
        <w:spacing w:after="0"/>
        <w:rPr>
          <w:sz w:val="20"/>
          <w:szCs w:val="20"/>
          <w:color w:val="auto"/>
        </w:rPr>
      </w:pPr>
      <w:r>
        <w:rPr>
          <w:rFonts w:ascii="Arial" w:cs="Arial" w:eastAsia="Arial" w:hAnsi="Arial"/>
          <w:sz w:val="22"/>
          <w:szCs w:val="22"/>
          <w:color w:val="auto"/>
        </w:rPr>
        <w:t>Date: June 8, 2020</w:t>
      </w:r>
    </w:p>
    <w:p>
      <w:pPr>
        <w:spacing w:after="0" w:line="20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6985</wp:posOffset>
            </wp:positionV>
            <wp:extent cx="31375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Justin Renz</w:t>
      </w:r>
    </w:p>
    <w:p>
      <w:pPr>
        <w:spacing w:after="0" w:line="21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Date: June 1, 2020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10.5</w:t>
      </w:r>
    </w:p>
    <w:p>
      <w:pPr>
        <w:spacing w:after="0" w:line="197" w:lineRule="exact"/>
        <w:rPr>
          <w:sz w:val="20"/>
          <w:szCs w:val="20"/>
          <w:color w:val="auto"/>
        </w:rPr>
      </w:pPr>
    </w:p>
    <w:p>
      <w:pPr>
        <w:ind w:left="20" w:right="20" w:firstLine="156"/>
        <w:spacing w:after="0" w:line="271" w:lineRule="auto"/>
        <w:tabs>
          <w:tab w:leader="none" w:pos="54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Manufacturing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May 18,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PARTIES</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PATHEON PHARMACEUTICALS INC.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corporation existing under the laws of the State of Delaware, with its principal place of business at 2110 East Galbraith</w:t>
      </w:r>
    </w:p>
    <w:p>
      <w:pPr>
        <w:jc w:val="center"/>
        <w:spacing w:after="0"/>
        <w:rPr>
          <w:sz w:val="20"/>
          <w:szCs w:val="20"/>
          <w:color w:val="auto"/>
        </w:rPr>
      </w:pPr>
      <w:r>
        <w:rPr>
          <w:rFonts w:ascii="Arial" w:cs="Arial" w:eastAsia="Arial" w:hAnsi="Arial"/>
          <w:sz w:val="18"/>
          <w:szCs w:val="18"/>
          <w:color w:val="auto"/>
        </w:rPr>
        <w:t>Road, Cincinnati, OH 45237 ("</w:t>
      </w:r>
      <w:r>
        <w:rPr>
          <w:rFonts w:ascii="Arial" w:cs="Arial" w:eastAsia="Arial" w:hAnsi="Arial"/>
          <w:sz w:val="18"/>
          <w:szCs w:val="18"/>
          <w:b w:val="1"/>
          <w:bCs w:val="1"/>
          <w:color w:val="auto"/>
        </w:rPr>
        <w:t>Patheon</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1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ARDELYX, INC.</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corporation existing under the laws of the State of Delaware, with its principal place of business at 34175 Ardenwood</w:t>
      </w:r>
    </w:p>
    <w:p>
      <w:pPr>
        <w:jc w:val="center"/>
        <w:spacing w:after="0"/>
        <w:rPr>
          <w:sz w:val="20"/>
          <w:szCs w:val="20"/>
          <w:color w:val="auto"/>
        </w:rPr>
      </w:pPr>
      <w:r>
        <w:rPr>
          <w:rFonts w:ascii="Arial" w:cs="Arial" w:eastAsia="Arial" w:hAnsi="Arial"/>
          <w:sz w:val="18"/>
          <w:szCs w:val="18"/>
          <w:color w:val="auto"/>
        </w:rPr>
        <w:t>Boulevard, Fremont, CA 94555 ("</w:t>
      </w:r>
      <w:r>
        <w:rPr>
          <w:rFonts w:ascii="Arial" w:cs="Arial" w:eastAsia="Arial" w:hAnsi="Arial"/>
          <w:sz w:val="18"/>
          <w:szCs w:val="18"/>
          <w:b w:val="1"/>
          <w:bCs w:val="1"/>
          <w:color w:val="auto"/>
        </w:rPr>
        <w:t>Client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537845</wp:posOffset>
            </wp:positionV>
            <wp:extent cx="62922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May 18, 2020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1 of 37</w:t>
      </w:r>
    </w:p>
    <w:p>
      <w:pPr>
        <w:sectPr>
          <w:pgSz w:w="11900" w:h="16838" w:orient="portrait"/>
          <w:cols w:equalWidth="0" w:num="2">
            <w:col w:w="8360" w:space="720"/>
            <w:col w:w="840"/>
          </w:cols>
          <w:pgMar w:left="980" w:top="118" w:right="99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17"/>
        </w:trPr>
        <w:tc>
          <w:tcPr>
            <w:tcW w:w="7040" w:type="dxa"/>
            <w:vAlign w:val="bottom"/>
            <w:gridSpan w:val="3"/>
          </w:tcPr>
          <w:p>
            <w:pPr>
              <w:spacing w:after="0"/>
              <w:rPr>
                <w:sz w:val="20"/>
                <w:szCs w:val="20"/>
                <w:color w:val="auto"/>
              </w:rPr>
            </w:pPr>
            <w:r>
              <w:rPr>
                <w:rFonts w:ascii="Arial" w:cs="Arial" w:eastAsia="Arial" w:hAnsi="Arial"/>
                <w:sz w:val="18"/>
                <w:szCs w:val="18"/>
                <w:color w:val="auto"/>
              </w:rPr>
              <w:t>Table of Contents</w:t>
            </w:r>
          </w:p>
        </w:tc>
        <w:tc>
          <w:tcPr>
            <w:tcW w:w="2880" w:type="dxa"/>
            <w:vAlign w:val="bottom"/>
          </w:tcPr>
          <w:p>
            <w:pPr>
              <w:spacing w:after="0"/>
              <w:rPr>
                <w:sz w:val="18"/>
                <w:szCs w:val="18"/>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b w:val="1"/>
                <w:bCs w:val="1"/>
                <w:color w:val="auto"/>
              </w:rPr>
              <w:t>1.</w:t>
            </w:r>
          </w:p>
        </w:tc>
        <w:tc>
          <w:tcPr>
            <w:tcW w:w="674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Interpretation</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1.1</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Definitions.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181"/>
        </w:trPr>
        <w:tc>
          <w:tcPr>
            <w:tcW w:w="300" w:type="dxa"/>
            <w:vAlign w:val="bottom"/>
          </w:tcPr>
          <w:p>
            <w:pPr>
              <w:spacing w:after="0"/>
              <w:rPr>
                <w:sz w:val="15"/>
                <w:szCs w:val="15"/>
                <w:color w:val="auto"/>
              </w:rPr>
            </w:pPr>
          </w:p>
        </w:tc>
        <w:tc>
          <w:tcPr>
            <w:tcW w:w="580" w:type="dxa"/>
            <w:vAlign w:val="bottom"/>
          </w:tcPr>
          <w:p>
            <w:pPr>
              <w:ind w:left="120"/>
              <w:spacing w:after="0" w:line="181" w:lineRule="exact"/>
              <w:rPr>
                <w:sz w:val="20"/>
                <w:szCs w:val="20"/>
                <w:color w:val="auto"/>
              </w:rPr>
            </w:pPr>
            <w:r>
              <w:rPr>
                <w:rFonts w:ascii="Arial" w:cs="Arial" w:eastAsia="Arial" w:hAnsi="Arial"/>
                <w:sz w:val="18"/>
                <w:szCs w:val="18"/>
                <w:color w:val="auto"/>
              </w:rPr>
              <w:t>1.2</w:t>
            </w:r>
          </w:p>
        </w:tc>
        <w:tc>
          <w:tcPr>
            <w:tcW w:w="6160" w:type="dxa"/>
            <w:vAlign w:val="bottom"/>
          </w:tcPr>
          <w:p>
            <w:pPr>
              <w:ind w:left="200"/>
              <w:spacing w:after="0" w:line="181" w:lineRule="exact"/>
              <w:rPr>
                <w:sz w:val="20"/>
                <w:szCs w:val="20"/>
                <w:color w:val="auto"/>
              </w:rPr>
            </w:pPr>
            <w:r>
              <w:rPr>
                <w:rFonts w:ascii="Arial" w:cs="Arial" w:eastAsia="Arial" w:hAnsi="Arial"/>
                <w:sz w:val="18"/>
                <w:szCs w:val="18"/>
                <w:color w:val="auto"/>
              </w:rPr>
              <w:t>Interpretation.</w:t>
            </w:r>
          </w:p>
        </w:tc>
        <w:tc>
          <w:tcPr>
            <w:tcW w:w="2880" w:type="dxa"/>
            <w:vAlign w:val="bottom"/>
          </w:tcPr>
          <w:p>
            <w:pPr>
              <w:jc w:val="right"/>
              <w:spacing w:after="0" w:line="181" w:lineRule="exact"/>
              <w:rPr>
                <w:sz w:val="20"/>
                <w:szCs w:val="20"/>
                <w:color w:val="auto"/>
              </w:rPr>
            </w:pPr>
            <w:r>
              <w:rPr>
                <w:rFonts w:ascii="Arial" w:cs="Arial" w:eastAsia="Arial" w:hAnsi="Arial"/>
                <w:sz w:val="18"/>
                <w:szCs w:val="18"/>
                <w:color w:val="auto"/>
              </w:rPr>
              <w:t>8</w:t>
            </w:r>
          </w:p>
        </w:tc>
      </w:tr>
      <w:tr>
        <w:trPr>
          <w:trHeight w:val="224"/>
        </w:trPr>
        <w:tc>
          <w:tcPr>
            <w:tcW w:w="300" w:type="dxa"/>
            <w:vAlign w:val="bottom"/>
          </w:tcPr>
          <w:p>
            <w:pPr>
              <w:spacing w:after="0"/>
              <w:rPr>
                <w:sz w:val="20"/>
                <w:szCs w:val="20"/>
                <w:color w:val="auto"/>
              </w:rPr>
            </w:pPr>
            <w:r>
              <w:rPr>
                <w:rFonts w:ascii="Arial" w:cs="Arial" w:eastAsia="Arial" w:hAnsi="Arial"/>
                <w:sz w:val="18"/>
                <w:szCs w:val="18"/>
                <w:b w:val="1"/>
                <w:bCs w:val="1"/>
                <w:color w:val="auto"/>
              </w:rPr>
              <w:t>2.</w:t>
            </w:r>
          </w:p>
        </w:tc>
        <w:tc>
          <w:tcPr>
            <w:tcW w:w="6740" w:type="dxa"/>
            <w:vAlign w:val="bottom"/>
            <w:gridSpan w:val="2"/>
          </w:tcPr>
          <w:p>
            <w:pPr>
              <w:ind w:left="120"/>
              <w:spacing w:after="0"/>
              <w:rPr>
                <w:sz w:val="20"/>
                <w:szCs w:val="20"/>
                <w:color w:val="auto"/>
              </w:rPr>
            </w:pPr>
            <w:r>
              <w:rPr>
                <w:rFonts w:ascii="Arial" w:cs="Arial" w:eastAsia="Arial" w:hAnsi="Arial"/>
                <w:sz w:val="18"/>
                <w:szCs w:val="18"/>
                <w:b w:val="1"/>
                <w:bCs w:val="1"/>
                <w:color w:val="auto"/>
              </w:rPr>
              <w:t>Patheon's Manufacturing Services</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2.1</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Manufacturing Services.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2.2</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Minimum [***] Requirement.</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2.3</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Exclusivity.</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2.4</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No Volume Guarantee.</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2.5</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No Sole Source.</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2.6</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Subcontracting.</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181"/>
        </w:trPr>
        <w:tc>
          <w:tcPr>
            <w:tcW w:w="300" w:type="dxa"/>
            <w:vAlign w:val="bottom"/>
          </w:tcPr>
          <w:p>
            <w:pPr>
              <w:spacing w:after="0"/>
              <w:rPr>
                <w:sz w:val="15"/>
                <w:szCs w:val="15"/>
                <w:color w:val="auto"/>
              </w:rPr>
            </w:pPr>
          </w:p>
        </w:tc>
        <w:tc>
          <w:tcPr>
            <w:tcW w:w="580" w:type="dxa"/>
            <w:vAlign w:val="bottom"/>
          </w:tcPr>
          <w:p>
            <w:pPr>
              <w:ind w:left="120"/>
              <w:spacing w:after="0" w:line="181" w:lineRule="exact"/>
              <w:rPr>
                <w:sz w:val="20"/>
                <w:szCs w:val="20"/>
                <w:color w:val="auto"/>
              </w:rPr>
            </w:pPr>
            <w:r>
              <w:rPr>
                <w:rFonts w:ascii="Arial" w:cs="Arial" w:eastAsia="Arial" w:hAnsi="Arial"/>
                <w:sz w:val="18"/>
                <w:szCs w:val="18"/>
                <w:color w:val="auto"/>
              </w:rPr>
              <w:t>2.7</w:t>
            </w:r>
          </w:p>
        </w:tc>
        <w:tc>
          <w:tcPr>
            <w:tcW w:w="6160" w:type="dxa"/>
            <w:vAlign w:val="bottom"/>
          </w:tcPr>
          <w:p>
            <w:pPr>
              <w:ind w:left="200"/>
              <w:spacing w:after="0" w:line="181" w:lineRule="exact"/>
              <w:rPr>
                <w:sz w:val="20"/>
                <w:szCs w:val="20"/>
                <w:color w:val="auto"/>
              </w:rPr>
            </w:pPr>
            <w:r>
              <w:rPr>
                <w:rFonts w:ascii="Arial" w:cs="Arial" w:eastAsia="Arial" w:hAnsi="Arial"/>
                <w:sz w:val="18"/>
                <w:szCs w:val="18"/>
                <w:color w:val="auto"/>
              </w:rPr>
              <w:t>Facilities.</w:t>
            </w:r>
          </w:p>
        </w:tc>
        <w:tc>
          <w:tcPr>
            <w:tcW w:w="2880" w:type="dxa"/>
            <w:vAlign w:val="bottom"/>
          </w:tcPr>
          <w:p>
            <w:pPr>
              <w:jc w:val="right"/>
              <w:spacing w:after="0" w:line="181" w:lineRule="exact"/>
              <w:rPr>
                <w:sz w:val="20"/>
                <w:szCs w:val="20"/>
                <w:color w:val="auto"/>
              </w:rPr>
            </w:pPr>
            <w:r>
              <w:rPr>
                <w:rFonts w:ascii="Arial" w:cs="Arial" w:eastAsia="Arial" w:hAnsi="Arial"/>
                <w:sz w:val="18"/>
                <w:szCs w:val="18"/>
                <w:color w:val="auto"/>
              </w:rPr>
              <w:t>10</w:t>
            </w:r>
          </w:p>
        </w:tc>
      </w:tr>
      <w:tr>
        <w:trPr>
          <w:trHeight w:val="22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6740" w:type="dxa"/>
            <w:vAlign w:val="bottom"/>
            <w:gridSpan w:val="2"/>
          </w:tcPr>
          <w:p>
            <w:pPr>
              <w:ind w:left="120"/>
              <w:spacing w:after="0"/>
              <w:rPr>
                <w:sz w:val="20"/>
                <w:szCs w:val="20"/>
                <w:color w:val="auto"/>
              </w:rPr>
            </w:pPr>
            <w:r>
              <w:rPr>
                <w:rFonts w:ascii="Arial" w:cs="Arial" w:eastAsia="Arial" w:hAnsi="Arial"/>
                <w:sz w:val="18"/>
                <w:szCs w:val="18"/>
                <w:b w:val="1"/>
                <w:bCs w:val="1"/>
                <w:color w:val="auto"/>
              </w:rPr>
              <w:t>Client's Obligations</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3.1</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Payment.</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3.2</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Processing Instructions.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3.3</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Change Control Requests.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3.4</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API and Components.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181"/>
        </w:trPr>
        <w:tc>
          <w:tcPr>
            <w:tcW w:w="300" w:type="dxa"/>
            <w:vAlign w:val="bottom"/>
          </w:tcPr>
          <w:p>
            <w:pPr>
              <w:spacing w:after="0"/>
              <w:rPr>
                <w:sz w:val="15"/>
                <w:szCs w:val="15"/>
                <w:color w:val="auto"/>
              </w:rPr>
            </w:pPr>
          </w:p>
        </w:tc>
        <w:tc>
          <w:tcPr>
            <w:tcW w:w="580" w:type="dxa"/>
            <w:vAlign w:val="bottom"/>
          </w:tcPr>
          <w:p>
            <w:pPr>
              <w:ind w:left="120"/>
              <w:spacing w:after="0" w:line="181" w:lineRule="exact"/>
              <w:rPr>
                <w:sz w:val="20"/>
                <w:szCs w:val="20"/>
                <w:color w:val="auto"/>
              </w:rPr>
            </w:pPr>
            <w:r>
              <w:rPr>
                <w:rFonts w:ascii="Arial" w:cs="Arial" w:eastAsia="Arial" w:hAnsi="Arial"/>
                <w:sz w:val="18"/>
                <w:szCs w:val="18"/>
                <w:color w:val="auto"/>
              </w:rPr>
              <w:t>3.5</w:t>
            </w:r>
          </w:p>
        </w:tc>
        <w:tc>
          <w:tcPr>
            <w:tcW w:w="6160" w:type="dxa"/>
            <w:vAlign w:val="bottom"/>
          </w:tcPr>
          <w:p>
            <w:pPr>
              <w:ind w:left="200"/>
              <w:spacing w:after="0" w:line="181" w:lineRule="exact"/>
              <w:rPr>
                <w:sz w:val="20"/>
                <w:szCs w:val="20"/>
                <w:color w:val="auto"/>
              </w:rPr>
            </w:pPr>
            <w:r>
              <w:rPr>
                <w:rFonts w:ascii="Arial" w:cs="Arial" w:eastAsia="Arial" w:hAnsi="Arial"/>
                <w:sz w:val="18"/>
                <w:szCs w:val="18"/>
                <w:color w:val="auto"/>
              </w:rPr>
              <w:t>Packaging and Artwork.</w:t>
            </w:r>
          </w:p>
        </w:tc>
        <w:tc>
          <w:tcPr>
            <w:tcW w:w="2880" w:type="dxa"/>
            <w:vAlign w:val="bottom"/>
          </w:tcPr>
          <w:p>
            <w:pPr>
              <w:jc w:val="right"/>
              <w:spacing w:after="0" w:line="181" w:lineRule="exact"/>
              <w:rPr>
                <w:sz w:val="20"/>
                <w:szCs w:val="20"/>
                <w:color w:val="auto"/>
              </w:rPr>
            </w:pPr>
            <w:r>
              <w:rPr>
                <w:rFonts w:ascii="Arial" w:cs="Arial" w:eastAsia="Arial" w:hAnsi="Arial"/>
                <w:sz w:val="18"/>
                <w:szCs w:val="18"/>
                <w:color w:val="auto"/>
              </w:rPr>
              <w:t>12</w:t>
            </w:r>
          </w:p>
        </w:tc>
      </w:tr>
      <w:tr>
        <w:trPr>
          <w:trHeight w:val="224"/>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4.   Price and Price Adjustments</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4.1</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First Year Pricing.</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4.2</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Annual Price Adjustments.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4.3</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Price Adjustments at any Time.</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181"/>
        </w:trPr>
        <w:tc>
          <w:tcPr>
            <w:tcW w:w="300" w:type="dxa"/>
            <w:vAlign w:val="bottom"/>
          </w:tcPr>
          <w:p>
            <w:pPr>
              <w:spacing w:after="0"/>
              <w:rPr>
                <w:sz w:val="15"/>
                <w:szCs w:val="15"/>
                <w:color w:val="auto"/>
              </w:rPr>
            </w:pPr>
          </w:p>
        </w:tc>
        <w:tc>
          <w:tcPr>
            <w:tcW w:w="580" w:type="dxa"/>
            <w:vAlign w:val="bottom"/>
          </w:tcPr>
          <w:p>
            <w:pPr>
              <w:ind w:left="120"/>
              <w:spacing w:after="0" w:line="181" w:lineRule="exact"/>
              <w:rPr>
                <w:sz w:val="20"/>
                <w:szCs w:val="20"/>
                <w:color w:val="auto"/>
              </w:rPr>
            </w:pPr>
            <w:r>
              <w:rPr>
                <w:rFonts w:ascii="Arial" w:cs="Arial" w:eastAsia="Arial" w:hAnsi="Arial"/>
                <w:sz w:val="18"/>
                <w:szCs w:val="18"/>
                <w:color w:val="auto"/>
              </w:rPr>
              <w:t>4.4</w:t>
            </w:r>
          </w:p>
        </w:tc>
        <w:tc>
          <w:tcPr>
            <w:tcW w:w="6160" w:type="dxa"/>
            <w:vAlign w:val="bottom"/>
          </w:tcPr>
          <w:p>
            <w:pPr>
              <w:ind w:left="200"/>
              <w:spacing w:after="0" w:line="181" w:lineRule="exact"/>
              <w:rPr>
                <w:sz w:val="20"/>
                <w:szCs w:val="20"/>
                <w:color w:val="auto"/>
              </w:rPr>
            </w:pPr>
            <w:r>
              <w:rPr>
                <w:rFonts w:ascii="Arial" w:cs="Arial" w:eastAsia="Arial" w:hAnsi="Arial"/>
                <w:sz w:val="18"/>
                <w:szCs w:val="18"/>
                <w:color w:val="auto"/>
              </w:rPr>
              <w:t>Efforts to Achieve Price Reductions.</w:t>
            </w:r>
          </w:p>
        </w:tc>
        <w:tc>
          <w:tcPr>
            <w:tcW w:w="288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r>
      <w:tr>
        <w:trPr>
          <w:trHeight w:val="224"/>
        </w:trPr>
        <w:tc>
          <w:tcPr>
            <w:tcW w:w="300" w:type="dxa"/>
            <w:vAlign w:val="bottom"/>
          </w:tcPr>
          <w:p>
            <w:pPr>
              <w:spacing w:after="0"/>
              <w:rPr>
                <w:sz w:val="20"/>
                <w:szCs w:val="20"/>
                <w:color w:val="auto"/>
              </w:rPr>
            </w:pPr>
            <w:r>
              <w:rPr>
                <w:rFonts w:ascii="Arial" w:cs="Arial" w:eastAsia="Arial" w:hAnsi="Arial"/>
                <w:sz w:val="18"/>
                <w:szCs w:val="18"/>
                <w:b w:val="1"/>
                <w:bCs w:val="1"/>
                <w:color w:val="auto"/>
              </w:rPr>
              <w:t>5.</w:t>
            </w:r>
          </w:p>
        </w:tc>
        <w:tc>
          <w:tcPr>
            <w:tcW w:w="6740" w:type="dxa"/>
            <w:vAlign w:val="bottom"/>
            <w:gridSpan w:val="2"/>
          </w:tcPr>
          <w:p>
            <w:pPr>
              <w:ind w:left="120"/>
              <w:spacing w:after="0"/>
              <w:rPr>
                <w:sz w:val="20"/>
                <w:szCs w:val="20"/>
                <w:color w:val="auto"/>
              </w:rPr>
            </w:pPr>
            <w:r>
              <w:rPr>
                <w:rFonts w:ascii="Arial" w:cs="Arial" w:eastAsia="Arial" w:hAnsi="Arial"/>
                <w:sz w:val="18"/>
                <w:szCs w:val="18"/>
                <w:b w:val="1"/>
                <w:bCs w:val="1"/>
                <w:color w:val="auto"/>
              </w:rPr>
              <w:t>Purchasing Product</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5.1</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Orders and Forecasts.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5.2</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Obsolete Stock.</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5.3</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Storage.</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5.4</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Invoices and Payment.</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180"/>
        </w:trPr>
        <w:tc>
          <w:tcPr>
            <w:tcW w:w="300" w:type="dxa"/>
            <w:vAlign w:val="bottom"/>
          </w:tcPr>
          <w:p>
            <w:pPr>
              <w:spacing w:after="0"/>
              <w:rPr>
                <w:sz w:val="15"/>
                <w:szCs w:val="15"/>
                <w:color w:val="auto"/>
              </w:rPr>
            </w:pPr>
          </w:p>
        </w:tc>
        <w:tc>
          <w:tcPr>
            <w:tcW w:w="580" w:type="dxa"/>
            <w:vAlign w:val="bottom"/>
          </w:tcPr>
          <w:p>
            <w:pPr>
              <w:ind w:left="120"/>
              <w:spacing w:after="0" w:line="181" w:lineRule="exact"/>
              <w:rPr>
                <w:sz w:val="20"/>
                <w:szCs w:val="20"/>
                <w:color w:val="auto"/>
              </w:rPr>
            </w:pPr>
            <w:r>
              <w:rPr>
                <w:rFonts w:ascii="Arial" w:cs="Arial" w:eastAsia="Arial" w:hAnsi="Arial"/>
                <w:sz w:val="18"/>
                <w:szCs w:val="18"/>
                <w:color w:val="auto"/>
              </w:rPr>
              <w:t>5.5</w:t>
            </w:r>
          </w:p>
        </w:tc>
        <w:tc>
          <w:tcPr>
            <w:tcW w:w="6160" w:type="dxa"/>
            <w:vAlign w:val="bottom"/>
          </w:tcPr>
          <w:p>
            <w:pPr>
              <w:ind w:left="200"/>
              <w:spacing w:after="0" w:line="181" w:lineRule="exact"/>
              <w:rPr>
                <w:sz w:val="20"/>
                <w:szCs w:val="20"/>
                <w:color w:val="auto"/>
              </w:rPr>
            </w:pPr>
            <w:r>
              <w:rPr>
                <w:rFonts w:ascii="Arial" w:cs="Arial" w:eastAsia="Arial" w:hAnsi="Arial"/>
                <w:sz w:val="18"/>
                <w:szCs w:val="18"/>
                <w:color w:val="auto"/>
              </w:rPr>
              <w:t>Delivery and Shipping.</w:t>
            </w:r>
          </w:p>
        </w:tc>
        <w:tc>
          <w:tcPr>
            <w:tcW w:w="2880" w:type="dxa"/>
            <w:vAlign w:val="bottom"/>
          </w:tcPr>
          <w:p>
            <w:pPr>
              <w:jc w:val="right"/>
              <w:spacing w:after="0" w:line="181" w:lineRule="exact"/>
              <w:rPr>
                <w:sz w:val="20"/>
                <w:szCs w:val="20"/>
                <w:color w:val="auto"/>
              </w:rPr>
            </w:pPr>
            <w:r>
              <w:rPr>
                <w:rFonts w:ascii="Arial" w:cs="Arial" w:eastAsia="Arial" w:hAnsi="Arial"/>
                <w:sz w:val="18"/>
                <w:szCs w:val="18"/>
                <w:color w:val="auto"/>
              </w:rPr>
              <w:t>16</w:t>
            </w:r>
          </w:p>
        </w:tc>
      </w:tr>
      <w:tr>
        <w:trPr>
          <w:trHeight w:val="225"/>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6.   Product Claims and Recalls</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6.1</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Product Claims.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6.2</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Product Recalls and Returns.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180"/>
        </w:trPr>
        <w:tc>
          <w:tcPr>
            <w:tcW w:w="300" w:type="dxa"/>
            <w:vAlign w:val="bottom"/>
          </w:tcPr>
          <w:p>
            <w:pPr>
              <w:spacing w:after="0"/>
              <w:rPr>
                <w:sz w:val="15"/>
                <w:szCs w:val="15"/>
                <w:color w:val="auto"/>
              </w:rPr>
            </w:pPr>
          </w:p>
        </w:tc>
        <w:tc>
          <w:tcPr>
            <w:tcW w:w="580" w:type="dxa"/>
            <w:vAlign w:val="bottom"/>
          </w:tcPr>
          <w:p>
            <w:pPr>
              <w:ind w:left="120"/>
              <w:spacing w:after="0" w:line="181" w:lineRule="exact"/>
              <w:rPr>
                <w:sz w:val="20"/>
                <w:szCs w:val="20"/>
                <w:color w:val="auto"/>
              </w:rPr>
            </w:pPr>
            <w:r>
              <w:rPr>
                <w:rFonts w:ascii="Arial" w:cs="Arial" w:eastAsia="Arial" w:hAnsi="Arial"/>
                <w:sz w:val="18"/>
                <w:szCs w:val="18"/>
                <w:color w:val="auto"/>
              </w:rPr>
              <w:t>6.3</w:t>
            </w:r>
          </w:p>
        </w:tc>
        <w:tc>
          <w:tcPr>
            <w:tcW w:w="6160" w:type="dxa"/>
            <w:vAlign w:val="bottom"/>
          </w:tcPr>
          <w:p>
            <w:pPr>
              <w:ind w:left="200"/>
              <w:spacing w:after="0" w:line="181" w:lineRule="exact"/>
              <w:rPr>
                <w:sz w:val="20"/>
                <w:szCs w:val="20"/>
                <w:color w:val="auto"/>
              </w:rPr>
            </w:pPr>
            <w:r>
              <w:rPr>
                <w:rFonts w:ascii="Arial" w:cs="Arial" w:eastAsia="Arial" w:hAnsi="Arial"/>
                <w:sz w:val="18"/>
                <w:szCs w:val="18"/>
                <w:color w:val="auto"/>
              </w:rPr>
              <w:t>Disposition of Deficient Product.</w:t>
            </w:r>
          </w:p>
        </w:tc>
        <w:tc>
          <w:tcPr>
            <w:tcW w:w="2880" w:type="dxa"/>
            <w:vAlign w:val="bottom"/>
          </w:tcPr>
          <w:p>
            <w:pPr>
              <w:jc w:val="right"/>
              <w:spacing w:after="0" w:line="181" w:lineRule="exact"/>
              <w:rPr>
                <w:sz w:val="20"/>
                <w:szCs w:val="20"/>
                <w:color w:val="auto"/>
              </w:rPr>
            </w:pPr>
            <w:r>
              <w:rPr>
                <w:rFonts w:ascii="Arial" w:cs="Arial" w:eastAsia="Arial" w:hAnsi="Arial"/>
                <w:sz w:val="18"/>
                <w:szCs w:val="18"/>
                <w:color w:val="auto"/>
              </w:rPr>
              <w:t>19</w:t>
            </w:r>
          </w:p>
        </w:tc>
      </w:tr>
      <w:tr>
        <w:trPr>
          <w:trHeight w:val="225"/>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7.   Co-operation and Regulatory Affairs</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7.1</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Governance.</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7.2</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Governmental Agencies.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7.3</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Governmental Inspections and Requests.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7.4</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Records.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7.5</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Audits.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7.6</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Regulatory Filings.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2"/>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7.7</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Release.</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180"/>
        </w:trPr>
        <w:tc>
          <w:tcPr>
            <w:tcW w:w="300" w:type="dxa"/>
            <w:vAlign w:val="bottom"/>
          </w:tcPr>
          <w:p>
            <w:pPr>
              <w:spacing w:after="0"/>
              <w:rPr>
                <w:sz w:val="15"/>
                <w:szCs w:val="15"/>
                <w:color w:val="auto"/>
              </w:rPr>
            </w:pPr>
          </w:p>
        </w:tc>
        <w:tc>
          <w:tcPr>
            <w:tcW w:w="580" w:type="dxa"/>
            <w:vAlign w:val="bottom"/>
          </w:tcPr>
          <w:p>
            <w:pPr>
              <w:ind w:left="120"/>
              <w:spacing w:after="0" w:line="181" w:lineRule="exact"/>
              <w:rPr>
                <w:sz w:val="20"/>
                <w:szCs w:val="20"/>
                <w:color w:val="auto"/>
              </w:rPr>
            </w:pPr>
            <w:r>
              <w:rPr>
                <w:rFonts w:ascii="Arial" w:cs="Arial" w:eastAsia="Arial" w:hAnsi="Arial"/>
                <w:sz w:val="18"/>
                <w:szCs w:val="18"/>
                <w:color w:val="auto"/>
              </w:rPr>
              <w:t>7.8</w:t>
            </w:r>
          </w:p>
        </w:tc>
        <w:tc>
          <w:tcPr>
            <w:tcW w:w="6160" w:type="dxa"/>
            <w:vAlign w:val="bottom"/>
          </w:tcPr>
          <w:p>
            <w:pPr>
              <w:ind w:left="200"/>
              <w:spacing w:after="0" w:line="181" w:lineRule="exact"/>
              <w:rPr>
                <w:sz w:val="20"/>
                <w:szCs w:val="20"/>
                <w:color w:val="auto"/>
              </w:rPr>
            </w:pPr>
            <w:r>
              <w:rPr>
                <w:rFonts w:ascii="Arial" w:cs="Arial" w:eastAsia="Arial" w:hAnsi="Arial"/>
                <w:sz w:val="18"/>
                <w:szCs w:val="18"/>
                <w:color w:val="auto"/>
              </w:rPr>
              <w:t>Withdrawal on Completion.</w:t>
            </w:r>
          </w:p>
        </w:tc>
        <w:tc>
          <w:tcPr>
            <w:tcW w:w="2880" w:type="dxa"/>
            <w:vAlign w:val="bottom"/>
          </w:tcPr>
          <w:p>
            <w:pPr>
              <w:jc w:val="right"/>
              <w:spacing w:after="0" w:line="181" w:lineRule="exact"/>
              <w:rPr>
                <w:sz w:val="20"/>
                <w:szCs w:val="20"/>
                <w:color w:val="auto"/>
              </w:rPr>
            </w:pPr>
            <w:r>
              <w:rPr>
                <w:rFonts w:ascii="Arial" w:cs="Arial" w:eastAsia="Arial" w:hAnsi="Arial"/>
                <w:sz w:val="18"/>
                <w:szCs w:val="18"/>
                <w:color w:val="auto"/>
              </w:rPr>
              <w:t>21</w:t>
            </w:r>
          </w:p>
        </w:tc>
      </w:tr>
      <w:tr>
        <w:trPr>
          <w:trHeight w:val="225"/>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6740" w:type="dxa"/>
            <w:vAlign w:val="bottom"/>
            <w:gridSpan w:val="2"/>
          </w:tcPr>
          <w:p>
            <w:pPr>
              <w:ind w:left="120"/>
              <w:spacing w:after="0"/>
              <w:rPr>
                <w:sz w:val="20"/>
                <w:szCs w:val="20"/>
                <w:color w:val="auto"/>
              </w:rPr>
            </w:pPr>
            <w:r>
              <w:rPr>
                <w:rFonts w:ascii="Arial" w:cs="Arial" w:eastAsia="Arial" w:hAnsi="Arial"/>
                <w:sz w:val="18"/>
                <w:szCs w:val="18"/>
                <w:b w:val="1"/>
                <w:bCs w:val="1"/>
                <w:color w:val="auto"/>
              </w:rPr>
              <w:t>Term and Termination</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8.1</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Initial Term.</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8.2</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Termination for Cause.</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8.3</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Obligations on Termination.</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180"/>
        </w:trPr>
        <w:tc>
          <w:tcPr>
            <w:tcW w:w="300" w:type="dxa"/>
            <w:vAlign w:val="bottom"/>
          </w:tcPr>
          <w:p>
            <w:pPr>
              <w:spacing w:after="0"/>
              <w:rPr>
                <w:sz w:val="15"/>
                <w:szCs w:val="15"/>
                <w:color w:val="auto"/>
              </w:rPr>
            </w:pPr>
          </w:p>
        </w:tc>
        <w:tc>
          <w:tcPr>
            <w:tcW w:w="580" w:type="dxa"/>
            <w:vAlign w:val="bottom"/>
          </w:tcPr>
          <w:p>
            <w:pPr>
              <w:ind w:left="120"/>
              <w:spacing w:after="0" w:line="181" w:lineRule="exact"/>
              <w:rPr>
                <w:sz w:val="20"/>
                <w:szCs w:val="20"/>
                <w:color w:val="auto"/>
              </w:rPr>
            </w:pPr>
            <w:r>
              <w:rPr>
                <w:rFonts w:ascii="Arial" w:cs="Arial" w:eastAsia="Arial" w:hAnsi="Arial"/>
                <w:sz w:val="18"/>
                <w:szCs w:val="18"/>
                <w:color w:val="auto"/>
              </w:rPr>
              <w:t>8.4</w:t>
            </w:r>
          </w:p>
        </w:tc>
        <w:tc>
          <w:tcPr>
            <w:tcW w:w="6160" w:type="dxa"/>
            <w:vAlign w:val="bottom"/>
          </w:tcPr>
          <w:p>
            <w:pPr>
              <w:ind w:left="200"/>
              <w:spacing w:after="0" w:line="181" w:lineRule="exact"/>
              <w:rPr>
                <w:sz w:val="20"/>
                <w:szCs w:val="20"/>
                <w:color w:val="auto"/>
              </w:rPr>
            </w:pPr>
            <w:r>
              <w:rPr>
                <w:rFonts w:ascii="Arial" w:cs="Arial" w:eastAsia="Arial" w:hAnsi="Arial"/>
                <w:sz w:val="18"/>
                <w:szCs w:val="18"/>
                <w:color w:val="auto"/>
              </w:rPr>
              <w:t>Technology Transfer.</w:t>
            </w:r>
          </w:p>
        </w:tc>
        <w:tc>
          <w:tcPr>
            <w:tcW w:w="2880" w:type="dxa"/>
            <w:vAlign w:val="bottom"/>
          </w:tcPr>
          <w:p>
            <w:pPr>
              <w:jc w:val="right"/>
              <w:spacing w:after="0" w:line="181" w:lineRule="exact"/>
              <w:rPr>
                <w:sz w:val="20"/>
                <w:szCs w:val="20"/>
                <w:color w:val="auto"/>
              </w:rPr>
            </w:pPr>
            <w:r>
              <w:rPr>
                <w:rFonts w:ascii="Arial" w:cs="Arial" w:eastAsia="Arial" w:hAnsi="Arial"/>
                <w:sz w:val="18"/>
                <w:szCs w:val="18"/>
                <w:color w:val="auto"/>
              </w:rPr>
              <w:t>23</w:t>
            </w:r>
          </w:p>
        </w:tc>
      </w:tr>
      <w:tr>
        <w:trPr>
          <w:trHeight w:val="225"/>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9.   Representations, Warranties and Covenants</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9.1</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Authority.</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9.2</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Client Warranties.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9.3</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Patheon Warranties.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300" w:type="dxa"/>
            <w:vAlign w:val="bottom"/>
          </w:tcPr>
          <w:p>
            <w:pPr>
              <w:spacing w:after="0"/>
              <w:rPr>
                <w:sz w:val="17"/>
                <w:szCs w:val="17"/>
                <w:color w:val="auto"/>
              </w:rPr>
            </w:pP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9.4</w:t>
            </w: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Permits.</w:t>
            </w: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17"/>
        </w:trPr>
        <w:tc>
          <w:tcPr>
            <w:tcW w:w="30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9.5</w:t>
            </w:r>
          </w:p>
        </w:tc>
        <w:tc>
          <w:tcPr>
            <w:tcW w:w="6160" w:type="dxa"/>
            <w:vAlign w:val="bottom"/>
          </w:tcPr>
          <w:p>
            <w:pPr>
              <w:ind w:left="200"/>
              <w:spacing w:after="0"/>
              <w:rPr>
                <w:sz w:val="20"/>
                <w:szCs w:val="20"/>
                <w:color w:val="auto"/>
              </w:rPr>
            </w:pPr>
            <w:r>
              <w:rPr>
                <w:rFonts w:ascii="Arial" w:cs="Arial" w:eastAsia="Arial" w:hAnsi="Arial"/>
                <w:sz w:val="18"/>
                <w:szCs w:val="18"/>
                <w:color w:val="auto"/>
              </w:rPr>
              <w:t>No Warranty.</w:t>
            </w:r>
          </w:p>
        </w:tc>
        <w:tc>
          <w:tcPr>
            <w:tcW w:w="288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386080</wp:posOffset>
            </wp:positionV>
            <wp:extent cx="62922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1" w:right="99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5"/>
              </w:rPr>
              <w:t>10.</w:t>
            </w:r>
          </w:p>
        </w:tc>
        <w:tc>
          <w:tcPr>
            <w:tcW w:w="6480" w:type="dxa"/>
            <w:vAlign w:val="bottom"/>
            <w:gridSpan w:val="2"/>
          </w:tcPr>
          <w:p>
            <w:pPr>
              <w:ind w:left="80"/>
              <w:spacing w:after="0"/>
              <w:rPr>
                <w:sz w:val="20"/>
                <w:szCs w:val="20"/>
                <w:color w:val="auto"/>
              </w:rPr>
            </w:pPr>
            <w:r>
              <w:rPr>
                <w:rFonts w:ascii="Arial" w:cs="Arial" w:eastAsia="Arial" w:hAnsi="Arial"/>
                <w:sz w:val="18"/>
                <w:szCs w:val="18"/>
                <w:b w:val="1"/>
                <w:bCs w:val="1"/>
                <w:color w:val="auto"/>
              </w:rPr>
              <w:t>Liability and Remedies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10.1</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Consequential and Other Damages.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10.2</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Limitation of Liability.</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10.3</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Patheon Indemnity.</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10.4</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Client Indemnity.</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10.5</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Indemnity Procedure.</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181"/>
        </w:trPr>
        <w:tc>
          <w:tcPr>
            <w:tcW w:w="340" w:type="dxa"/>
            <w:vAlign w:val="bottom"/>
          </w:tcPr>
          <w:p>
            <w:pPr>
              <w:spacing w:after="0"/>
              <w:rPr>
                <w:sz w:val="15"/>
                <w:szCs w:val="15"/>
                <w:color w:val="auto"/>
              </w:rPr>
            </w:pPr>
          </w:p>
        </w:tc>
        <w:tc>
          <w:tcPr>
            <w:tcW w:w="620" w:type="dxa"/>
            <w:vAlign w:val="bottom"/>
          </w:tcPr>
          <w:p>
            <w:pPr>
              <w:ind w:left="80"/>
              <w:spacing w:after="0" w:line="181" w:lineRule="exact"/>
              <w:rPr>
                <w:sz w:val="20"/>
                <w:szCs w:val="20"/>
                <w:color w:val="auto"/>
              </w:rPr>
            </w:pPr>
            <w:r>
              <w:rPr>
                <w:rFonts w:ascii="Arial" w:cs="Arial" w:eastAsia="Arial" w:hAnsi="Arial"/>
                <w:sz w:val="18"/>
                <w:szCs w:val="18"/>
                <w:color w:val="auto"/>
              </w:rPr>
              <w:t>10.6</w:t>
            </w:r>
          </w:p>
        </w:tc>
        <w:tc>
          <w:tcPr>
            <w:tcW w:w="5860" w:type="dxa"/>
            <w:vAlign w:val="bottom"/>
          </w:tcPr>
          <w:p>
            <w:pPr>
              <w:ind w:left="100"/>
              <w:spacing w:after="0" w:line="181" w:lineRule="exact"/>
              <w:rPr>
                <w:sz w:val="20"/>
                <w:szCs w:val="20"/>
                <w:color w:val="auto"/>
              </w:rPr>
            </w:pPr>
            <w:r>
              <w:rPr>
                <w:rFonts w:ascii="Arial" w:cs="Arial" w:eastAsia="Arial" w:hAnsi="Arial"/>
                <w:sz w:val="18"/>
                <w:szCs w:val="18"/>
                <w:color w:val="auto"/>
              </w:rPr>
              <w:t>Validation Batches.</w:t>
            </w:r>
          </w:p>
        </w:tc>
        <w:tc>
          <w:tcPr>
            <w:tcW w:w="3100" w:type="dxa"/>
            <w:vAlign w:val="bottom"/>
          </w:tcPr>
          <w:p>
            <w:pPr>
              <w:jc w:val="right"/>
              <w:spacing w:after="0" w:line="181" w:lineRule="exact"/>
              <w:rPr>
                <w:sz w:val="20"/>
                <w:szCs w:val="20"/>
                <w:color w:val="auto"/>
              </w:rPr>
            </w:pPr>
            <w:r>
              <w:rPr>
                <w:rFonts w:ascii="Arial" w:cs="Arial" w:eastAsia="Arial" w:hAnsi="Arial"/>
                <w:sz w:val="18"/>
                <w:szCs w:val="18"/>
                <w:color w:val="auto"/>
              </w:rPr>
              <w:t>28</w:t>
            </w:r>
          </w:p>
        </w:tc>
      </w:tr>
      <w:tr>
        <w:trPr>
          <w:trHeight w:val="224"/>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5"/>
              </w:rPr>
              <w:t>11.</w:t>
            </w:r>
          </w:p>
        </w:tc>
        <w:tc>
          <w:tcPr>
            <w:tcW w:w="6480" w:type="dxa"/>
            <w:vAlign w:val="bottom"/>
            <w:gridSpan w:val="2"/>
          </w:tcPr>
          <w:p>
            <w:pPr>
              <w:ind w:left="80"/>
              <w:spacing w:after="0"/>
              <w:rPr>
                <w:sz w:val="20"/>
                <w:szCs w:val="20"/>
                <w:color w:val="auto"/>
              </w:rPr>
            </w:pPr>
            <w:r>
              <w:rPr>
                <w:rFonts w:ascii="Arial" w:cs="Arial" w:eastAsia="Arial" w:hAnsi="Arial"/>
                <w:sz w:val="18"/>
                <w:szCs w:val="18"/>
                <w:b w:val="1"/>
                <w:bCs w:val="1"/>
                <w:color w:val="auto"/>
              </w:rPr>
              <w:t>Confidentiality</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11.1</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Confidential Information.</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11.2</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Use of Confidential Information.</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11.3</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Exclusions.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11.4</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Photographs and Recordings.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11.5</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Permitted Disclosure.</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11.6</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Return of Confidential Information.</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11.7</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Remedies.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181"/>
        </w:trPr>
        <w:tc>
          <w:tcPr>
            <w:tcW w:w="340" w:type="dxa"/>
            <w:vAlign w:val="bottom"/>
          </w:tcPr>
          <w:p>
            <w:pPr>
              <w:spacing w:after="0"/>
              <w:rPr>
                <w:sz w:val="15"/>
                <w:szCs w:val="15"/>
                <w:color w:val="auto"/>
              </w:rPr>
            </w:pPr>
          </w:p>
        </w:tc>
        <w:tc>
          <w:tcPr>
            <w:tcW w:w="620" w:type="dxa"/>
            <w:vAlign w:val="bottom"/>
          </w:tcPr>
          <w:p>
            <w:pPr>
              <w:ind w:left="80"/>
              <w:spacing w:after="0" w:line="181" w:lineRule="exact"/>
              <w:rPr>
                <w:sz w:val="20"/>
                <w:szCs w:val="20"/>
                <w:color w:val="auto"/>
              </w:rPr>
            </w:pPr>
            <w:r>
              <w:rPr>
                <w:rFonts w:ascii="Arial" w:cs="Arial" w:eastAsia="Arial" w:hAnsi="Arial"/>
                <w:sz w:val="18"/>
                <w:szCs w:val="18"/>
                <w:color w:val="auto"/>
              </w:rPr>
              <w:t>11.8</w:t>
            </w:r>
          </w:p>
        </w:tc>
        <w:tc>
          <w:tcPr>
            <w:tcW w:w="5860" w:type="dxa"/>
            <w:vAlign w:val="bottom"/>
          </w:tcPr>
          <w:p>
            <w:pPr>
              <w:ind w:left="100"/>
              <w:spacing w:after="0" w:line="181" w:lineRule="exact"/>
              <w:rPr>
                <w:sz w:val="20"/>
                <w:szCs w:val="20"/>
                <w:color w:val="auto"/>
              </w:rPr>
            </w:pPr>
            <w:r>
              <w:rPr>
                <w:rFonts w:ascii="Arial" w:cs="Arial" w:eastAsia="Arial" w:hAnsi="Arial"/>
                <w:sz w:val="18"/>
                <w:szCs w:val="18"/>
                <w:color w:val="auto"/>
              </w:rPr>
              <w:t>Survival.</w:t>
            </w:r>
          </w:p>
        </w:tc>
        <w:tc>
          <w:tcPr>
            <w:tcW w:w="3100" w:type="dxa"/>
            <w:vAlign w:val="bottom"/>
          </w:tcPr>
          <w:p>
            <w:pPr>
              <w:jc w:val="right"/>
              <w:spacing w:after="0" w:line="181" w:lineRule="exact"/>
              <w:rPr>
                <w:sz w:val="20"/>
                <w:szCs w:val="20"/>
                <w:color w:val="auto"/>
              </w:rPr>
            </w:pPr>
            <w:r>
              <w:rPr>
                <w:rFonts w:ascii="Arial" w:cs="Arial" w:eastAsia="Arial" w:hAnsi="Arial"/>
                <w:sz w:val="18"/>
                <w:szCs w:val="18"/>
                <w:color w:val="auto"/>
              </w:rPr>
              <w:t>31</w:t>
            </w:r>
          </w:p>
        </w:tc>
      </w:tr>
      <w:tr>
        <w:trPr>
          <w:trHeight w:val="224"/>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5"/>
              </w:rPr>
              <w:t>12.</w:t>
            </w:r>
          </w:p>
        </w:tc>
        <w:tc>
          <w:tcPr>
            <w:tcW w:w="64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Intellectual Property</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12.1</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Inventions.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181"/>
        </w:trPr>
        <w:tc>
          <w:tcPr>
            <w:tcW w:w="340" w:type="dxa"/>
            <w:vAlign w:val="bottom"/>
          </w:tcPr>
          <w:p>
            <w:pPr>
              <w:spacing w:after="0"/>
              <w:rPr>
                <w:sz w:val="15"/>
                <w:szCs w:val="15"/>
                <w:color w:val="auto"/>
              </w:rPr>
            </w:pPr>
          </w:p>
        </w:tc>
        <w:tc>
          <w:tcPr>
            <w:tcW w:w="620" w:type="dxa"/>
            <w:vAlign w:val="bottom"/>
          </w:tcPr>
          <w:p>
            <w:pPr>
              <w:ind w:left="80"/>
              <w:spacing w:after="0" w:line="181" w:lineRule="exact"/>
              <w:rPr>
                <w:sz w:val="20"/>
                <w:szCs w:val="20"/>
                <w:color w:val="auto"/>
              </w:rPr>
            </w:pPr>
            <w:r>
              <w:rPr>
                <w:rFonts w:ascii="Arial" w:cs="Arial" w:eastAsia="Arial" w:hAnsi="Arial"/>
                <w:sz w:val="18"/>
                <w:szCs w:val="18"/>
                <w:color w:val="auto"/>
              </w:rPr>
              <w:t>12.2</w:t>
            </w:r>
          </w:p>
        </w:tc>
        <w:tc>
          <w:tcPr>
            <w:tcW w:w="5860" w:type="dxa"/>
            <w:vAlign w:val="bottom"/>
          </w:tcPr>
          <w:p>
            <w:pPr>
              <w:ind w:left="100"/>
              <w:spacing w:after="0" w:line="181" w:lineRule="exact"/>
              <w:rPr>
                <w:sz w:val="20"/>
                <w:szCs w:val="20"/>
                <w:color w:val="auto"/>
              </w:rPr>
            </w:pPr>
            <w:r>
              <w:rPr>
                <w:rFonts w:ascii="Arial" w:cs="Arial" w:eastAsia="Arial" w:hAnsi="Arial"/>
                <w:sz w:val="18"/>
                <w:szCs w:val="18"/>
                <w:color w:val="auto"/>
              </w:rPr>
              <w:t>Intellectual Property.</w:t>
            </w:r>
          </w:p>
        </w:tc>
        <w:tc>
          <w:tcPr>
            <w:tcW w:w="3100" w:type="dxa"/>
            <w:vAlign w:val="bottom"/>
          </w:tcPr>
          <w:p>
            <w:pPr>
              <w:jc w:val="right"/>
              <w:spacing w:after="0" w:line="181" w:lineRule="exact"/>
              <w:rPr>
                <w:sz w:val="20"/>
                <w:szCs w:val="20"/>
                <w:color w:val="auto"/>
              </w:rPr>
            </w:pPr>
            <w:r>
              <w:rPr>
                <w:rFonts w:ascii="Arial" w:cs="Arial" w:eastAsia="Arial" w:hAnsi="Arial"/>
                <w:sz w:val="18"/>
                <w:szCs w:val="18"/>
                <w:color w:val="auto"/>
              </w:rPr>
              <w:t>31</w:t>
            </w:r>
          </w:p>
        </w:tc>
      </w:tr>
      <w:tr>
        <w:trPr>
          <w:trHeight w:val="224"/>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5"/>
              </w:rPr>
              <w:t>13.</w:t>
            </w:r>
          </w:p>
        </w:tc>
        <w:tc>
          <w:tcPr>
            <w:tcW w:w="6480" w:type="dxa"/>
            <w:vAlign w:val="bottom"/>
            <w:gridSpan w:val="2"/>
          </w:tcPr>
          <w:p>
            <w:pPr>
              <w:ind w:left="80"/>
              <w:spacing w:after="0"/>
              <w:rPr>
                <w:sz w:val="20"/>
                <w:szCs w:val="20"/>
                <w:color w:val="auto"/>
              </w:rPr>
            </w:pPr>
            <w:r>
              <w:rPr>
                <w:rFonts w:ascii="Arial" w:cs="Arial" w:eastAsia="Arial" w:hAnsi="Arial"/>
                <w:sz w:val="18"/>
                <w:szCs w:val="18"/>
                <w:b w:val="1"/>
                <w:bCs w:val="1"/>
                <w:color w:val="auto"/>
              </w:rPr>
              <w:t>Miscellaneous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13.1</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Insurance.</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13.2</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No Agency or Partnership.</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13.3</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No Waiver.</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13.4</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Assignment.</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13.5</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Force Majeure.</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13.6</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Additional Product and Services.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13.7</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Notices.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13.8</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Severability.</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13.9</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Entire Agreement.</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13.10</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Other Terms.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13.11</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No Third Party Benefit or Right.</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2"/>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13.12</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Execution in Counterparts.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13.13</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Use of Name.</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13.14</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Taxes.</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3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18"/>
                <w:szCs w:val="18"/>
                <w:color w:val="auto"/>
              </w:rPr>
              <w:t>13.15</w:t>
            </w:r>
          </w:p>
        </w:tc>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Governing Law and Jurisdiction.</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17"/>
        </w:trPr>
        <w:tc>
          <w:tcPr>
            <w:tcW w:w="34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rPr>
              <w:t>13.16</w:t>
            </w:r>
          </w:p>
        </w:tc>
        <w:tc>
          <w:tcPr>
            <w:tcW w:w="5860" w:type="dxa"/>
            <w:vAlign w:val="bottom"/>
          </w:tcPr>
          <w:p>
            <w:pPr>
              <w:ind w:left="100"/>
              <w:spacing w:after="0"/>
              <w:rPr>
                <w:sz w:val="20"/>
                <w:szCs w:val="20"/>
                <w:color w:val="auto"/>
              </w:rPr>
            </w:pPr>
            <w:r>
              <w:rPr>
                <w:rFonts w:ascii="Arial" w:cs="Arial" w:eastAsia="Arial" w:hAnsi="Arial"/>
                <w:sz w:val="18"/>
                <w:szCs w:val="18"/>
                <w:color w:val="auto"/>
              </w:rPr>
              <w:t>Dispute Resolution.</w:t>
            </w:r>
          </w:p>
        </w:tc>
        <w:tc>
          <w:tcPr>
            <w:tcW w:w="31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tcPr>
          <w:p>
            <w:pPr>
              <w:spacing w:after="0"/>
              <w:rPr>
                <w:sz w:val="20"/>
                <w:szCs w:val="20"/>
                <w:color w:val="auto"/>
              </w:rPr>
            </w:pPr>
            <w:r>
              <w:rPr>
                <w:rFonts w:ascii="Arial" w:cs="Arial" w:eastAsia="Arial" w:hAnsi="Arial"/>
                <w:sz w:val="18"/>
                <w:szCs w:val="18"/>
                <w:b w:val="1"/>
                <w:bCs w:val="1"/>
                <w:color w:val="auto"/>
              </w:rPr>
              <w:t>APPENDIX 1 – Commercial Supply Pricing</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25"/>
        </w:trPr>
        <w:tc>
          <w:tcPr>
            <w:tcW w:w="6880" w:type="dxa"/>
            <w:vAlign w:val="bottom"/>
          </w:tcPr>
          <w:p>
            <w:pPr>
              <w:spacing w:after="0"/>
              <w:rPr>
                <w:sz w:val="20"/>
                <w:szCs w:val="20"/>
                <w:color w:val="auto"/>
              </w:rPr>
            </w:pPr>
            <w:r>
              <w:rPr>
                <w:rFonts w:ascii="Arial" w:cs="Arial" w:eastAsia="Arial" w:hAnsi="Arial"/>
                <w:sz w:val="18"/>
                <w:szCs w:val="18"/>
                <w:b w:val="1"/>
                <w:bCs w:val="1"/>
                <w:color w:val="auto"/>
              </w:rPr>
              <w:t>APPENDIX 2 – Dispute Resolution</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3"/>
        </w:trPr>
        <w:tc>
          <w:tcPr>
            <w:tcW w:w="6880" w:type="dxa"/>
            <w:vAlign w:val="bottom"/>
          </w:tcPr>
          <w:p>
            <w:pPr>
              <w:ind w:left="340"/>
              <w:spacing w:after="0" w:line="202" w:lineRule="exact"/>
              <w:rPr>
                <w:sz w:val="20"/>
                <w:szCs w:val="20"/>
                <w:color w:val="auto"/>
              </w:rPr>
            </w:pPr>
            <w:r>
              <w:rPr>
                <w:rFonts w:ascii="Arial" w:cs="Arial" w:eastAsia="Arial" w:hAnsi="Arial"/>
                <w:sz w:val="18"/>
                <w:szCs w:val="18"/>
                <w:color w:val="auto"/>
              </w:rPr>
              <w:t>Negotiation</w:t>
            </w:r>
          </w:p>
        </w:tc>
        <w:tc>
          <w:tcPr>
            <w:tcW w:w="30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80"/>
        </w:trPr>
        <w:tc>
          <w:tcPr>
            <w:tcW w:w="6880" w:type="dxa"/>
            <w:vAlign w:val="bottom"/>
          </w:tcPr>
          <w:p>
            <w:pPr>
              <w:ind w:left="340"/>
              <w:spacing w:after="0" w:line="181" w:lineRule="exact"/>
              <w:rPr>
                <w:sz w:val="20"/>
                <w:szCs w:val="20"/>
                <w:color w:val="auto"/>
              </w:rPr>
            </w:pPr>
            <w:r>
              <w:rPr>
                <w:rFonts w:ascii="Arial" w:cs="Arial" w:eastAsia="Arial" w:hAnsi="Arial"/>
                <w:sz w:val="18"/>
                <w:szCs w:val="18"/>
                <w:color w:val="auto"/>
              </w:rPr>
              <w:t>Technical Disputes</w:t>
            </w:r>
          </w:p>
        </w:tc>
        <w:tc>
          <w:tcPr>
            <w:tcW w:w="3040" w:type="dxa"/>
            <w:vAlign w:val="bottom"/>
          </w:tcPr>
          <w:p>
            <w:pPr>
              <w:jc w:val="right"/>
              <w:spacing w:after="0" w:line="181" w:lineRule="exact"/>
              <w:rPr>
                <w:sz w:val="20"/>
                <w:szCs w:val="20"/>
                <w:color w:val="auto"/>
              </w:rPr>
            </w:pPr>
            <w:r>
              <w:rPr>
                <w:rFonts w:ascii="Arial" w:cs="Arial" w:eastAsia="Arial" w:hAnsi="Arial"/>
                <w:sz w:val="18"/>
                <w:szCs w:val="18"/>
                <w:color w:val="auto"/>
              </w:rPr>
              <w:t>1</w:t>
            </w:r>
          </w:p>
        </w:tc>
      </w:tr>
      <w:tr>
        <w:trPr>
          <w:trHeight w:val="225"/>
        </w:trPr>
        <w:tc>
          <w:tcPr>
            <w:tcW w:w="6880" w:type="dxa"/>
            <w:vAlign w:val="bottom"/>
          </w:tcPr>
          <w:p>
            <w:pPr>
              <w:spacing w:after="0"/>
              <w:rPr>
                <w:sz w:val="20"/>
                <w:szCs w:val="20"/>
                <w:color w:val="auto"/>
              </w:rPr>
            </w:pPr>
            <w:r>
              <w:rPr>
                <w:rFonts w:ascii="Arial" w:cs="Arial" w:eastAsia="Arial" w:hAnsi="Arial"/>
                <w:sz w:val="18"/>
                <w:szCs w:val="18"/>
                <w:b w:val="1"/>
                <w:bCs w:val="1"/>
                <w:color w:val="auto"/>
              </w:rPr>
              <w:t>APPENDIX 3 – API Yield Calculation</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2"/>
        </w:trPr>
        <w:tc>
          <w:tcPr>
            <w:tcW w:w="6880" w:type="dxa"/>
            <w:vAlign w:val="bottom"/>
          </w:tcPr>
          <w:p>
            <w:pPr>
              <w:ind w:left="340"/>
              <w:spacing w:after="0" w:line="202" w:lineRule="exact"/>
              <w:rPr>
                <w:sz w:val="20"/>
                <w:szCs w:val="20"/>
                <w:color w:val="auto"/>
              </w:rPr>
            </w:pPr>
            <w:r>
              <w:rPr>
                <w:rFonts w:ascii="Arial" w:cs="Arial" w:eastAsia="Arial" w:hAnsi="Arial"/>
                <w:sz w:val="18"/>
                <w:szCs w:val="18"/>
                <w:color w:val="auto"/>
              </w:rPr>
              <w:t>Actual Annual Yield</w:t>
            </w:r>
          </w:p>
        </w:tc>
        <w:tc>
          <w:tcPr>
            <w:tcW w:w="30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6880" w:type="dxa"/>
            <w:vAlign w:val="bottom"/>
          </w:tcPr>
          <w:p>
            <w:pPr>
              <w:ind w:left="340"/>
              <w:spacing w:after="0" w:line="202" w:lineRule="exact"/>
              <w:rPr>
                <w:sz w:val="20"/>
                <w:szCs w:val="20"/>
                <w:color w:val="auto"/>
              </w:rPr>
            </w:pPr>
            <w:r>
              <w:rPr>
                <w:rFonts w:ascii="Arial" w:cs="Arial" w:eastAsia="Arial" w:hAnsi="Arial"/>
                <w:sz w:val="18"/>
                <w:szCs w:val="18"/>
                <w:color w:val="auto"/>
              </w:rPr>
              <w:t>Target Yield and Credit Calculation</w:t>
            </w:r>
          </w:p>
        </w:tc>
        <w:tc>
          <w:tcPr>
            <w:tcW w:w="30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80"/>
        </w:trPr>
        <w:tc>
          <w:tcPr>
            <w:tcW w:w="6880" w:type="dxa"/>
            <w:vAlign w:val="bottom"/>
          </w:tcPr>
          <w:p>
            <w:pPr>
              <w:ind w:left="340"/>
              <w:spacing w:after="0" w:line="181" w:lineRule="exact"/>
              <w:rPr>
                <w:sz w:val="20"/>
                <w:szCs w:val="20"/>
                <w:color w:val="auto"/>
              </w:rPr>
            </w:pPr>
            <w:r>
              <w:rPr>
                <w:rFonts w:ascii="Arial" w:cs="Arial" w:eastAsia="Arial" w:hAnsi="Arial"/>
                <w:sz w:val="18"/>
                <w:szCs w:val="18"/>
                <w:color w:val="auto"/>
              </w:rPr>
              <w:t>Limits on API Liability</w:t>
            </w:r>
          </w:p>
        </w:tc>
        <w:tc>
          <w:tcPr>
            <w:tcW w:w="3040" w:type="dxa"/>
            <w:vAlign w:val="bottom"/>
          </w:tcPr>
          <w:p>
            <w:pPr>
              <w:jc w:val="right"/>
              <w:spacing w:after="0" w:line="181" w:lineRule="exact"/>
              <w:rPr>
                <w:sz w:val="20"/>
                <w:szCs w:val="20"/>
                <w:color w:val="auto"/>
              </w:rPr>
            </w:pPr>
            <w:r>
              <w:rPr>
                <w:rFonts w:ascii="Arial" w:cs="Arial" w:eastAsia="Arial" w:hAnsi="Arial"/>
                <w:sz w:val="18"/>
                <w:szCs w:val="18"/>
                <w:color w:val="auto"/>
              </w:rPr>
              <w:t>1</w:t>
            </w:r>
          </w:p>
        </w:tc>
      </w:tr>
      <w:tr>
        <w:trPr>
          <w:trHeight w:val="225"/>
        </w:trPr>
        <w:tc>
          <w:tcPr>
            <w:tcW w:w="6880" w:type="dxa"/>
            <w:vAlign w:val="bottom"/>
          </w:tcPr>
          <w:p>
            <w:pPr>
              <w:spacing w:after="0"/>
              <w:rPr>
                <w:sz w:val="20"/>
                <w:szCs w:val="20"/>
                <w:color w:val="auto"/>
              </w:rPr>
            </w:pPr>
            <w:r>
              <w:rPr>
                <w:rFonts w:ascii="Arial" w:cs="Arial" w:eastAsia="Arial" w:hAnsi="Arial"/>
                <w:sz w:val="18"/>
                <w:szCs w:val="18"/>
                <w:b w:val="1"/>
                <w:bCs w:val="1"/>
                <w:color w:val="auto"/>
              </w:rPr>
              <w:t>APPENDIX 4 – Price Adjustments</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7"/>
        </w:trPr>
        <w:tc>
          <w:tcPr>
            <w:tcW w:w="6880" w:type="dxa"/>
            <w:vAlign w:val="bottom"/>
          </w:tcPr>
          <w:p>
            <w:pPr>
              <w:ind w:left="340"/>
              <w:spacing w:after="0"/>
              <w:rPr>
                <w:sz w:val="20"/>
                <w:szCs w:val="20"/>
                <w:color w:val="auto"/>
              </w:rPr>
            </w:pPr>
            <w:r>
              <w:rPr>
                <w:rFonts w:ascii="Arial" w:cs="Arial" w:eastAsia="Arial" w:hAnsi="Arial"/>
                <w:sz w:val="18"/>
                <w:szCs w:val="18"/>
                <w:color w:val="auto"/>
              </w:rPr>
              <w:t>Price Adjustment Calculation Due To Inflation</w:t>
            </w:r>
          </w:p>
        </w:tc>
        <w:tc>
          <w:tcPr>
            <w:tcW w:w="30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385445</wp:posOffset>
            </wp:positionV>
            <wp:extent cx="62922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3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75" w:right="999" w:bottom="1440" w:gutter="0" w:footer="0" w:header="0"/>
        </w:sectPr>
      </w:pPr>
    </w:p>
    <w:bookmarkStart w:id="99" w:name="page100"/>
    <w:bookmarkEnd w:id="99"/>
    <w:p>
      <w:pPr>
        <w:ind w:right="20"/>
        <w:spacing w:after="0" w:line="246" w:lineRule="auto"/>
        <w:rPr>
          <w:sz w:val="20"/>
          <w:szCs w:val="20"/>
          <w:color w:val="auto"/>
        </w:rPr>
      </w:pPr>
      <w:r>
        <w:rPr>
          <w:rFonts w:ascii="Arial" w:cs="Arial" w:eastAsia="Arial" w:hAnsi="Arial"/>
          <w:sz w:val="18"/>
          <w:szCs w:val="18"/>
          <w:color w:val="auto"/>
        </w:rPr>
        <w:t>With effect from the date stated at the start of this Agreement (the “Effective Date”), the parties have agreed to the following terms:</w:t>
      </w:r>
    </w:p>
    <w:p>
      <w:pPr>
        <w:spacing w:after="0" w:line="165"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12" w:lineRule="exact"/>
        <w:rPr>
          <w:sz w:val="20"/>
          <w:szCs w:val="20"/>
          <w:color w:val="auto"/>
        </w:rPr>
      </w:pPr>
    </w:p>
    <w:p>
      <w:pPr>
        <w:ind w:firstLine="612"/>
        <w:spacing w:after="0" w:line="246" w:lineRule="auto"/>
        <w:rPr>
          <w:sz w:val="20"/>
          <w:szCs w:val="20"/>
          <w:color w:val="auto"/>
        </w:rPr>
      </w:pPr>
      <w:r>
        <w:rPr>
          <w:rFonts w:ascii="Arial" w:cs="Arial" w:eastAsia="Arial" w:hAnsi="Arial"/>
          <w:sz w:val="18"/>
          <w:szCs w:val="18"/>
          <w:color w:val="auto"/>
        </w:rPr>
        <w:t>The following terms will, unless the context otherwise requires, have the respective meanings set out below and grammatical variations of these terms will have corresponding meanings:</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Adverse Supply Event</w:t>
      </w:r>
      <w:r>
        <w:rPr>
          <w:rFonts w:ascii="Arial" w:cs="Arial" w:eastAsia="Arial" w:hAnsi="Arial"/>
          <w:sz w:val="18"/>
          <w:szCs w:val="18"/>
          <w:color w:val="auto"/>
        </w:rPr>
        <w:t>” has the meaning specified in Section 2.4;</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w:t>
      </w:r>
    </w:p>
    <w:p>
      <w:pPr>
        <w:spacing w:after="0" w:line="234" w:lineRule="exact"/>
        <w:rPr>
          <w:sz w:val="20"/>
          <w:szCs w:val="20"/>
          <w:color w:val="auto"/>
        </w:rPr>
      </w:pPr>
    </w:p>
    <w:p>
      <w:pPr>
        <w:ind w:left="1420" w:hanging="375"/>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business entity which owns, directly or indirectly, a controlling interest in a party; or</w:t>
      </w:r>
    </w:p>
    <w:p>
      <w:pPr>
        <w:spacing w:after="0" w:line="103" w:lineRule="exact"/>
        <w:rPr>
          <w:rFonts w:ascii="Arial" w:cs="Arial" w:eastAsia="Arial" w:hAnsi="Arial"/>
          <w:sz w:val="18"/>
          <w:szCs w:val="18"/>
          <w:color w:val="auto"/>
        </w:rPr>
      </w:pPr>
    </w:p>
    <w:p>
      <w:pPr>
        <w:ind w:left="1420" w:hanging="375"/>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business entity which is controlled by a party, either directly or indirectly; or</w:t>
      </w:r>
    </w:p>
    <w:p>
      <w:pPr>
        <w:spacing w:after="0" w:line="103" w:lineRule="exact"/>
        <w:rPr>
          <w:rFonts w:ascii="Arial" w:cs="Arial" w:eastAsia="Arial" w:hAnsi="Arial"/>
          <w:sz w:val="18"/>
          <w:szCs w:val="18"/>
          <w:color w:val="auto"/>
        </w:rPr>
      </w:pPr>
    </w:p>
    <w:p>
      <w:pPr>
        <w:ind w:left="1380" w:hanging="334"/>
        <w:spacing w:after="0" w:line="246" w:lineRule="auto"/>
        <w:tabs>
          <w:tab w:leader="none" w:pos="14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business entity, the controlling interest of which is directly or indirectly common to the majority ownership of a party;</w:t>
      </w:r>
    </w:p>
    <w:p>
      <w:pPr>
        <w:spacing w:after="0" w:line="197" w:lineRule="exact"/>
        <w:rPr>
          <w:sz w:val="20"/>
          <w:szCs w:val="20"/>
          <w:color w:val="auto"/>
        </w:rPr>
      </w:pPr>
    </w:p>
    <w:p>
      <w:pPr>
        <w:jc w:val="both"/>
        <w:ind w:left="720" w:right="20"/>
        <w:spacing w:after="0" w:line="246" w:lineRule="auto"/>
        <w:rPr>
          <w:sz w:val="20"/>
          <w:szCs w:val="20"/>
          <w:color w:val="auto"/>
        </w:rPr>
      </w:pPr>
      <w:r>
        <w:rPr>
          <w:rFonts w:ascii="Arial" w:cs="Arial" w:eastAsia="Arial" w:hAnsi="Arial"/>
          <w:sz w:val="18"/>
          <w:szCs w:val="18"/>
          <w:color w:val="auto"/>
        </w:rPr>
        <w:t>For this definition, "control" means the lawful right to determine (by ownership of shares or otherwise) the election of the majority of directors (or equivalent managers) of a business entity;</w:t>
      </w:r>
    </w:p>
    <w:p>
      <w:pPr>
        <w:spacing w:after="0" w:line="175" w:lineRule="exact"/>
        <w:rPr>
          <w:sz w:val="20"/>
          <w:szCs w:val="20"/>
          <w:color w:val="auto"/>
        </w:rPr>
      </w:pPr>
    </w:p>
    <w:p>
      <w:pPr>
        <w:jc w:val="both"/>
        <w:ind w:left="720" w:firstLine="5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API</w:t>
      </w:r>
      <w:r>
        <w:rPr>
          <w:rFonts w:ascii="Arial" w:cs="Arial" w:eastAsia="Arial" w:hAnsi="Arial"/>
          <w:sz w:val="18"/>
          <w:szCs w:val="18"/>
          <w:color w:val="auto"/>
        </w:rPr>
        <w:t>” means the active material Tenapanor (references to “Active Materials” or “Active Pharmaceutical Ingredient” in this Agreement will mean “API”);</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API Credit Value</w:t>
      </w:r>
      <w:r>
        <w:rPr>
          <w:rFonts w:ascii="Arial" w:cs="Arial" w:eastAsia="Arial" w:hAnsi="Arial"/>
          <w:sz w:val="18"/>
          <w:szCs w:val="18"/>
          <w:color w:val="auto"/>
        </w:rPr>
        <w:t>" means the value of the API on an actual cost per [***] basis ([***]);</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(i) [***]; and (ii) [***];</w:t>
      </w:r>
    </w:p>
    <w:p>
      <w:pPr>
        <w:spacing w:after="0" w:line="212" w:lineRule="exact"/>
        <w:rPr>
          <w:sz w:val="20"/>
          <w:szCs w:val="20"/>
          <w:color w:val="auto"/>
        </w:rPr>
      </w:pPr>
    </w:p>
    <w:p>
      <w:pPr>
        <w:jc w:val="both"/>
        <w:ind w:left="7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Authority</w:t>
      </w:r>
      <w:r>
        <w:rPr>
          <w:rFonts w:ascii="Arial" w:cs="Arial" w:eastAsia="Arial" w:hAnsi="Arial"/>
          <w:sz w:val="18"/>
          <w:szCs w:val="18"/>
          <w:color w:val="auto"/>
        </w:rPr>
        <w:t>" means any governmental or regulatory authority, department, securities exchange, body or agency or any court, tribunal, bureau, commission or other similar body, whether foreign, federal, state, provincial, county or municipal, with competent jurisdiction over a party, the Manufacturing Services, or the Product (or its use);</w:t>
      </w:r>
    </w:p>
    <w:p>
      <w:pPr>
        <w:spacing w:after="0" w:line="169"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a day that is a statutory holiday in Patheon’s resident jurisdiction, Client’s resident jurisdiction, or the jurisdiction where the Manufacturing Site is located;</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cGMPs</w:t>
      </w:r>
      <w:r>
        <w:rPr>
          <w:rFonts w:ascii="Arial" w:cs="Arial" w:eastAsia="Arial" w:hAnsi="Arial"/>
          <w:sz w:val="18"/>
          <w:szCs w:val="18"/>
          <w:color w:val="auto"/>
        </w:rPr>
        <w:t>" means, as applicable, current good manufacturing practices as described in:</w:t>
      </w:r>
    </w:p>
    <w:p>
      <w:pPr>
        <w:spacing w:after="0" w:line="234" w:lineRule="exact"/>
        <w:rPr>
          <w:sz w:val="20"/>
          <w:szCs w:val="20"/>
          <w:color w:val="auto"/>
        </w:rPr>
      </w:pPr>
    </w:p>
    <w:p>
      <w:pPr>
        <w:ind w:left="1420" w:hanging="375"/>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Parts 210 and 211 of Title 21 of the United States' Code of Federal Regulations;</w:t>
      </w:r>
    </w:p>
    <w:p>
      <w:pPr>
        <w:spacing w:after="0" w:line="103" w:lineRule="exact"/>
        <w:rPr>
          <w:rFonts w:ascii="Arial" w:cs="Arial" w:eastAsia="Arial" w:hAnsi="Arial"/>
          <w:sz w:val="18"/>
          <w:szCs w:val="18"/>
          <w:color w:val="auto"/>
        </w:rPr>
      </w:pPr>
    </w:p>
    <w:p>
      <w:pPr>
        <w:ind w:left="1420" w:hanging="375"/>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Commission Directive (EU) 2017/1572 (art. 2); and</w:t>
      </w:r>
    </w:p>
    <w:p>
      <w:pPr>
        <w:spacing w:after="0" w:line="103" w:lineRule="exact"/>
        <w:rPr>
          <w:rFonts w:ascii="Arial" w:cs="Arial" w:eastAsia="Arial" w:hAnsi="Arial"/>
          <w:sz w:val="18"/>
          <w:szCs w:val="18"/>
          <w:color w:val="auto"/>
        </w:rPr>
      </w:pPr>
    </w:p>
    <w:p>
      <w:pPr>
        <w:ind w:left="1400" w:hanging="354"/>
        <w:spacing w:after="0"/>
        <w:tabs>
          <w:tab w:leader="none" w:pos="1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Division 2 of Part C of the Food and Drug Regulations (Canada);</w:t>
      </w:r>
    </w:p>
    <w:p>
      <w:pPr>
        <w:spacing w:after="0" w:line="212" w:lineRule="exact"/>
        <w:rPr>
          <w:sz w:val="20"/>
          <w:szCs w:val="20"/>
          <w:color w:val="auto"/>
        </w:rPr>
      </w:pPr>
    </w:p>
    <w:p>
      <w:pPr>
        <w:ind w:left="720" w:right="20"/>
        <w:spacing w:after="0" w:line="246" w:lineRule="auto"/>
        <w:rPr>
          <w:sz w:val="20"/>
          <w:szCs w:val="20"/>
          <w:color w:val="auto"/>
        </w:rPr>
      </w:pPr>
      <w:r>
        <w:rPr>
          <w:rFonts w:ascii="Arial" w:cs="Arial" w:eastAsia="Arial" w:hAnsi="Arial"/>
          <w:sz w:val="18"/>
          <w:szCs w:val="18"/>
          <w:color w:val="auto"/>
        </w:rPr>
        <w:t>together with current final industry-accepted Health Canada, FDA and EMA guidance documents pertaining to manufacturing and quality control practice, all as updated, amended and revised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391160</wp:posOffset>
            </wp:positionV>
            <wp:extent cx="62922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4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1" w:right="999" w:bottom="1440" w:gutter="0" w:footer="0" w:header="0"/>
        </w:sectPr>
      </w:pPr>
    </w:p>
    <w:bookmarkStart w:id="100" w:name="page101"/>
    <w:bookmarkEnd w:id="100"/>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Intellectual Property</w:t>
      </w:r>
      <w:r>
        <w:rPr>
          <w:rFonts w:ascii="Arial" w:cs="Arial" w:eastAsia="Arial" w:hAnsi="Arial"/>
          <w:sz w:val="18"/>
          <w:szCs w:val="18"/>
          <w:color w:val="auto"/>
        </w:rPr>
        <w:t>” means Intellectual Property generated, acquired or derived by: (i) [***] or (ii) [***];</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Client-Supplied Components</w:t>
      </w:r>
      <w:r>
        <w:rPr>
          <w:rFonts w:ascii="Arial" w:cs="Arial" w:eastAsia="Arial" w:hAnsi="Arial"/>
          <w:sz w:val="18"/>
          <w:szCs w:val="18"/>
          <w:color w:val="auto"/>
        </w:rPr>
        <w:t>” means those Components supplied or to be supplied by or on behalf of Client;</w:t>
      </w:r>
    </w:p>
    <w:p>
      <w:pPr>
        <w:spacing w:after="0" w:line="212" w:lineRule="exact"/>
        <w:rPr>
          <w:sz w:val="20"/>
          <w:szCs w:val="20"/>
          <w:color w:val="auto"/>
        </w:rPr>
      </w:pPr>
    </w:p>
    <w:p>
      <w:pPr>
        <w:jc w:val="both"/>
        <w:ind w:left="7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Components</w:t>
      </w:r>
      <w:r>
        <w:rPr>
          <w:rFonts w:ascii="Arial" w:cs="Arial" w:eastAsia="Arial" w:hAnsi="Arial"/>
          <w:sz w:val="18"/>
          <w:szCs w:val="18"/>
          <w:color w:val="auto"/>
        </w:rPr>
        <w:t>" means, collectively, all packaging components, raw materials, ingredients, and other materials (including labels, product inserts and other labelling for the Products) required to manufacture or package Product in accordance with the Processing Instructions, other than the API;</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specified in Section 11.1;</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w:t>
      </w:r>
      <w:r>
        <w:rPr>
          <w:rFonts w:ascii="Arial" w:cs="Arial" w:eastAsia="Arial" w:hAnsi="Arial"/>
          <w:sz w:val="18"/>
          <w:szCs w:val="18"/>
          <w:color w:val="auto"/>
        </w:rPr>
        <w:t>” means the Drug Enforcement Administration of the United States Department of Justice;</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Deficient Product</w:t>
      </w:r>
      <w:r>
        <w:rPr>
          <w:rFonts w:ascii="Arial" w:cs="Arial" w:eastAsia="Arial" w:hAnsi="Arial"/>
          <w:sz w:val="18"/>
          <w:szCs w:val="18"/>
          <w:color w:val="auto"/>
        </w:rPr>
        <w:t>” has the meaning specified in Section 6.1(a)(i);</w:t>
      </w:r>
    </w:p>
    <w:p>
      <w:pPr>
        <w:spacing w:after="0" w:line="212" w:lineRule="exact"/>
        <w:rPr>
          <w:sz w:val="20"/>
          <w:szCs w:val="20"/>
          <w:color w:val="auto"/>
        </w:rPr>
      </w:pPr>
    </w:p>
    <w:p>
      <w:pPr>
        <w:jc w:val="both"/>
        <w:ind w:left="7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Date</w:t>
      </w:r>
      <w:r>
        <w:rPr>
          <w:rFonts w:ascii="Arial" w:cs="Arial" w:eastAsia="Arial" w:hAnsi="Arial"/>
          <w:sz w:val="18"/>
          <w:szCs w:val="18"/>
          <w:color w:val="auto"/>
        </w:rPr>
        <w:t>” means in relation to each batch of Product the scheduled date by which the Product will be released by Patheon’s quality department (by confirmation or certification, as agreed in the Quality Agreement) and made available for shipment, and as confirmed by Patheon upon receipt of a Firm Order;</w:t>
      </w:r>
    </w:p>
    <w:p>
      <w:pPr>
        <w:spacing w:after="0" w:line="169" w:lineRule="exact"/>
        <w:rPr>
          <w:sz w:val="20"/>
          <w:szCs w:val="20"/>
          <w:color w:val="auto"/>
        </w:rPr>
      </w:pPr>
    </w:p>
    <w:p>
      <w:pPr>
        <w:jc w:val="both"/>
        <w:ind w:left="7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Agreement</w:t>
      </w:r>
      <w:r>
        <w:rPr>
          <w:rFonts w:ascii="Arial" w:cs="Arial" w:eastAsia="Arial" w:hAnsi="Arial"/>
          <w:sz w:val="18"/>
          <w:szCs w:val="18"/>
          <w:color w:val="auto"/>
        </w:rPr>
        <w:t>” means, collectively, the Master Agreement for Pharmaceutical Development Services between Patheon and Client dated January 12, 2016 (the “</w:t>
      </w:r>
      <w:r>
        <w:rPr>
          <w:rFonts w:ascii="Arial" w:cs="Arial" w:eastAsia="Arial" w:hAnsi="Arial"/>
          <w:sz w:val="18"/>
          <w:szCs w:val="18"/>
          <w:b w:val="1"/>
          <w:bCs w:val="1"/>
          <w:color w:val="auto"/>
        </w:rPr>
        <w:t>Master Agreement</w:t>
      </w:r>
      <w:r>
        <w:rPr>
          <w:rFonts w:ascii="Arial" w:cs="Arial" w:eastAsia="Arial" w:hAnsi="Arial"/>
          <w:sz w:val="18"/>
          <w:szCs w:val="18"/>
          <w:color w:val="auto"/>
        </w:rPr>
        <w:t>”) and any related Project Proposals issued under the Master Agreement;</w:t>
      </w:r>
    </w:p>
    <w:p>
      <w:pPr>
        <w:spacing w:after="0" w:line="169" w:lineRule="exact"/>
        <w:rPr>
          <w:sz w:val="20"/>
          <w:szCs w:val="20"/>
          <w:color w:val="auto"/>
        </w:rPr>
      </w:pPr>
    </w:p>
    <w:p>
      <w:pPr>
        <w:jc w:val="both"/>
        <w:ind w:left="7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Services</w:t>
      </w:r>
      <w:r>
        <w:rPr>
          <w:rFonts w:ascii="Arial" w:cs="Arial" w:eastAsia="Arial" w:hAnsi="Arial"/>
          <w:sz w:val="18"/>
          <w:szCs w:val="18"/>
          <w:color w:val="auto"/>
        </w:rPr>
        <w:t>” means any pharmaceutical research or development service for the Product, including the manufacture of Product validation batches, performed by Patheon for Client before or after the Effective Date and throughout the Term under the Development Agreement;</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specified in Section 11.1;</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Documentary Product Claim</w:t>
      </w:r>
      <w:r>
        <w:rPr>
          <w:rFonts w:ascii="Arial" w:cs="Arial" w:eastAsia="Arial" w:hAnsi="Arial"/>
          <w:sz w:val="18"/>
          <w:szCs w:val="18"/>
          <w:color w:val="auto"/>
        </w:rPr>
        <w:t>” has the meaning specified in Section 6.1(b)(ii);</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FFDCA</w:t>
      </w:r>
      <w:r>
        <w:rPr>
          <w:rFonts w:ascii="Arial" w:cs="Arial" w:eastAsia="Arial" w:hAnsi="Arial"/>
          <w:sz w:val="18"/>
          <w:szCs w:val="18"/>
          <w:color w:val="auto"/>
        </w:rPr>
        <w:t>" means the United States Federal Food, Drug, and Cosmetic Act, 21 USC §§ 301 et seq.;</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Firm Order</w:t>
      </w:r>
      <w:r>
        <w:rPr>
          <w:rFonts w:ascii="Arial" w:cs="Arial" w:eastAsia="Arial" w:hAnsi="Arial"/>
          <w:sz w:val="18"/>
          <w:szCs w:val="18"/>
          <w:color w:val="auto"/>
        </w:rPr>
        <w:t>" has the meaning specified in Section 5.1(d);</w:t>
      </w:r>
    </w:p>
    <w:p>
      <w:pPr>
        <w:spacing w:after="0" w:line="212" w:lineRule="exact"/>
        <w:rPr>
          <w:sz w:val="20"/>
          <w:szCs w:val="20"/>
          <w:color w:val="auto"/>
        </w:rPr>
      </w:pPr>
    </w:p>
    <w:p>
      <w:pPr>
        <w:jc w:val="both"/>
        <w:ind w:left="7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 Canada</w:t>
      </w:r>
      <w:r>
        <w:rPr>
          <w:rFonts w:ascii="Arial" w:cs="Arial" w:eastAsia="Arial" w:hAnsi="Arial"/>
          <w:sz w:val="18"/>
          <w:szCs w:val="18"/>
          <w:color w:val="auto"/>
        </w:rPr>
        <w:t>" means the department of the Canadian Government known as Health Canada and includes, among other relevant branches, the Therapeutic Products Directorate and the Health Products and Food Branch Inspectorate;</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specified in Section 10.5;</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Indemnitor</w:t>
      </w:r>
      <w:r>
        <w:rPr>
          <w:rFonts w:ascii="Arial" w:cs="Arial" w:eastAsia="Arial" w:hAnsi="Arial"/>
          <w:sz w:val="18"/>
          <w:szCs w:val="18"/>
          <w:color w:val="auto"/>
        </w:rPr>
        <w:t>” has the meaning specified in Section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414655</wp:posOffset>
            </wp:positionV>
            <wp:extent cx="62922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5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0" w:right="999" w:bottom="1440" w:gutter="0" w:footer="0" w:header="0"/>
        </w:sectPr>
      </w:pPr>
    </w:p>
    <w:bookmarkStart w:id="101" w:name="page102"/>
    <w:bookmarkEnd w:id="101"/>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Product Term</w:t>
      </w:r>
      <w:r>
        <w:rPr>
          <w:rFonts w:ascii="Arial" w:cs="Arial" w:eastAsia="Arial" w:hAnsi="Arial"/>
          <w:sz w:val="18"/>
          <w:szCs w:val="18"/>
          <w:color w:val="auto"/>
        </w:rPr>
        <w:t>” has the meaning specified in Section 8.1;</w:t>
      </w:r>
    </w:p>
    <w:p>
      <w:pPr>
        <w:spacing w:after="0" w:line="212"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includes, without limitation, rights in patents, patent applications, formulae, trademarks, trademark applications, trade-names, Inventions, copyrights, industrial designs, trade secrets, and know how;</w:t>
      </w:r>
    </w:p>
    <w:p>
      <w:pPr>
        <w:spacing w:after="0" w:line="154" w:lineRule="exact"/>
        <w:rPr>
          <w:sz w:val="20"/>
          <w:szCs w:val="20"/>
          <w:color w:val="auto"/>
        </w:rPr>
      </w:pPr>
    </w:p>
    <w:p>
      <w:pPr>
        <w:jc w:val="both"/>
        <w:ind w:left="7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any innovation, improvement, development, discovery, computer program, device, trade secret, method, process, technique or the like, whether or not written or otherwise fixed in any form or medium, regardless of the media on which it is contained and whether or not patentable or copyrightable;</w:t>
      </w:r>
    </w:p>
    <w:p>
      <w:pPr>
        <w:spacing w:after="0" w:line="169"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at a point in time, all inventories of Components and work-in-process under Patheon’s care or control used for the manufacture or packaging of Product;</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Latent Defect Claim</w:t>
      </w:r>
      <w:r>
        <w:rPr>
          <w:rFonts w:ascii="Arial" w:cs="Arial" w:eastAsia="Arial" w:hAnsi="Arial"/>
          <w:sz w:val="18"/>
          <w:szCs w:val="18"/>
          <w:color w:val="auto"/>
        </w:rPr>
        <w:t>” has the meaning specified in Section 6.1(b)(iii);</w:t>
      </w:r>
    </w:p>
    <w:p>
      <w:pPr>
        <w:spacing w:after="0" w:line="212" w:lineRule="exact"/>
        <w:rPr>
          <w:sz w:val="20"/>
          <w:szCs w:val="20"/>
          <w:color w:val="auto"/>
        </w:rPr>
      </w:pPr>
    </w:p>
    <w:p>
      <w:pPr>
        <w:jc w:val="both"/>
        <w:ind w:left="72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all laws (including common law), statutes, ordinances, regulations, rules, by-laws, judgments, decrees or orders of any Authority;</w:t>
      </w:r>
    </w:p>
    <w:p>
      <w:pPr>
        <w:spacing w:after="0" w:line="154"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Licensees</w:t>
      </w:r>
      <w:r>
        <w:rPr>
          <w:rFonts w:ascii="Arial" w:cs="Arial" w:eastAsia="Arial" w:hAnsi="Arial"/>
          <w:sz w:val="18"/>
          <w:szCs w:val="18"/>
          <w:color w:val="auto"/>
        </w:rPr>
        <w:t>" means any person to whom Client has entered into a license agreement for the marketing, sale or distribution of Product in any Territory;</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 Term Forecast</w:t>
      </w:r>
      <w:r>
        <w:rPr>
          <w:rFonts w:ascii="Arial" w:cs="Arial" w:eastAsia="Arial" w:hAnsi="Arial"/>
          <w:sz w:val="18"/>
          <w:szCs w:val="18"/>
          <w:color w:val="auto"/>
        </w:rPr>
        <w:t>” has the meaning specified in Section 5.1(a);</w:t>
      </w:r>
    </w:p>
    <w:p>
      <w:pPr>
        <w:spacing w:after="0" w:line="212"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Records</w:t>
      </w:r>
      <w:r>
        <w:rPr>
          <w:rFonts w:ascii="Arial" w:cs="Arial" w:eastAsia="Arial" w:hAnsi="Arial"/>
          <w:sz w:val="18"/>
          <w:szCs w:val="18"/>
          <w:color w:val="auto"/>
        </w:rPr>
        <w:t>" means, for a shipment of Product, the following documents: the batch records, certificate of analysis, certificate of conformity, and the BSE/TSE certificate;</w:t>
      </w:r>
    </w:p>
    <w:p>
      <w:pPr>
        <w:spacing w:after="0" w:line="154"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Scale Up</w:t>
      </w:r>
      <w:r>
        <w:rPr>
          <w:rFonts w:ascii="Arial" w:cs="Arial" w:eastAsia="Arial" w:hAnsi="Arial"/>
          <w:sz w:val="18"/>
          <w:szCs w:val="18"/>
          <w:color w:val="auto"/>
        </w:rPr>
        <w:t>" means the purchase, installation and validation of equipment and the undertaking of such other capital improvements required to enable Patheon to manufacture Product in batches greater than [***];</w:t>
      </w:r>
    </w:p>
    <w:p>
      <w:pPr>
        <w:spacing w:after="0" w:line="154"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Services</w:t>
      </w:r>
      <w:r>
        <w:rPr>
          <w:rFonts w:ascii="Arial" w:cs="Arial" w:eastAsia="Arial" w:hAnsi="Arial"/>
          <w:sz w:val="18"/>
          <w:szCs w:val="18"/>
          <w:color w:val="auto"/>
        </w:rPr>
        <w:t>" means the manufacturing, quality control, quality assurance, stability testing, packaging, and related services for the manufacture of Product for distribution in the Territory;</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Site</w:t>
      </w:r>
      <w:r>
        <w:rPr>
          <w:rFonts w:ascii="Arial" w:cs="Arial" w:eastAsia="Arial" w:hAnsi="Arial"/>
          <w:sz w:val="18"/>
          <w:szCs w:val="18"/>
          <w:color w:val="auto"/>
        </w:rPr>
        <w:t>" means the facility located at [***] where the Manufacturing Services will be performed;</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 Requirement</w:t>
      </w:r>
      <w:r>
        <w:rPr>
          <w:rFonts w:ascii="Arial" w:cs="Arial" w:eastAsia="Arial" w:hAnsi="Arial"/>
          <w:sz w:val="18"/>
          <w:szCs w:val="18"/>
          <w:color w:val="auto"/>
        </w:rPr>
        <w:t>” has the meaning specified in Section 2.2(a);</w:t>
      </w:r>
    </w:p>
    <w:p>
      <w:pPr>
        <w:spacing w:after="0" w:line="212"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Order Quantity</w:t>
      </w:r>
      <w:r>
        <w:rPr>
          <w:rFonts w:ascii="Arial" w:cs="Arial" w:eastAsia="Arial" w:hAnsi="Arial"/>
          <w:sz w:val="18"/>
          <w:szCs w:val="18"/>
          <w:color w:val="auto"/>
        </w:rPr>
        <w:t>" means, for each manufacturing campaign ordered, the minimum number of tablets or batches of Product that Client must purchase, as set out in Appendix 1;</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Termination</w:t>
      </w:r>
      <w:r>
        <w:rPr>
          <w:rFonts w:ascii="Arial" w:cs="Arial" w:eastAsia="Arial" w:hAnsi="Arial"/>
          <w:sz w:val="18"/>
          <w:szCs w:val="18"/>
          <w:color w:val="auto"/>
        </w:rPr>
        <w:t>" has the meaning specified in Section 8.2(a);</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Obsolete Stock</w:t>
      </w:r>
      <w:r>
        <w:rPr>
          <w:rFonts w:ascii="Arial" w:cs="Arial" w:eastAsia="Arial" w:hAnsi="Arial"/>
          <w:sz w:val="18"/>
          <w:szCs w:val="18"/>
          <w:color w:val="auto"/>
        </w:rPr>
        <w:t>” has the meaning specified in Section 5.2(b);</w:t>
      </w:r>
    </w:p>
    <w:p>
      <w:pPr>
        <w:spacing w:after="0" w:line="212"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Patheon Competitor</w:t>
      </w:r>
      <w:r>
        <w:rPr>
          <w:rFonts w:ascii="Arial" w:cs="Arial" w:eastAsia="Arial" w:hAnsi="Arial"/>
          <w:sz w:val="18"/>
          <w:szCs w:val="18"/>
          <w:color w:val="auto"/>
        </w:rPr>
        <w:t>” means a company that derives greater than 50% of its revenues from performing contract pharmaceutical or biopharmaceutical development or contract commercial manufacturing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377825</wp:posOffset>
            </wp:positionV>
            <wp:extent cx="62922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6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0" w:right="999" w:bottom="1440" w:gutter="0" w:footer="0" w:header="0"/>
        </w:sectPr>
      </w:pPr>
    </w:p>
    <w:bookmarkStart w:id="102" w:name="page103"/>
    <w:bookmarkEnd w:id="102"/>
    <w:p>
      <w:pPr>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Patheon Intellectual Property</w:t>
      </w:r>
      <w:r>
        <w:rPr>
          <w:rFonts w:ascii="Arial" w:cs="Arial" w:eastAsia="Arial" w:hAnsi="Arial"/>
          <w:sz w:val="18"/>
          <w:szCs w:val="18"/>
          <w:color w:val="auto"/>
        </w:rPr>
        <w:t>” means Intellectual Property that does not constitute Client Intellectual Property and is (i) [***], or (ii) [***];</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w:t>
      </w:r>
      <w:r>
        <w:rPr>
          <w:rFonts w:ascii="Arial" w:cs="Arial" w:eastAsia="Arial" w:hAnsi="Arial"/>
          <w:sz w:val="18"/>
          <w:szCs w:val="18"/>
          <w:color w:val="auto"/>
        </w:rPr>
        <w:t>” means the fees to be charged by Patheon for:</w:t>
      </w:r>
    </w:p>
    <w:p>
      <w:pPr>
        <w:spacing w:after="0" w:line="234" w:lineRule="exact"/>
        <w:rPr>
          <w:sz w:val="20"/>
          <w:szCs w:val="20"/>
          <w:color w:val="auto"/>
        </w:rPr>
      </w:pPr>
    </w:p>
    <w:p>
      <w:pPr>
        <w:ind w:left="1360" w:hanging="314"/>
        <w:spacing w:after="0"/>
        <w:tabs>
          <w:tab w:leader="none" w:pos="1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Product as set out in Appendix 1; and</w:t>
      </w:r>
    </w:p>
    <w:p>
      <w:pPr>
        <w:spacing w:after="0" w:line="211" w:lineRule="exact"/>
        <w:rPr>
          <w:rFonts w:ascii="Arial" w:cs="Arial" w:eastAsia="Arial" w:hAnsi="Arial"/>
          <w:sz w:val="18"/>
          <w:szCs w:val="18"/>
          <w:color w:val="auto"/>
        </w:rPr>
      </w:pPr>
    </w:p>
    <w:p>
      <w:pPr>
        <w:ind w:left="1360" w:hanging="314"/>
        <w:spacing w:after="0"/>
        <w:tabs>
          <w:tab w:leader="none" w:pos="1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cost of Components (other than Client-Supplied Components) as set out in Appendix 1; and</w:t>
      </w:r>
    </w:p>
    <w:p>
      <w:pPr>
        <w:spacing w:after="0" w:line="211" w:lineRule="exact"/>
        <w:rPr>
          <w:rFonts w:ascii="Arial" w:cs="Arial" w:eastAsia="Arial" w:hAnsi="Arial"/>
          <w:sz w:val="18"/>
          <w:szCs w:val="18"/>
          <w:color w:val="auto"/>
        </w:rPr>
      </w:pPr>
    </w:p>
    <w:p>
      <w:pPr>
        <w:jc w:val="both"/>
        <w:ind w:left="1380" w:hanging="334"/>
        <w:spacing w:after="0"/>
        <w:tabs>
          <w:tab w:leader="none" w:pos="138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separate cost items and other fees for services requested by Client and specifically excluded from the cost of the Product, as may be subject to an additional written work order or written agreement that is expressly made subject to the terms and conditions of this Agreement;</w:t>
      </w:r>
    </w:p>
    <w:p>
      <w:pPr>
        <w:spacing w:after="0" w:line="181" w:lineRule="exact"/>
        <w:rPr>
          <w:sz w:val="20"/>
          <w:szCs w:val="20"/>
          <w:color w:val="auto"/>
        </w:rPr>
      </w:pPr>
    </w:p>
    <w:p>
      <w:pPr>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Processing Instructions</w:t>
      </w:r>
      <w:r>
        <w:rPr>
          <w:rFonts w:ascii="Arial" w:cs="Arial" w:eastAsia="Arial" w:hAnsi="Arial"/>
          <w:sz w:val="18"/>
          <w:szCs w:val="18"/>
          <w:color w:val="auto"/>
        </w:rPr>
        <w:t>" means the agreed file, for the applicable strength of Product, which contains documents relating to the Product, including, without limitation:</w:t>
      </w:r>
    </w:p>
    <w:p>
      <w:pPr>
        <w:spacing w:after="0" w:line="176" w:lineRule="exact"/>
        <w:rPr>
          <w:sz w:val="20"/>
          <w:szCs w:val="20"/>
          <w:color w:val="auto"/>
        </w:rPr>
      </w:pPr>
    </w:p>
    <w:p>
      <w:pPr>
        <w:ind w:left="1360" w:hanging="314"/>
        <w:spacing w:after="0"/>
        <w:tabs>
          <w:tab w:leader="none" w:pos="1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quality control testing methods for API and Components;</w:t>
      </w:r>
    </w:p>
    <w:p>
      <w:pPr>
        <w:spacing w:after="0" w:line="211" w:lineRule="exact"/>
        <w:rPr>
          <w:rFonts w:ascii="Arial" w:cs="Arial" w:eastAsia="Arial" w:hAnsi="Arial"/>
          <w:sz w:val="18"/>
          <w:szCs w:val="18"/>
          <w:color w:val="auto"/>
        </w:rPr>
      </w:pPr>
    </w:p>
    <w:p>
      <w:pPr>
        <w:ind w:left="1360" w:hanging="314"/>
        <w:spacing w:after="0"/>
        <w:tabs>
          <w:tab w:leader="none" w:pos="1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master batch, production and control records, manufacturing instructions, directions, and processes;</w:t>
      </w:r>
    </w:p>
    <w:p>
      <w:pPr>
        <w:spacing w:after="0" w:line="211" w:lineRule="exact"/>
        <w:rPr>
          <w:rFonts w:ascii="Arial" w:cs="Arial" w:eastAsia="Arial" w:hAnsi="Arial"/>
          <w:sz w:val="18"/>
          <w:szCs w:val="18"/>
          <w:color w:val="auto"/>
        </w:rPr>
      </w:pPr>
    </w:p>
    <w:p>
      <w:pPr>
        <w:ind w:left="1360" w:hanging="314"/>
        <w:spacing w:after="0"/>
        <w:tabs>
          <w:tab w:leader="none" w:pos="1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storage requirements for the API, Components, or Product;</w:t>
      </w:r>
    </w:p>
    <w:p>
      <w:pPr>
        <w:spacing w:after="0" w:line="211" w:lineRule="exact"/>
        <w:rPr>
          <w:rFonts w:ascii="Arial" w:cs="Arial" w:eastAsia="Arial" w:hAnsi="Arial"/>
          <w:sz w:val="18"/>
          <w:szCs w:val="18"/>
          <w:color w:val="auto"/>
        </w:rPr>
      </w:pPr>
    </w:p>
    <w:p>
      <w:pPr>
        <w:ind w:left="1360" w:hanging="314"/>
        <w:spacing w:after="0"/>
        <w:tabs>
          <w:tab w:leader="none" w:pos="1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environmental, health and safety information for the Product including material safety data sheets; and</w:t>
      </w:r>
    </w:p>
    <w:p>
      <w:pPr>
        <w:spacing w:after="0" w:line="211" w:lineRule="exact"/>
        <w:rPr>
          <w:rFonts w:ascii="Arial" w:cs="Arial" w:eastAsia="Arial" w:hAnsi="Arial"/>
          <w:sz w:val="18"/>
          <w:szCs w:val="18"/>
          <w:color w:val="auto"/>
        </w:rPr>
      </w:pPr>
    </w:p>
    <w:p>
      <w:pPr>
        <w:ind w:left="1380" w:right="20" w:hanging="334"/>
        <w:spacing w:after="0" w:line="246" w:lineRule="auto"/>
        <w:tabs>
          <w:tab w:leader="none" w:pos="139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finished Product quality control testing methods, packaging instructions and shipping requirements for the Product;</w:t>
      </w:r>
    </w:p>
    <w:p>
      <w:pPr>
        <w:spacing w:after="0" w:line="175"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the product listed in Appendix 1, in each case manufactured and packaged in accordance with the Processing Instructions and the Specifications;</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Change Control Request</w:t>
      </w:r>
      <w:r>
        <w:rPr>
          <w:rFonts w:ascii="Arial" w:cs="Arial" w:eastAsia="Arial" w:hAnsi="Arial"/>
          <w:sz w:val="18"/>
          <w:szCs w:val="18"/>
          <w:color w:val="auto"/>
        </w:rPr>
        <w:t>” has the meaning specified in Section 3.3;</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Claim</w:t>
      </w:r>
      <w:r>
        <w:rPr>
          <w:rFonts w:ascii="Arial" w:cs="Arial" w:eastAsia="Arial" w:hAnsi="Arial"/>
          <w:sz w:val="18"/>
          <w:szCs w:val="18"/>
          <w:color w:val="auto"/>
        </w:rPr>
        <w:t>” has the meaning specified in Section 6.1(b)(i);</w:t>
      </w:r>
    </w:p>
    <w:p>
      <w:pPr>
        <w:spacing w:after="0" w:line="212" w:lineRule="exact"/>
        <w:rPr>
          <w:sz w:val="20"/>
          <w:szCs w:val="20"/>
          <w:color w:val="auto"/>
        </w:rPr>
      </w:pPr>
    </w:p>
    <w:p>
      <w:pPr>
        <w:jc w:val="both"/>
        <w:ind w:left="72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Quality Agreement</w:t>
      </w:r>
      <w:r>
        <w:rPr>
          <w:rFonts w:ascii="Arial" w:cs="Arial" w:eastAsia="Arial" w:hAnsi="Arial"/>
          <w:sz w:val="18"/>
          <w:szCs w:val="18"/>
          <w:color w:val="auto"/>
        </w:rPr>
        <w:t>" means a separate agreement that sets out the quality assurance standards for the Manufacturing Services;</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Recall</w:t>
      </w:r>
      <w:r>
        <w:rPr>
          <w:rFonts w:ascii="Arial" w:cs="Arial" w:eastAsia="Arial" w:hAnsi="Arial"/>
          <w:sz w:val="18"/>
          <w:szCs w:val="18"/>
          <w:color w:val="auto"/>
        </w:rPr>
        <w:t>” has the meaning specified in Section 6.2(a);</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has the meaning specified in Section 11.1;</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has the meaning specified in Section 7.6(a);</w:t>
      </w:r>
    </w:p>
    <w:p>
      <w:pPr>
        <w:spacing w:after="0" w:line="212" w:lineRule="exact"/>
        <w:rPr>
          <w:sz w:val="20"/>
          <w:szCs w:val="20"/>
          <w:color w:val="auto"/>
        </w:rPr>
      </w:pPr>
    </w:p>
    <w:p>
      <w:pPr>
        <w:jc w:val="both"/>
        <w:ind w:left="7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the FDA, EMA, and Health Canada and any other foreign regulatory agencies competent to grant marketing approvals for pharmaceutical or biopharmaceutical products, including the Products,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387350</wp:posOffset>
            </wp:positionV>
            <wp:extent cx="62922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7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0" w:right="999" w:bottom="1440" w:gutter="0" w:footer="0" w:header="0"/>
        </w:sectPr>
      </w:pPr>
    </w:p>
    <w:bookmarkStart w:id="103" w:name="page104"/>
    <w:bookmarkEnd w:id="103"/>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a party’s directors, officers, employees, advisers, agents, consultants, subcontractors, service partners or professional advisors;</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Rolling Forecast</w:t>
      </w:r>
      <w:r>
        <w:rPr>
          <w:rFonts w:ascii="Arial" w:cs="Arial" w:eastAsia="Arial" w:hAnsi="Arial"/>
          <w:sz w:val="18"/>
          <w:szCs w:val="18"/>
          <w:color w:val="auto"/>
        </w:rPr>
        <w:t>” has the meaning specified in Section 5.1(b);</w:t>
      </w:r>
    </w:p>
    <w:p>
      <w:pPr>
        <w:spacing w:after="0" w:line="212" w:lineRule="exact"/>
        <w:rPr>
          <w:sz w:val="20"/>
          <w:szCs w:val="20"/>
          <w:color w:val="auto"/>
        </w:rPr>
      </w:pPr>
    </w:p>
    <w:p>
      <w:pPr>
        <w:jc w:val="both"/>
        <w:ind w:left="7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the requirements and standards for the Product as set forth in Appendix F to the Quality Agreement, under “Supplier Release Specifications” where indicated;</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Failure</w:t>
      </w:r>
      <w:r>
        <w:rPr>
          <w:rFonts w:ascii="Arial" w:cs="Arial" w:eastAsia="Arial" w:hAnsi="Arial"/>
          <w:sz w:val="18"/>
          <w:szCs w:val="18"/>
          <w:color w:val="auto"/>
        </w:rPr>
        <w:t>” has the meaning specified in Section 6.1(d);</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means the Initial Term and any and all renewal terms applicable under Section 8.1;</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Europe Union, the United States, Canada, Japan, and China;</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“Third Party Subcontractors</w:t>
      </w:r>
      <w:r>
        <w:rPr>
          <w:rFonts w:ascii="Arial" w:cs="Arial" w:eastAsia="Arial" w:hAnsi="Arial"/>
          <w:sz w:val="18"/>
          <w:szCs w:val="18"/>
          <w:color w:val="auto"/>
        </w:rPr>
        <w:t>” has the meaning specified in Section 2.6;</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Rights</w:t>
      </w:r>
      <w:r>
        <w:rPr>
          <w:rFonts w:ascii="Arial" w:cs="Arial" w:eastAsia="Arial" w:hAnsi="Arial"/>
          <w:sz w:val="18"/>
          <w:szCs w:val="18"/>
          <w:color w:val="auto"/>
        </w:rPr>
        <w:t>" means the Intellectual Property of any third party; and</w:t>
      </w:r>
    </w:p>
    <w:p>
      <w:pPr>
        <w:spacing w:after="0" w:line="212" w:lineRule="exact"/>
        <w:rPr>
          <w:sz w:val="20"/>
          <w:szCs w:val="20"/>
          <w:color w:val="auto"/>
        </w:rPr>
      </w:pPr>
    </w:p>
    <w:p>
      <w:pPr>
        <w:jc w:val="both"/>
        <w:ind w:left="7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w:t>
      </w:r>
      <w:r>
        <w:rPr>
          <w:rFonts w:ascii="Arial" w:cs="Arial" w:eastAsia="Arial" w:hAnsi="Arial"/>
          <w:sz w:val="18"/>
          <w:szCs w:val="18"/>
          <w:color w:val="auto"/>
        </w:rPr>
        <w:t>" means in the first year of this Agreement, the time from the Effective Date up to and including December 31 of the same calendar year, and after that will mean a calendar year, except for in the case of the calendar year in which this Agreement is terminated or expires, in which case the Year will be the date beginning on January 1 of that Year and ending on the date of the effective termination of this Agreement.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auto"/>
        </w:rPr>
        <w:t>Interpretation</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7" w:lineRule="auto"/>
        <w:rPr>
          <w:sz w:val="20"/>
          <w:szCs w:val="20"/>
          <w:color w:val="auto"/>
        </w:rPr>
      </w:pPr>
      <w:r>
        <w:rPr>
          <w:rFonts w:ascii="Arial" w:cs="Arial" w:eastAsia="Arial" w:hAnsi="Arial"/>
          <w:sz w:val="18"/>
          <w:szCs w:val="18"/>
          <w:color w:val="auto"/>
        </w:rPr>
        <w:t>The division of this Agreement into Sections, Subsections, and Appendices, and the insertion of headings, are for convenience of reference only and will not affect the interpretation of this Agreement. Unless otherwise indicated, any reference in this Agreement to a Section or Appendix refers to the specified Section or Appendix to this Agreement. In this Agreement, the term "</w:t>
      </w:r>
      <w:r>
        <w:rPr>
          <w:rFonts w:ascii="Arial" w:cs="Arial" w:eastAsia="Arial" w:hAnsi="Arial"/>
          <w:sz w:val="18"/>
          <w:szCs w:val="18"/>
          <w:b w:val="1"/>
          <w:bCs w:val="1"/>
          <w:color w:val="auto"/>
        </w:rPr>
        <w:t>this Agreement</w:t>
      </w:r>
      <w:r>
        <w:rPr>
          <w:rFonts w:ascii="Arial" w:cs="Arial" w:eastAsia="Arial" w:hAnsi="Arial"/>
          <w:sz w:val="18"/>
          <w:szCs w:val="18"/>
          <w:color w:val="auto"/>
        </w:rPr>
        <w:t>" and similar expressions refer to this Agreement as a whole and not to any particular part, Section or Appendix of this Agreement. Except as otherwise expressly stated or unless the context otherwise requires, all references to the singular will include the plural and vice versa. All monetary amounts stated in this Agreement are in United States Dollars ($).</w:t>
      </w:r>
    </w:p>
    <w:p>
      <w:pPr>
        <w:spacing w:after="0" w:line="171"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Patheon's Manufacturing Services</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Manufacturing Services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7" w:lineRule="auto"/>
        <w:rPr>
          <w:sz w:val="20"/>
          <w:szCs w:val="20"/>
          <w:color w:val="auto"/>
        </w:rPr>
      </w:pPr>
      <w:r>
        <w:rPr>
          <w:rFonts w:ascii="Arial" w:cs="Arial" w:eastAsia="Arial" w:hAnsi="Arial"/>
          <w:sz w:val="18"/>
          <w:szCs w:val="18"/>
          <w:color w:val="auto"/>
        </w:rPr>
        <w:t>Patheon will perform the Manufacturing Services and supply Product manufactured in accordance with the Processing Instructions and the Specifications for the Price and in accordance with the Quality Agreement. Subject to the preceding sentence, Patheon will convert API and Components into Product, and provide supportive Manufacturing Services such as quality assurance (for example quality controls, analytical testing, and stability programs), primary and secondary packaging if set out in the Specifications, and any other related Manufacturing Services as agreed between the parties in writing.</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Minimum [***] Requirement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8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0" w:right="999" w:bottom="1440" w:gutter="0" w:footer="0" w:header="0"/>
        </w:sectPr>
      </w:pPr>
    </w:p>
    <w:bookmarkStart w:id="104" w:name="page105"/>
    <w:bookmarkEnd w:id="104"/>
    <w:p>
      <w:pPr>
        <w:jc w:val="both"/>
        <w:ind w:left="940" w:hanging="323"/>
        <w:spacing w:after="0" w:line="237" w:lineRule="auto"/>
        <w:tabs>
          <w:tab w:leader="none" w:pos="1019"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 to Sections 6.1(c) and 6.1(d), during the Term, Client will purchase at least [***] of its requirements for the Products in any Year from Patheon [***] of Product ordered under this Agreement [***] (the “</w:t>
      </w:r>
      <w:r>
        <w:rPr>
          <w:rFonts w:ascii="Arial" w:cs="Arial" w:eastAsia="Arial" w:hAnsi="Arial"/>
          <w:sz w:val="18"/>
          <w:szCs w:val="18"/>
          <w:b w:val="1"/>
          <w:bCs w:val="1"/>
          <w:color w:val="auto"/>
        </w:rPr>
        <w:t>Minimum [***]</w:t>
      </w:r>
      <w:r>
        <w:rPr>
          <w:rFonts w:ascii="Arial" w:cs="Arial" w:eastAsia="Arial" w:hAnsi="Arial"/>
          <w:sz w:val="18"/>
          <w:szCs w:val="18"/>
          <w:color w:val="auto"/>
        </w:rPr>
        <w:t xml:space="preserve"> </w:t>
      </w:r>
      <w:r>
        <w:rPr>
          <w:rFonts w:ascii="Arial" w:cs="Arial" w:eastAsia="Arial" w:hAnsi="Arial"/>
          <w:sz w:val="18"/>
          <w:szCs w:val="18"/>
          <w:b w:val="1"/>
          <w:bCs w:val="1"/>
          <w:color w:val="auto"/>
        </w:rPr>
        <w:t>Requirement</w:t>
      </w:r>
      <w:r>
        <w:rPr>
          <w:rFonts w:ascii="Arial" w:cs="Arial" w:eastAsia="Arial" w:hAnsi="Arial"/>
          <w:sz w:val="18"/>
          <w:szCs w:val="18"/>
          <w:color w:val="auto"/>
        </w:rPr>
        <w:t>). Client may meet the Minimum [***] Requirement regardless of the strength or SKU of Product by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purchasing sufficient quantities of only certain strengths or SKUs of Product from Patheon if in fact the Product purchased from Patheon is [***] of all strengths and SKUs of Product purchased by Client from all sources. Absent Manufacturing Scale-Up, the Minimum [***] Requirement will be based on Product manufactured in [***] and [***] batches or in other batch sizes as may be agreed to by the parties in writing from time to time.</w:t>
      </w:r>
    </w:p>
    <w:p>
      <w:pPr>
        <w:spacing w:after="0" w:line="202" w:lineRule="exact"/>
        <w:rPr>
          <w:rFonts w:ascii="Arial" w:cs="Arial" w:eastAsia="Arial" w:hAnsi="Arial"/>
          <w:sz w:val="18"/>
          <w:szCs w:val="18"/>
          <w:color w:val="auto"/>
        </w:rPr>
      </w:pPr>
    </w:p>
    <w:p>
      <w:pPr>
        <w:jc w:val="both"/>
        <w:ind w:left="940" w:hanging="323"/>
        <w:spacing w:after="0" w:line="238" w:lineRule="auto"/>
        <w:tabs>
          <w:tab w:leader="none" w:pos="1085"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Client will notify Patheon in writing if it elects to conduct Manufacturing Scale-Up at Patheon. Client and Patheon will negotiate in good faith a commencement date for the Manufacturing Scale-Up based on the Long Term Forecast and Rolling Forecast in effect from time to time. In addition, Patheon agrees to use reasonable commercial efforts to complete the Manufacturing Scale-Up as soon as reasonably practicable upon Client’s request.</w:t>
      </w:r>
    </w:p>
    <w:p>
      <w:pPr>
        <w:spacing w:after="0" w:line="202" w:lineRule="exact"/>
        <w:rPr>
          <w:rFonts w:ascii="Arial" w:cs="Arial" w:eastAsia="Arial" w:hAnsi="Arial"/>
          <w:sz w:val="18"/>
          <w:szCs w:val="18"/>
          <w:color w:val="auto"/>
        </w:rPr>
      </w:pPr>
    </w:p>
    <w:p>
      <w:pPr>
        <w:jc w:val="both"/>
        <w:ind w:left="940" w:hanging="320"/>
        <w:spacing w:after="0" w:line="238" w:lineRule="auto"/>
        <w:tabs>
          <w:tab w:leader="none" w:pos="10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Products [***], will count as Client purchases of Product for purposes of meeting the Minimum [***] Requirement. However, the Minimum [***] Requirement will be calculated solely as [***] and Client will have no liability for ensuring that any of its Affiliates, partners or licensees purchase any Product manufactured by Patheon.</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Exclusivity</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8" w:lineRule="auto"/>
        <w:rPr>
          <w:sz w:val="20"/>
          <w:szCs w:val="20"/>
          <w:color w:val="auto"/>
        </w:rPr>
      </w:pPr>
      <w:r>
        <w:rPr>
          <w:rFonts w:ascii="Arial" w:cs="Arial" w:eastAsia="Arial" w:hAnsi="Arial"/>
          <w:sz w:val="18"/>
          <w:szCs w:val="18"/>
          <w:color w:val="auto"/>
        </w:rPr>
        <w:t>So long as Client is otherwise in substantial compliance with the terms of this Agreement, including any Rolling Forecast requirements, Patheon will not at any time during the Term develop or manufacture (a) [***] or (b) [***], in each case for [***], including without limitation, for [***], without the express written consent of Client, unless: (i) [***], and (ii) [***]. Patheon acknowledges and agrees that Client may grant or withhold its consent in its sole discretion.</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No Volume Guarantee</w:t>
      </w:r>
      <w:r>
        <w:rPr>
          <w:rFonts w:ascii="Arial" w:cs="Arial" w:eastAsia="Arial" w:hAnsi="Arial"/>
          <w:sz w:val="17"/>
          <w:szCs w:val="17"/>
          <w:color w:val="auto"/>
        </w:rPr>
        <w:t>.</w:t>
      </w:r>
    </w:p>
    <w:p>
      <w:pPr>
        <w:spacing w:after="0" w:line="21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Notwithstanding Section 2.2, Patheon acknowledges that Client is not guaranteeing any volume of Product will be ordered by Client and that the volume of Product ordered will be dictated by market demands.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u w:val="single" w:color="auto"/>
          <w:color w:val="auto"/>
        </w:rPr>
        <w:t>No Sole Source</w:t>
      </w:r>
      <w:r>
        <w:rPr>
          <w:rFonts w:ascii="Arial" w:cs="Arial" w:eastAsia="Arial" w:hAnsi="Arial"/>
          <w:sz w:val="17"/>
          <w:szCs w:val="17"/>
          <w:color w:val="auto"/>
        </w:rPr>
        <w: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Subject to Section 2.2, nothing in this Agreement will prohibit Client from purchasing Product from a third party, entering into any contract with any third party for the supply of Products, manufacturing its own Products, or qualifying additional facilities for supply of Products.</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u w:val="single" w:color="auto"/>
          <w:color w:val="auto"/>
        </w:rPr>
        <w:t>Subcontracting</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8" w:lineRule="auto"/>
        <w:rPr>
          <w:sz w:val="20"/>
          <w:szCs w:val="20"/>
          <w:color w:val="auto"/>
        </w:rPr>
      </w:pPr>
      <w:r>
        <w:rPr>
          <w:rFonts w:ascii="Arial" w:cs="Arial" w:eastAsia="Arial" w:hAnsi="Arial"/>
          <w:sz w:val="18"/>
          <w:szCs w:val="18"/>
          <w:color w:val="auto"/>
        </w:rPr>
        <w:t>Patheon may subcontract the Manufacturing Services to any of its Affiliates, as agreed by the parties in writing. Patheon will remain exclusively liable to Client for any breach of this Agreement or negligence by its Affiliates in the course of performing: (i) subcontracted Manufacturing Services; or (ii) obligations under the Quality Agreement. Patheon may also arrange for qualified non-Affiliate subcontractors to perform specific services arising under this Agreement with the written consent of Client (this consent being in the sole discretion of Client) (“</w:t>
      </w:r>
      <w:r>
        <w:rPr>
          <w:rFonts w:ascii="Arial" w:cs="Arial" w:eastAsia="Arial" w:hAnsi="Arial"/>
          <w:sz w:val="18"/>
          <w:szCs w:val="18"/>
          <w:b w:val="1"/>
          <w:bCs w:val="1"/>
          <w:color w:val="auto"/>
        </w:rPr>
        <w:t>Third Party Subcontractors</w:t>
      </w:r>
      <w:r>
        <w:rPr>
          <w:rFonts w:ascii="Arial" w:cs="Arial" w:eastAsia="Arial" w:hAnsi="Arial"/>
          <w:sz w:val="18"/>
          <w:szCs w:val="18"/>
          <w:color w:val="auto"/>
        </w:rPr>
        <w:t>”). Patheon will be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463550</wp:posOffset>
            </wp:positionV>
            <wp:extent cx="62922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9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05" w:name="page106"/>
    <w:bookmarkEnd w:id="105"/>
    <w:p>
      <w:pPr>
        <w:jc w:val="both"/>
        <w:spacing w:after="0" w:line="238" w:lineRule="auto"/>
        <w:rPr>
          <w:sz w:val="20"/>
          <w:szCs w:val="20"/>
          <w:color w:val="auto"/>
        </w:rPr>
      </w:pPr>
      <w:r>
        <w:rPr>
          <w:rFonts w:ascii="Arial" w:cs="Arial" w:eastAsia="Arial" w:hAnsi="Arial"/>
          <w:sz w:val="18"/>
          <w:szCs w:val="18"/>
          <w:color w:val="auto"/>
        </w:rPr>
        <w:t>to Client for the breach of this Agreement or the Quality Agreement or failure by any Third Party Subcontractor to perform any part of the subcontracted services as if Patheon had breached, performed or failed to perform the subcontracted services directly. But Patheon’s liability for Third Party Subcontractors will remain subject to all limitations on Patheon’s liability as set out in this Agreement. Patheon will have no liability arising from the performance of services by Third Party Subcontractors (i) [***] or (ii) [***].</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u w:val="single" w:color="auto"/>
          <w:color w:val="auto"/>
        </w:rPr>
        <w:t>Facilities</w:t>
      </w:r>
      <w:r>
        <w:rPr>
          <w:rFonts w:ascii="Arial" w:cs="Arial" w:eastAsia="Arial" w:hAnsi="Arial"/>
          <w:sz w:val="17"/>
          <w:szCs w:val="17"/>
          <w:color w:val="auto"/>
        </w:rPr>
        <w:t>.</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Patheon, at no cost to Client, will qualify (and thereafter will maintain qualification of) the Manufacturing Site as required under Applicable Laws. Patheon will not change the Manufacturing Site without first obtaining Client’s written consent. If any changes are proposed by Patheon and agreed by Client regarding the Manufacturing Site at which the Manufacturing Services are to be performed, Patheon will be responsible for the costs of any validation activities required for this change. Patheon will not undertake or permit any modifications to the Manufacturing Site that materially affect the performance of the Manufacturing Services or implement any changes in the processes, procedures or equipment used to manufacture the Product without Client’s prior written consent.</w:t>
      </w:r>
    </w:p>
    <w:p>
      <w:pPr>
        <w:spacing w:after="0" w:line="171"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Client's Obligations</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Payment</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rPr>
          <w:sz w:val="20"/>
          <w:szCs w:val="20"/>
          <w:color w:val="auto"/>
        </w:rPr>
      </w:pPr>
      <w:r>
        <w:rPr>
          <w:rFonts w:ascii="Arial" w:cs="Arial" w:eastAsia="Arial" w:hAnsi="Arial"/>
          <w:sz w:val="18"/>
          <w:szCs w:val="18"/>
          <w:color w:val="auto"/>
        </w:rPr>
        <w:t>Client will pay Patheon the applicable Price in accordance with Sections 4 and 5. All cost items that are not included in the Price (as specified in Appendix 1) are subject to additional fees to be paid by Client as agreed to by the parties in writing.</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Processing Instructions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7" w:lineRule="auto"/>
        <w:rPr>
          <w:sz w:val="20"/>
          <w:szCs w:val="20"/>
          <w:color w:val="auto"/>
        </w:rPr>
      </w:pPr>
      <w:r>
        <w:rPr>
          <w:rFonts w:ascii="Arial" w:cs="Arial" w:eastAsia="Arial" w:hAnsi="Arial"/>
          <w:sz w:val="18"/>
          <w:szCs w:val="18"/>
          <w:color w:val="auto"/>
        </w:rPr>
        <w:t>Before the start of commercial manufacturing of Product under this Agreement, Client will give Patheon a copy of the Processing Instructions, which must be accompanied by the applicable API, Component and Product Specifications (which may or may not precisely match the specifications approved by the applicable Regulatory Authority). If the Product does not meet the Specifications but meets the specifications filed with the Regulatory Authority, the parties will meet to discuss options for the non-conforming Product to be sold, but Client will be under no obligation to accept this Product under Section 5.4.</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Change Control Requests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6" w:lineRule="auto"/>
        <w:rPr>
          <w:sz w:val="20"/>
          <w:szCs w:val="20"/>
          <w:color w:val="auto"/>
        </w:rPr>
      </w:pPr>
      <w:r>
        <w:rPr>
          <w:rFonts w:ascii="Arial" w:cs="Arial" w:eastAsia="Arial" w:hAnsi="Arial"/>
          <w:sz w:val="18"/>
          <w:szCs w:val="18"/>
          <w:color w:val="auto"/>
        </w:rPr>
        <w:t>Client and Patheon will cooperate on any requested changes to the Processing Instructions, Specifications or accompanying documents (a “</w:t>
      </w:r>
      <w:r>
        <w:rPr>
          <w:rFonts w:ascii="Arial" w:cs="Arial" w:eastAsia="Arial" w:hAnsi="Arial"/>
          <w:sz w:val="18"/>
          <w:szCs w:val="18"/>
          <w:b w:val="1"/>
          <w:bCs w:val="1"/>
          <w:color w:val="auto"/>
        </w:rPr>
        <w:t>Product Change Control Request</w:t>
      </w:r>
      <w:r>
        <w:rPr>
          <w:rFonts w:ascii="Arial" w:cs="Arial" w:eastAsia="Arial" w:hAnsi="Arial"/>
          <w:sz w:val="18"/>
          <w:szCs w:val="18"/>
          <w:color w:val="auto"/>
        </w:rPr>
        <w:t>”) in accordance with the change control process set forth in the Quality Agreement. Upon acceptance of the Product Change Control Request, Patheon will give Client a signed and dated receipt indicating Patheon’s acceptance. At Patheon’s request, Client will provide evidence of the executed original documents submitted by or on behalf of Client to the Regulatory Authority. Patheon will respond promptly to any Product Change Control Request and use commercially reasonable, good faith efforts to agree to the terms of the requested changes in a timely manner (including any changes in Price). Patheon agrees that any changes mandated by a Regulatory Authority will be considered and acted upon expeditiously and with due diligence. Client will be responsible for all reasonable and approved costs associated with any agreed Product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10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1" w:right="999" w:bottom="1440" w:gutter="0" w:footer="0" w:header="0"/>
        </w:sectPr>
      </w:pPr>
    </w:p>
    <w:bookmarkStart w:id="106" w:name="page107"/>
    <w:bookmarkEnd w:id="106"/>
    <w:p>
      <w:pPr>
        <w:ind w:right="20"/>
        <w:spacing w:after="0" w:line="246" w:lineRule="auto"/>
        <w:rPr>
          <w:sz w:val="20"/>
          <w:szCs w:val="20"/>
          <w:color w:val="auto"/>
        </w:rPr>
      </w:pPr>
      <w:r>
        <w:rPr>
          <w:rFonts w:ascii="Arial" w:cs="Arial" w:eastAsia="Arial" w:hAnsi="Arial"/>
          <w:sz w:val="18"/>
          <w:szCs w:val="18"/>
          <w:color w:val="auto"/>
        </w:rPr>
        <w:t>Control Request. No revisions to the Processing Instructions or Specifications will be submitted to any Regulatory Agency unless approved by both Patheon and Client in writing.</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API and Components</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line="236" w:lineRule="auto"/>
        <w:tabs>
          <w:tab w:leader="none" w:pos="12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Client will at its sole cost and expense deliver the API and any Client-Supplied Components to the Manufacturing Site [***]. Client’s obligation will include obtaining the release of the API and any Client-Supplied Components from the applicable customs agency and Regulatory Authority. Unless otherwise agreed in writing, Client or Client’s designated broker will be the “</w:t>
      </w:r>
      <w:r>
        <w:rPr>
          <w:rFonts w:ascii="Arial" w:cs="Arial" w:eastAsia="Arial" w:hAnsi="Arial"/>
          <w:sz w:val="18"/>
          <w:szCs w:val="18"/>
          <w:b w:val="1"/>
          <w:bCs w:val="1"/>
          <w:color w:val="auto"/>
        </w:rPr>
        <w:t>Importer</w:t>
      </w:r>
      <w:r>
        <w:rPr>
          <w:rFonts w:ascii="Arial" w:cs="Arial" w:eastAsia="Arial" w:hAnsi="Arial"/>
          <w:sz w:val="18"/>
          <w:szCs w:val="18"/>
          <w:color w:val="auto"/>
        </w:rPr>
        <w:t>” or “</w:t>
      </w:r>
      <w:r>
        <w:rPr>
          <w:rFonts w:ascii="Arial" w:cs="Arial" w:eastAsia="Arial" w:hAnsi="Arial"/>
          <w:sz w:val="18"/>
          <w:szCs w:val="18"/>
          <w:b w:val="1"/>
          <w:bCs w:val="1"/>
          <w:color w:val="auto"/>
        </w:rPr>
        <w:t>Importer of Record</w:t>
      </w:r>
      <w:r>
        <w:rPr>
          <w:rFonts w:ascii="Arial" w:cs="Arial" w:eastAsia="Arial" w:hAnsi="Arial"/>
          <w:sz w:val="18"/>
          <w:szCs w:val="18"/>
          <w:color w:val="auto"/>
        </w:rPr>
        <w:t>” (or equivalent, as understood under Applicable Laws to Client) for API, Client-Supplied Components, drug products and intermediates imported to the Manufacturing Site, and Client is responsible for compliance with Applicable Laws to Client (and the cost of compliance) relating to that role. For API or Client-Supplied Components which may be subject to import or export to or from the United States, Client agrees that its vendors and carriers will comply with applicable requirements of the U.S. Customs and Border Protection Service and the Customs Trade Partnership Against Terrorism.</w:t>
      </w:r>
    </w:p>
    <w:p>
      <w:pPr>
        <w:spacing w:after="0" w:line="205" w:lineRule="exact"/>
        <w:rPr>
          <w:rFonts w:ascii="Arial" w:cs="Arial" w:eastAsia="Arial" w:hAnsi="Arial"/>
          <w:sz w:val="18"/>
          <w:szCs w:val="18"/>
          <w:color w:val="auto"/>
        </w:rPr>
      </w:pPr>
    </w:p>
    <w:p>
      <w:pPr>
        <w:jc w:val="both"/>
        <w:ind w:left="980" w:hanging="405"/>
        <w:spacing w:after="0" w:line="236" w:lineRule="auto"/>
        <w:tabs>
          <w:tab w:leader="none" w:pos="1009"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otherwise agreed in writing between the parties, the API and any Client-Supplied Components, together with any associated certificates of analysis, must be delivered by the Client to the Manufacturing Site at least [***] days before the scheduled manufacture date for Product covered by a Firm Order in sufficient quantity to enable Patheon to manufacture the agreed quantities of Product for that Firm Order. Patheon will store the quantity of API reasonably necessary for all Firm Orders free of charge. For purposes of this Agreement, the quantity of API delivered to Patheon will be considered reasonable if it can be used for the manufacture of any outstanding Firm Orders. Additional amounts of API whose storage is requested by Client may be subject to a fee of $[***] per month per pallet. If Client fails to deliver the API or Client-Supplied Components within the agreed time period and, making commercially reasonable efforts, Patheon is unable to manufacture all or part of the Product on the scheduled date and is unable to replace the lost manufacturing capacity with another Patheon client, the Firm Order will be considered cancelled by Client and Section 5.1(e) will apply.</w:t>
      </w:r>
    </w:p>
    <w:p>
      <w:pPr>
        <w:spacing w:after="0" w:line="204" w:lineRule="exact"/>
        <w:rPr>
          <w:rFonts w:ascii="Arial" w:cs="Arial" w:eastAsia="Arial" w:hAnsi="Arial"/>
          <w:sz w:val="18"/>
          <w:szCs w:val="18"/>
          <w:color w:val="auto"/>
        </w:rPr>
      </w:pPr>
    </w:p>
    <w:p>
      <w:pPr>
        <w:jc w:val="both"/>
        <w:ind w:left="980" w:hanging="405"/>
        <w:spacing w:after="0" w:line="237" w:lineRule="auto"/>
        <w:tabs>
          <w:tab w:leader="none" w:pos="10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Patheon will control the unloading of API and Client-Supplied Components arriving at the Manufacturing Site and Client will comply and ensure that its carrier complies with all related directions of Patheon. The API and Client-Supplied Components will be held by Patheon on behalf of Client as set out in this Agreement, any safety data sheets, safe handling instructions and health and environmental information associated therewith. The API and Client-Supplied Components will at all times remain the property of Client. Any API and Client-Supplied Components received by Patheon will only be used by Patheon to perform the Manufacturing Services.</w:t>
      </w:r>
    </w:p>
    <w:p>
      <w:pPr>
        <w:spacing w:after="0" w:line="204" w:lineRule="exact"/>
        <w:rPr>
          <w:rFonts w:ascii="Arial" w:cs="Arial" w:eastAsia="Arial" w:hAnsi="Arial"/>
          <w:sz w:val="18"/>
          <w:szCs w:val="18"/>
          <w:color w:val="auto"/>
        </w:rPr>
      </w:pPr>
    </w:p>
    <w:p>
      <w:pPr>
        <w:jc w:val="both"/>
        <w:ind w:left="980" w:hanging="405"/>
        <w:spacing w:after="0" w:line="238"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Client will ensure that: (i) all delivered API meets the Specifications for that API; and (ii) all shipments of API are accompanied by the required documentation as specified in the applicable Quality Agreement. Patheon will collect samples of API and deliver them to a third party designated by Client for testing in accordance with the Processing Instructions.</w:t>
      </w:r>
    </w:p>
    <w:p>
      <w:pPr>
        <w:spacing w:after="0" w:line="204" w:lineRule="exact"/>
        <w:rPr>
          <w:rFonts w:ascii="Arial" w:cs="Arial" w:eastAsia="Arial" w:hAnsi="Arial"/>
          <w:sz w:val="18"/>
          <w:szCs w:val="18"/>
          <w:color w:val="auto"/>
        </w:rPr>
      </w:pPr>
    </w:p>
    <w:p>
      <w:pPr>
        <w:jc w:val="both"/>
        <w:ind w:left="980" w:hanging="405"/>
        <w:spacing w:after="0"/>
        <w:tabs>
          <w:tab w:leader="none" w:pos="10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Client asks Patheon to qualify an additional supplier for the API or any Component, the parties must agree on the scope of work to be performed by Patheon and the additional fees to be paid by Client. For any API or any Component, this work at a minimum will include: (i)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463550</wp:posOffset>
            </wp:positionV>
            <wp:extent cx="62922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11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07" w:name="page108"/>
    <w:bookmarkEnd w:id="107"/>
    <w:p>
      <w:pPr>
        <w:jc w:val="both"/>
        <w:ind w:left="980"/>
        <w:spacing w:after="0" w:line="238" w:lineRule="auto"/>
        <w:rPr>
          <w:sz w:val="20"/>
          <w:szCs w:val="20"/>
          <w:color w:val="auto"/>
        </w:rPr>
      </w:pPr>
      <w:r>
        <w:rPr>
          <w:rFonts w:ascii="Arial" w:cs="Arial" w:eastAsia="Arial" w:hAnsi="Arial"/>
          <w:sz w:val="18"/>
          <w:szCs w:val="18"/>
          <w:color w:val="auto"/>
        </w:rPr>
        <w:t>testing to confirm the API or Component meets existing Specifications; (ii) manufacture of an experimental batch of Product that will be placed on three months accelerated stability; and (iii) manufacture of full-scale validation batches that will be placed on concurrent stability (one batch may be the registration batch if manufactured at full scale).</w:t>
      </w:r>
    </w:p>
    <w:p>
      <w:pPr>
        <w:spacing w:after="0" w:line="205" w:lineRule="exact"/>
        <w:rPr>
          <w:sz w:val="20"/>
          <w:szCs w:val="20"/>
          <w:color w:val="auto"/>
        </w:rPr>
      </w:pPr>
    </w:p>
    <w:p>
      <w:pPr>
        <w:jc w:val="both"/>
        <w:ind w:left="980" w:hanging="405"/>
        <w:spacing w:after="0" w:line="236" w:lineRule="auto"/>
        <w:tabs>
          <w:tab w:leader="none" w:pos="1094"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Unless otherwise mutually agreed, Patheon will provide Client with monthly written inventory reports of API, Components (including Client-Supplied Components), Products and intermediates, in each case in the form generated by Patheon’s electronic inventory management platform, as well as monthly written cycle count reports. Patheon will promptly advise Client if it encounters API or Component supply problems, including delays or delivery of non-conforming API or Components from a Client designated additional supplier. The parties will cooperate to reduce or eliminate any supply problems from these additional suppliers. Client will qualify or certify (as appropriate) any and all new Client designated additional suppliers at its expense and will provide Patheon with copies of the relevant annual reports. If Patheon agrees to certify or qualify a Client designated additional supplier on behalf of Client, it will do so for an additional fee payable by Client.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u w:val="single" w:color="auto"/>
          <w:color w:val="auto"/>
        </w:rPr>
        <w:t>Packaging and Artwork</w:t>
      </w:r>
      <w:r>
        <w:rPr>
          <w:rFonts w:ascii="Arial" w:cs="Arial" w:eastAsia="Arial" w:hAnsi="Arial"/>
          <w:sz w:val="17"/>
          <w:szCs w:val="17"/>
          <w:color w:val="auto"/>
        </w:rPr>
        <w:t>.</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provisions of Sections 3.5(a)-(d) below will only apply if Client requires that Patheon undertake any secondary packaging and/or labelling services.</w:t>
      </w:r>
    </w:p>
    <w:p>
      <w:pPr>
        <w:spacing w:after="0" w:line="197" w:lineRule="exact"/>
        <w:rPr>
          <w:sz w:val="20"/>
          <w:szCs w:val="20"/>
          <w:color w:val="auto"/>
        </w:rPr>
      </w:pPr>
    </w:p>
    <w:p>
      <w:pPr>
        <w:jc w:val="both"/>
        <w:ind w:left="980" w:hanging="405"/>
        <w:spacing w:after="0" w:line="236" w:lineRule="auto"/>
        <w:tabs>
          <w:tab w:leader="none" w:pos="1129"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Client will be responsible for the cost of artwork development and approval of all artwork. Client will be responsible for changes to labels, Product inserts, and other packaging for the Product, including obtaining all required approvals. Client will be responsible for the cost of labelling obsolescence as contemplated in Section 5.2. Patheon's name will not appear on the label or anywhere else on the Product unless: (i) required by any Applicable Laws; or (ii) Patheon consents in writing to the use of its name. At least [***] days prior to the anticipated Delivery Date of Product for which new or modified artwork is required, Client will provide at no cost to Patheon and in accordance with the applicable Specifications, final artwork in electronic format for all packaging Components to be used in the manufacture of the Product. Client will be responsible for the accuracy of all information contained on all labels and compliance of all labels with Applicable Laws.</w:t>
      </w:r>
    </w:p>
    <w:p>
      <w:pPr>
        <w:spacing w:after="0" w:line="206" w:lineRule="exact"/>
        <w:rPr>
          <w:rFonts w:ascii="Arial" w:cs="Arial" w:eastAsia="Arial" w:hAnsi="Arial"/>
          <w:sz w:val="18"/>
          <w:szCs w:val="18"/>
          <w:color w:val="auto"/>
        </w:rPr>
      </w:pPr>
    </w:p>
    <w:p>
      <w:pPr>
        <w:jc w:val="both"/>
        <w:ind w:left="980" w:hanging="405"/>
        <w:spacing w:after="0" w:line="236" w:lineRule="auto"/>
        <w:tabs>
          <w:tab w:leader="none" w:pos="1007"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the packaging of Product, Patheon will make arrangements for and implement the imprinting of lot numbers and expiration dates on the packaging of each Product shipped. These lot numbers and expiration dates will be affixed on the Product packaging and on the shipping carton of each Product as is required by cGMPs, Applicable Laws and consistent with the Specifications. If applicable, electronic on-line verification of lot number/expiration date and serialization will be performed by Patheon. If Patheon places an internal lot number on a Product package and/or shipping carton that is different from the Client lot number referenced in any purchase order for that batch of Product, Patheon will provide a cross-reference for the Client lot number on all documents associated with that batch of Product.</w:t>
      </w:r>
    </w:p>
    <w:p>
      <w:pPr>
        <w:spacing w:after="0" w:line="207" w:lineRule="exact"/>
        <w:rPr>
          <w:rFonts w:ascii="Arial" w:cs="Arial" w:eastAsia="Arial" w:hAnsi="Arial"/>
          <w:sz w:val="18"/>
          <w:szCs w:val="18"/>
          <w:color w:val="auto"/>
        </w:rPr>
      </w:pPr>
    </w:p>
    <w:p>
      <w:pPr>
        <w:jc w:val="both"/>
        <w:ind w:left="980" w:hanging="405"/>
        <w:spacing w:after="0" w:line="238" w:lineRule="auto"/>
        <w:tabs>
          <w:tab w:leader="none" w:pos="11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applicable, Patheon will make arrangements for the imprinting of the product identifier (i.e. global trade identification number and serial number) on the packaging of each Product shipped. The product identifier and serial number will be affixed on the Product packaging and on the shipping carton of each Product as required cGMPs, Applicable Laws and consistent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12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08" w:name="page109"/>
    <w:bookmarkEnd w:id="108"/>
    <w:p>
      <w:pPr>
        <w:ind w:left="980" w:right="20"/>
        <w:spacing w:after="0" w:line="246" w:lineRule="auto"/>
        <w:rPr>
          <w:sz w:val="20"/>
          <w:szCs w:val="20"/>
          <w:color w:val="auto"/>
        </w:rPr>
      </w:pPr>
      <w:r>
        <w:rPr>
          <w:rFonts w:ascii="Arial" w:cs="Arial" w:eastAsia="Arial" w:hAnsi="Arial"/>
          <w:sz w:val="18"/>
          <w:szCs w:val="18"/>
          <w:color w:val="auto"/>
        </w:rPr>
        <w:t>with the Specifications. Electronic on-line verification of the product identifier and serial number will be performed by Patheon.</w:t>
      </w:r>
    </w:p>
    <w:p>
      <w:pPr>
        <w:spacing w:after="0" w:line="197" w:lineRule="exact"/>
        <w:rPr>
          <w:sz w:val="20"/>
          <w:szCs w:val="20"/>
          <w:color w:val="auto"/>
        </w:rPr>
      </w:pPr>
    </w:p>
    <w:p>
      <w:pPr>
        <w:jc w:val="both"/>
        <w:ind w:left="980" w:hanging="405"/>
        <w:spacing w:after="0" w:line="238" w:lineRule="auto"/>
        <w:tabs>
          <w:tab w:leader="none" w:pos="1102"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applicable, Patheon will make arrangements for the imprinting of the data carrier (i.e. 2D Data Matrix or barcode) on the packaging of each Product shipped. The data carrier will encode the lot number, expiration date, product identifier and serial number. The data carriers will be affixed on the Product packaging and on the shipping carton of each Product as required by cGMPs, Applicable Laws and consistent with the Specifications. Electronic verification of the data carrier will be performed by Patheon.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Price and Price Adjustments</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First Year Pricing</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Price for each Product will be listed in Appendix 1 and may be adjusted under this Section 4.</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Annual Price Adjustments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6" w:lineRule="auto"/>
        <w:rPr>
          <w:sz w:val="20"/>
          <w:szCs w:val="20"/>
          <w:color w:val="auto"/>
        </w:rPr>
      </w:pPr>
      <w:r>
        <w:rPr>
          <w:rFonts w:ascii="Arial" w:cs="Arial" w:eastAsia="Arial" w:hAnsi="Arial"/>
          <w:sz w:val="18"/>
          <w:szCs w:val="18"/>
          <w:color w:val="auto"/>
        </w:rPr>
        <w:t>Patheon may adjust the Price effective January 1st of each Year following the first full Year for inflation in accordance with Appendix 4. For all Price adjustments under this Section 4.2, Patheon will deliver to Client on or about October 1 but no later than December 1 of each Year (unless otherwise agreed in writing) a letter stating the adjusted Pricing to be effective for Product to be delivered on or after January 1 of the next Year [***]. If Patheon makes or has made an adjustment to the Price arising from an extraordinary increase in Component cost under Section 4.3(a) below during the past Year, only the remaining portion of the Price (i.e., an amount equal to the Price minus the cost of Component) may be adjusted for inflation in accordance with Appendix 4. Any omitted adjustment in a Year does not waive Patheon’s right to apply that adjustment cumulatively with the next permitted adjustment.</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Price Adjustments at any Time</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line="238" w:lineRule="auto"/>
        <w:tabs>
          <w:tab w:leader="none" w:pos="104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Extraordinary Increases in Component Costs</w:t>
      </w:r>
      <w:r>
        <w:rPr>
          <w:rFonts w:ascii="Arial" w:cs="Arial" w:eastAsia="Arial" w:hAnsi="Arial"/>
          <w:sz w:val="18"/>
          <w:szCs w:val="18"/>
          <w:color w:val="auto"/>
        </w:rPr>
        <w:t>. If the cost of a Component increases by at least [***] since the last annual adjustment as a result of market factors outside of Patheon’s control, then Patheon will be entitled to adjust the Price to reflect the increased cost of the Component. The revised Price will become effective with the [***]. For a Price adjustment under this Section 4.3(a), Patheon will deliver to Client revised Pricing tables.</w:t>
      </w:r>
    </w:p>
    <w:p>
      <w:pPr>
        <w:spacing w:after="0" w:line="204" w:lineRule="exact"/>
        <w:rPr>
          <w:rFonts w:ascii="Arial" w:cs="Arial" w:eastAsia="Arial" w:hAnsi="Arial"/>
          <w:sz w:val="18"/>
          <w:szCs w:val="18"/>
          <w:color w:val="auto"/>
        </w:rPr>
      </w:pPr>
    </w:p>
    <w:p>
      <w:pPr>
        <w:jc w:val="both"/>
        <w:ind w:left="980" w:hanging="405"/>
        <w:spacing w:after="0" w:line="237" w:lineRule="auto"/>
        <w:tabs>
          <w:tab w:leader="none" w:pos="1049"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 The Prices may be adjusted at any time by Patheon upon written notice to Client if Client requests any change to the scope of the Manufacturing Services as defined by the agreed upon Processing Instructions, the Regulatory Approvals, the Quality Agreement and any assumptions, inclusions, exclusions and other parameters set out in Appendix 1. In such case the parties (using a “</w:t>
      </w:r>
      <w:r>
        <w:rPr>
          <w:rFonts w:ascii="Arial" w:cs="Arial" w:eastAsia="Arial" w:hAnsi="Arial"/>
          <w:sz w:val="18"/>
          <w:szCs w:val="18"/>
          <w:b w:val="1"/>
          <w:bCs w:val="1"/>
          <w:color w:val="auto"/>
        </w:rPr>
        <w:t>Change of Scope</w:t>
      </w:r>
      <w:r>
        <w:rPr>
          <w:rFonts w:ascii="Arial" w:cs="Arial" w:eastAsia="Arial" w:hAnsi="Arial"/>
          <w:sz w:val="18"/>
          <w:szCs w:val="18"/>
          <w:color w:val="auto"/>
        </w:rPr>
        <w:t>” agreement, or similar, setting out the agreed activities and costs of implementation) will agree upon the change to the scope of the Manufacturing Services and any adjustments to the Prices that are necessitated by the changes.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Efforts to Achieve Price Reductions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13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09" w:name="page110"/>
    <w:bookmarkEnd w:id="109"/>
    <w:p>
      <w:pPr>
        <w:jc w:val="both"/>
        <w:ind w:firstLine="612"/>
        <w:spacing w:after="0" w:line="237" w:lineRule="auto"/>
        <w:rPr>
          <w:sz w:val="20"/>
          <w:szCs w:val="20"/>
          <w:color w:val="auto"/>
        </w:rPr>
      </w:pPr>
      <w:r>
        <w:rPr>
          <w:rFonts w:ascii="Arial" w:cs="Arial" w:eastAsia="Arial" w:hAnsi="Arial"/>
          <w:sz w:val="18"/>
          <w:szCs w:val="18"/>
          <w:color w:val="auto"/>
        </w:rPr>
        <w:t>During the Term, Patheon and Client agree to jointly develop a program aimed at achieving continuous improvement in the quality of the Product and reducing manufacturing costs (which may include, inter alia, refinement of manufacturing processes or procedures, identification of new vendors or changes in the pricing or availability of third party materials), but this program will not involve capital or other extraordinary costs being incurred by any party without the prior written consent of the other party. All cost reductions resulting from this program will be [***] with an adjustment to the Price that reflects [***] of the costs savings that will be applicable January 1 of the next Year.</w:t>
      </w:r>
    </w:p>
    <w:p>
      <w:pPr>
        <w:spacing w:after="0" w:line="173"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Purchasing Product</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Orders and Forecasts</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line="238" w:lineRule="auto"/>
        <w:tabs>
          <w:tab w:leader="none" w:pos="1099"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Long Term Forecast</w:t>
      </w:r>
      <w:r>
        <w:rPr>
          <w:rFonts w:ascii="Arial" w:cs="Arial" w:eastAsia="Arial" w:hAnsi="Arial"/>
          <w:sz w:val="18"/>
          <w:szCs w:val="18"/>
          <w:color w:val="auto"/>
        </w:rPr>
        <w:t>. On or before January 1 of each Year, Client will give Patheon a non-binding written forecast of Client’s volume requirements for the Product for each of the next [***] Years (“</w:t>
      </w:r>
      <w:r>
        <w:rPr>
          <w:rFonts w:ascii="Arial" w:cs="Arial" w:eastAsia="Arial" w:hAnsi="Arial"/>
          <w:sz w:val="18"/>
          <w:szCs w:val="18"/>
          <w:b w:val="1"/>
          <w:bCs w:val="1"/>
          <w:color w:val="auto"/>
        </w:rPr>
        <w:t>Long Term Forecast</w:t>
      </w:r>
      <w:r>
        <w:rPr>
          <w:rFonts w:ascii="Arial" w:cs="Arial" w:eastAsia="Arial" w:hAnsi="Arial"/>
          <w:sz w:val="18"/>
          <w:szCs w:val="18"/>
          <w:color w:val="auto"/>
        </w:rPr>
        <w:t>”) for discussion purposes only. The parties will use the Long Term Forecasts solely for the purpose of discussing commencement of the Manufacturing Scale Up and identifying any capacity constraints that may affect any party’s ability to perform its obligations under this Agreement.</w:t>
      </w:r>
    </w:p>
    <w:p>
      <w:pPr>
        <w:spacing w:after="0" w:line="202" w:lineRule="exact"/>
        <w:rPr>
          <w:rFonts w:ascii="Arial" w:cs="Arial" w:eastAsia="Arial" w:hAnsi="Arial"/>
          <w:sz w:val="18"/>
          <w:szCs w:val="18"/>
          <w:color w:val="auto"/>
        </w:rPr>
      </w:pPr>
    </w:p>
    <w:p>
      <w:pPr>
        <w:jc w:val="both"/>
        <w:ind w:left="980" w:hanging="405"/>
        <w:spacing w:after="0" w:line="236" w:lineRule="auto"/>
        <w:tabs>
          <w:tab w:leader="none" w:pos="108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Rolling Forecast</w:t>
      </w:r>
      <w:r>
        <w:rPr>
          <w:rFonts w:ascii="Arial" w:cs="Arial" w:eastAsia="Arial" w:hAnsi="Arial"/>
          <w:sz w:val="18"/>
          <w:szCs w:val="18"/>
          <w:color w:val="auto"/>
        </w:rPr>
        <w:t>. Within 30 days after the Effective Date, Client will give Patheon a written forecast of the volume of Product that Client expects to order in each of the next [***] months (the “</w:t>
      </w:r>
      <w:r>
        <w:rPr>
          <w:rFonts w:ascii="Arial" w:cs="Arial" w:eastAsia="Arial" w:hAnsi="Arial"/>
          <w:sz w:val="18"/>
          <w:szCs w:val="18"/>
          <w:b w:val="1"/>
          <w:bCs w:val="1"/>
          <w:color w:val="auto"/>
        </w:rPr>
        <w:t>Rolling Forecast</w:t>
      </w:r>
      <w:r>
        <w:rPr>
          <w:rFonts w:ascii="Arial" w:cs="Arial" w:eastAsia="Arial" w:hAnsi="Arial"/>
          <w:sz w:val="18"/>
          <w:szCs w:val="18"/>
          <w:color w:val="auto"/>
        </w:rPr>
        <w:t>”). Client will provide an updated Rolling Forecast on or before the tenth day of each month, but: (i) Client will not make any changes to any months of the Rolling Forecast for which a purchase order has been issued by Client (i.e. the first [***] months of the Rolling Forecast; these months being subject to a Firm Order) and (ii) Client may not reduce the quantities for the first [***] chronological months of the previous Rolling Forecast not previously subject to a Firm Order by more than [***], except if a reduction of [***] will result in the quantity being reduced to a quantity that is less than the Minimum Order Quantity, in which case Client may reduce the monthly forecast quantity to [***]. Each updated Rolling Forecast supersedes all previous Rolling Forecasts, other than for those months in the Rolling Forecast that are the subject of Firm Orders. The parties acknowledge that any validation batches to be manufactured under the Development Agreement will be scheduled under the Development Agreement and may not be reflected in the Rolling Forecast.</w:t>
      </w:r>
    </w:p>
    <w:p>
      <w:pPr>
        <w:spacing w:after="0" w:line="203" w:lineRule="exact"/>
        <w:rPr>
          <w:rFonts w:ascii="Arial" w:cs="Arial" w:eastAsia="Arial" w:hAnsi="Arial"/>
          <w:sz w:val="18"/>
          <w:szCs w:val="18"/>
          <w:color w:val="auto"/>
        </w:rPr>
      </w:pPr>
    </w:p>
    <w:p>
      <w:pPr>
        <w:jc w:val="both"/>
        <w:ind w:left="980" w:hanging="405"/>
        <w:spacing w:after="0" w:line="237" w:lineRule="auto"/>
        <w:tabs>
          <w:tab w:leader="none" w:pos="107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Orders</w:t>
      </w:r>
      <w:r>
        <w:rPr>
          <w:rFonts w:ascii="Arial" w:cs="Arial" w:eastAsia="Arial" w:hAnsi="Arial"/>
          <w:sz w:val="18"/>
          <w:szCs w:val="18"/>
          <w:color w:val="auto"/>
        </w:rPr>
        <w:t>. On or before the [***] day of each month, Client will issue a new purchase order for any required Product. Each purchase order must, subject to Section 5.1(a), specify order quantities consistent with the then current Rolling Forecast, meet the Minimum Order Quantity and specify the purchase order number, quantities by Product type, and requested Delivery Dates for the Product (which must occur at least [***] days after the first day of the next month). All purchase orders for Product submitted by Client during the Term will be subject to this Agreement even if the purchase order does not expressly make reference to this Agreement.</w:t>
      </w:r>
    </w:p>
    <w:p>
      <w:pPr>
        <w:spacing w:after="0" w:line="204" w:lineRule="exact"/>
        <w:rPr>
          <w:rFonts w:ascii="Arial" w:cs="Arial" w:eastAsia="Arial" w:hAnsi="Arial"/>
          <w:sz w:val="18"/>
          <w:szCs w:val="18"/>
          <w:color w:val="auto"/>
        </w:rPr>
      </w:pPr>
    </w:p>
    <w:p>
      <w:pPr>
        <w:jc w:val="both"/>
        <w:ind w:left="980" w:hanging="405"/>
        <w:spacing w:after="0" w:line="238" w:lineRule="auto"/>
        <w:tabs>
          <w:tab w:leader="none" w:pos="112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Acceptance of Purchase Orders</w:t>
      </w:r>
      <w:r>
        <w:rPr>
          <w:rFonts w:ascii="Arial" w:cs="Arial" w:eastAsia="Arial" w:hAnsi="Arial"/>
          <w:sz w:val="18"/>
          <w:szCs w:val="18"/>
          <w:color w:val="auto"/>
        </w:rPr>
        <w:t>. Patheon will accept any purchase order properly submitted by Client in accordance with this Agreement, including the Delivery Dates stipulated in the relevant purchase order. Patheon may not reject a purchase order unless for reasons constituting Force Majeure or the failure of the order to comply with the provisions of this Agreement. A purchase order submitted by Client and not properly rejected by Patheon within ten Business Days will be binding on the parties (a “</w:t>
      </w:r>
      <w:r>
        <w:rPr>
          <w:rFonts w:ascii="Arial" w:cs="Arial" w:eastAsia="Arial" w:hAnsi="Arial"/>
          <w:sz w:val="18"/>
          <w:szCs w:val="18"/>
          <w:b w:val="1"/>
          <w:bCs w:val="1"/>
          <w:color w:val="auto"/>
        </w:rPr>
        <w:t>Firm Order</w:t>
      </w:r>
      <w:r>
        <w:rPr>
          <w:rFonts w:ascii="Arial" w:cs="Arial" w:eastAsia="Arial" w:hAnsi="Arial"/>
          <w:sz w:val="18"/>
          <w:szCs w:val="18"/>
          <w:color w:val="auto"/>
        </w:rPr>
        <w:t>”), except that either party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463550</wp:posOffset>
            </wp:positionV>
            <wp:extent cx="62922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14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10" w:name="page111"/>
    <w:bookmarkEnd w:id="110"/>
    <w:p>
      <w:pPr>
        <w:jc w:val="both"/>
        <w:ind w:left="980"/>
        <w:spacing w:after="0" w:line="238" w:lineRule="auto"/>
        <w:rPr>
          <w:sz w:val="20"/>
          <w:szCs w:val="20"/>
          <w:color w:val="auto"/>
        </w:rPr>
      </w:pPr>
      <w:r>
        <w:rPr>
          <w:rFonts w:ascii="Arial" w:cs="Arial" w:eastAsia="Arial" w:hAnsi="Arial"/>
          <w:sz w:val="18"/>
          <w:szCs w:val="18"/>
          <w:color w:val="auto"/>
        </w:rPr>
        <w:t>request to change any Delivery Date beyond [***] days after the delivery of the relevant purchase order. The parties will negotiate in good faith and agree on any requested alternative Delivery Date. If the parties cannot agree, the original Delivery Date set out in the relevant Firm Order submitted by Client and confirmed by Patheon will apply.</w:t>
      </w:r>
    </w:p>
    <w:p>
      <w:pPr>
        <w:spacing w:after="0" w:line="205" w:lineRule="exact"/>
        <w:rPr>
          <w:sz w:val="20"/>
          <w:szCs w:val="20"/>
          <w:color w:val="auto"/>
        </w:rPr>
      </w:pPr>
    </w:p>
    <w:p>
      <w:pPr>
        <w:jc w:val="both"/>
        <w:ind w:left="980" w:hanging="405"/>
        <w:spacing w:after="0" w:line="237" w:lineRule="auto"/>
        <w:tabs>
          <w:tab w:leader="none" w:pos="104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Cancellation or Postponement</w:t>
      </w:r>
      <w:r>
        <w:rPr>
          <w:rFonts w:ascii="Arial" w:cs="Arial" w:eastAsia="Arial" w:hAnsi="Arial"/>
          <w:sz w:val="18"/>
          <w:szCs w:val="18"/>
          <w:color w:val="auto"/>
        </w:rPr>
        <w:t>. Patheon will determine the manufacturing schedule of all Product covered by Firm Orders. If Client cancels or reduces a Firm Order, or wishes to postpone the applicable Delivery Date (other than in accordance with Section 5.1(d)) and Patheon is unable to replace the lost manufacturing capacity with another Patheon client after having used commercially reasonable efforts to replace the lost manufacturing capacity, and Client does not replace Firm Order with an order for another Client Product in the same manufacturing suite, Client will remain liable to pay Patheon [***] of the Price for the Firm Order.</w:t>
      </w:r>
    </w:p>
    <w:p>
      <w:pPr>
        <w:spacing w:after="0" w:line="204" w:lineRule="exact"/>
        <w:rPr>
          <w:rFonts w:ascii="Arial" w:cs="Arial" w:eastAsia="Arial" w:hAnsi="Arial"/>
          <w:sz w:val="18"/>
          <w:szCs w:val="18"/>
          <w:color w:val="auto"/>
        </w:rPr>
      </w:pPr>
    </w:p>
    <w:p>
      <w:pPr>
        <w:jc w:val="both"/>
        <w:ind w:left="980" w:hanging="405"/>
        <w:spacing w:after="0" w:line="235" w:lineRule="auto"/>
        <w:tabs>
          <w:tab w:leader="none" w:pos="99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Controlled Substance Quota Requirements (if applicable)</w:t>
      </w:r>
      <w:r>
        <w:rPr>
          <w:rFonts w:ascii="Arial" w:cs="Arial" w:eastAsia="Arial" w:hAnsi="Arial"/>
          <w:sz w:val="18"/>
          <w:szCs w:val="18"/>
          <w:color w:val="auto"/>
        </w:rPr>
        <w:t>. Client will give Patheon the information set out below for obtaining any required DEA or equivalent agency quotas (“</w:t>
      </w:r>
      <w:r>
        <w:rPr>
          <w:rFonts w:ascii="Arial" w:cs="Arial" w:eastAsia="Arial" w:hAnsi="Arial"/>
          <w:sz w:val="18"/>
          <w:szCs w:val="18"/>
          <w:b w:val="1"/>
          <w:bCs w:val="1"/>
          <w:color w:val="auto"/>
        </w:rPr>
        <w:t>Quota</w:t>
      </w:r>
      <w:r>
        <w:rPr>
          <w:rFonts w:ascii="Arial" w:cs="Arial" w:eastAsia="Arial" w:hAnsi="Arial"/>
          <w:sz w:val="18"/>
          <w:szCs w:val="18"/>
          <w:color w:val="auto"/>
        </w:rPr>
        <w:t>”) needed to perform the Manufacturing Services. Patheon will be responsible for routine management of Quota information in accordance with Applicable Laws. The parties will cooperate to communicate the information and to assist each other in Regulatory Authority information requirements related to the Product as follows: (i) by April 1 of each Year for the Product, Client will provide to Patheon the next Year’s annual Quota requirements for the Product; (ii) by August 1 of each Year, Client will provide to Patheon any changes to the next Year’s Quota requirements; (iii) Client will pro-actively communicate any changes to the Quota requirements for the then-current Year in sufficient time to allow Patheon to file and finalize Regulatory Authority filings supporting the changes; (iv) upon Patheon receiving the necessary forecast information from Client in order to request additional Quota, Patheon will submit to the applicable Regulatory Authority, on a timely basis, all filings necessary to obtain Quotas for API and will use commercially reasonable efforts to secure sufficient Quota from the applicable Regulatory Authority so as to achieve Delivery Dates for Product as set out in applicable purchase orders and forecasts submitted to Patheon by Client or its designee; and (v) Patheon will not be responsible for any Regulatory Authority’s refusal or failure to grant sufficient Quota for reasons beyond the reasonable control of Patheon (including where Client fails to provide the required information in accordance with this Section 5.1(e)).</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Obsolete Stock</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line="236" w:lineRule="auto"/>
        <w:tabs>
          <w:tab w:leader="none" w:pos="1034"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Client understands and acknowledges that Patheon will rely on purchase orders, Firm Orders, and the Rolling Forecast in ordering the Components (other than Client-Supplied Components) required to meet anticipated Firm Orders. Patheon may purchase the Components in sufficient volumes, and reasonably in advance of the expected use of the Component (taking into account lead times), to meet the production requirements for Products covered by anticipated Firm Orders or to meet the production requirements of any longer period agreed to by the parties. Patheon will handle and store the Components in accordance with this Agreement, any safety data sheets, safe handling instructions and health and environmental information associated therewith and customary industry standards. If any Components have a shelf life or other expiry dating, Patheon will use the Components in manufacturing Product on a first-in, first-out basis.</w:t>
      </w:r>
    </w:p>
    <w:p>
      <w:pPr>
        <w:spacing w:after="0" w:line="206" w:lineRule="exact"/>
        <w:rPr>
          <w:rFonts w:ascii="Arial" w:cs="Arial" w:eastAsia="Arial" w:hAnsi="Arial"/>
          <w:sz w:val="18"/>
          <w:szCs w:val="18"/>
          <w:color w:val="auto"/>
        </w:rPr>
      </w:pPr>
    </w:p>
    <w:p>
      <w:pPr>
        <w:ind w:left="980" w:hanging="405"/>
        <w:spacing w:after="0" w:line="246" w:lineRule="auto"/>
        <w:tabs>
          <w:tab w:leader="none" w:pos="10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Client will reimburse Patheon for the cost of Components ordered by Patheon in relation to Firm Orders or as otherwise agreed under Section (a) that are not used in the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459740</wp:posOffset>
            </wp:positionV>
            <wp:extent cx="62922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15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11" w:name="page112"/>
    <w:bookmarkEnd w:id="111"/>
    <w:p>
      <w:pPr>
        <w:jc w:val="both"/>
        <w:ind w:left="980"/>
        <w:spacing w:after="0" w:line="236" w:lineRule="auto"/>
        <w:rPr>
          <w:sz w:val="20"/>
          <w:szCs w:val="20"/>
          <w:color w:val="auto"/>
        </w:rPr>
      </w:pPr>
      <w:r>
        <w:rPr>
          <w:rFonts w:ascii="Arial" w:cs="Arial" w:eastAsia="Arial" w:hAnsi="Arial"/>
          <w:sz w:val="18"/>
          <w:szCs w:val="18"/>
          <w:color w:val="auto"/>
        </w:rPr>
        <w:t>Services and cannot be used by Patheon for other customers despite Patheon’s commercially reasonable efforts to do so. The reimbursement will become due and will be invoiced by Patheon within [***] months after the forecasted month for which the purchases have been made if Patheon has been unable to use the Components for other customers, or if the Components have expired or are rendered obsolete due to changes in Processing Instructions, cGMP, artwork or Applicable Laws during the period (collectively, “</w:t>
      </w:r>
      <w:r>
        <w:rPr>
          <w:rFonts w:ascii="Arial" w:cs="Arial" w:eastAsia="Arial" w:hAnsi="Arial"/>
          <w:sz w:val="18"/>
          <w:szCs w:val="18"/>
          <w:b w:val="1"/>
          <w:bCs w:val="1"/>
          <w:color w:val="auto"/>
        </w:rPr>
        <w:t>Obsolete Stock</w:t>
      </w:r>
      <w:r>
        <w:rPr>
          <w:rFonts w:ascii="Arial" w:cs="Arial" w:eastAsia="Arial" w:hAnsi="Arial"/>
          <w:sz w:val="18"/>
          <w:szCs w:val="18"/>
          <w:color w:val="auto"/>
        </w:rPr>
        <w:t>”). This reimbursement will include Patheon’s cost to purchase the Obsolete Stock (plus a [***]) and if Client does not take possession thereof, the cost of its destruction. If any non-expired Components are used in Products subsequently manufactured for Client or in third party products manufactured by Patheon, Client will receive credit for any costs of those Components previously paid to Patheon by Client (this amount to include the previously assessed [***]).</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Storage</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6" w:lineRule="auto"/>
        <w:rPr>
          <w:sz w:val="20"/>
          <w:szCs w:val="20"/>
          <w:color w:val="auto"/>
        </w:rPr>
      </w:pPr>
      <w:r>
        <w:rPr>
          <w:rFonts w:ascii="Arial" w:cs="Arial" w:eastAsia="Arial" w:hAnsi="Arial"/>
          <w:sz w:val="18"/>
          <w:szCs w:val="18"/>
          <w:color w:val="auto"/>
        </w:rPr>
        <w:t>If: (i) Client fails to take possession or arrange for the destruction of Obsolete Stock within [***] days of receipt of written notice from Patheon identifying the Obsolete Stock; or (ii) Product is not collected by Client within [***] days of the Delivery Date notified by Patheon, Client will pay Patheon $[***] per pallet, per month after that for storing the Obsolete Stock, equipment or Product. Storage fees for Obsolete Stock or Product which contain controlled substances or require refrigeration will be charged at $[***] per pallet per month. Storage fees are subject to a one pallet minimum charge per month. Patheon may ship Product held by it longer than [***] days to Client at Client’s expense on [***] days’ written notice to Client. Upon expiry of the [***] day storage period stated above, Client will assume all risk of loss or damage to materials and Client will be responsible for having appropriate insurance coverage in place for this risk.</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Invoices and Payment</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5" w:lineRule="auto"/>
        <w:rPr>
          <w:sz w:val="20"/>
          <w:szCs w:val="20"/>
          <w:color w:val="auto"/>
        </w:rPr>
      </w:pPr>
      <w:r>
        <w:rPr>
          <w:rFonts w:ascii="Arial" w:cs="Arial" w:eastAsia="Arial" w:hAnsi="Arial"/>
          <w:sz w:val="18"/>
          <w:szCs w:val="18"/>
          <w:color w:val="auto"/>
        </w:rPr>
        <w:t>For shipments of Product, Patheon will issue invoices to Client on or after the date Client has accepted the Product following a review of the Manufacturing Records associated with the shipment of Product and other documentation required for release in Appendix G of the Quality Agreement. This review will not exceed [***]. Patheon will issue and deliver its invoice for the relevant delivery of Product on the Delivery Date for the Product by email to [***]. For other services agreed by Patheon and Client not included in the Manufacturing Services, Patheon will issue invoices on completion of these services. Patheon will also submit to Client, with each shipment of Product, a duplicate copy of the invoice covering the shipment. Invoices will be sent by email to the email address given by Client to Patheon in writing. Each invoice will, to the extent applicable, identify Client’s Manufacturing Services purchase order number, Product numbers, names and quantities, unit price, freight charges, and the total amount to be paid by Client. Client will pay all invoices within [***] days of the date of the invoice. If any portion of an invoice is disputed, Client will pay Patheon for the undisputed amount and the parties will use good faith efforts to reconcile the disputed amount as soon as practicable. Interest on undisputed past due accounts will accrue at [***] per month. Patheon may, on giving [***] days’ written notice to Client, suspend all Manufacturing Services, including release and shipment of Product, until all undisputed past due invoices have been paid in full. Patheon will have no liability to Client for losses caused by this suspension, including without limitation, losses due to delayed Product delivery or Product shortages.</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Delivery and Shipping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16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12" w:name="page113"/>
    <w:bookmarkEnd w:id="112"/>
    <w:p>
      <w:pPr>
        <w:jc w:val="both"/>
        <w:ind w:firstLine="612"/>
        <w:spacing w:after="0" w:line="236" w:lineRule="auto"/>
        <w:rPr>
          <w:sz w:val="20"/>
          <w:szCs w:val="20"/>
          <w:color w:val="auto"/>
        </w:rPr>
      </w:pPr>
      <w:r>
        <w:rPr>
          <w:rFonts w:ascii="Arial" w:cs="Arial" w:eastAsia="Arial" w:hAnsi="Arial"/>
          <w:sz w:val="18"/>
          <w:szCs w:val="18"/>
          <w:color w:val="auto"/>
        </w:rPr>
        <w:t>Prior to Patheon release of Product, Patheon will deliver to Client all release documents set forth in Appendix G of the Quality Agreement. Client will have [***] to review these documents prior to Patheon’s release. Delivery of Product and any other materials will be [***] from Patheon’s Manufacturing Site on the relevant Delivery Date. Client is responsible for taking delivery of Product at Patheon’s Manufacturing Site with its carrier of choice. Subject to Section 8.3, risk of loss or of damage to Product and title to Product will remain with Patheon until [***] at which time title and risk of loss or damage will transfer to Client. But if Client fails to collect Product within [***] days after it has been released for shipment by Patheon on the relevant Delivery Date, Client will assume title and all risk of loss or damage to the released Product. Patheon may, in accordance with Client’s instructions and as agent for Client, at Client’s risk, arrange for shipping (to Client or any third party nominated by Client) to be paid by Client. Client will arrange for insurance and will select the freight carrier used by Patheon to ship Product and may monitor Patheon’s shipping and freight activity under this Agreement.</w:t>
      </w:r>
    </w:p>
    <w:p>
      <w:pPr>
        <w:spacing w:after="0" w:line="174"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Product Claims and Recalls</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Product Claims</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tabs>
          <w:tab w:leader="none" w:pos="101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Rejection</w:t>
      </w:r>
      <w:r>
        <w:rPr>
          <w:rFonts w:ascii="Arial" w:cs="Arial" w:eastAsia="Arial" w:hAnsi="Arial"/>
          <w:sz w:val="18"/>
          <w:szCs w:val="18"/>
          <w:color w:val="auto"/>
        </w:rPr>
        <w:t>. Client may reject any manufactured Product that it reasonably considers (by reference to the results of the agreed release testing or otherwise) to be deficient based on Manufacturing Records provided by Patheon or the inspection or testing of delivered Product by or on behalf of the Client.</w:t>
      </w:r>
    </w:p>
    <w:p>
      <w:pPr>
        <w:spacing w:after="0" w:line="202" w:lineRule="exact"/>
        <w:rPr>
          <w:rFonts w:ascii="Arial" w:cs="Arial" w:eastAsia="Arial" w:hAnsi="Arial"/>
          <w:sz w:val="18"/>
          <w:szCs w:val="18"/>
          <w:color w:val="auto"/>
        </w:rPr>
      </w:pPr>
    </w:p>
    <w:p>
      <w:pPr>
        <w:ind w:left="1000" w:hanging="425"/>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Product Claims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340" w:hanging="413"/>
        <w:spacing w:after="0" w:line="247" w:lineRule="auto"/>
        <w:tabs>
          <w:tab w:leader="none" w:pos="143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Client may claim a remedy (a “</w:t>
      </w:r>
      <w:r>
        <w:rPr>
          <w:rFonts w:ascii="Arial" w:cs="Arial" w:eastAsia="Arial" w:hAnsi="Arial"/>
          <w:sz w:val="18"/>
          <w:szCs w:val="18"/>
          <w:b w:val="1"/>
          <w:bCs w:val="1"/>
          <w:color w:val="auto"/>
        </w:rPr>
        <w:t>Product Claim</w:t>
      </w:r>
      <w:r>
        <w:rPr>
          <w:rFonts w:ascii="Arial" w:cs="Arial" w:eastAsia="Arial" w:hAnsi="Arial"/>
          <w:sz w:val="18"/>
          <w:szCs w:val="18"/>
          <w:color w:val="auto"/>
        </w:rPr>
        <w:t>”) for any portion of any batch of Product for which Patheon did not perform the Manufacturing Services in accordance with the agreed Processing Instructions, cGMPs, or Applicable Laws or where the representations and warranties in Sections 9.3(a) or 9.3(b) as they pertain to the Product are not true or accurate (“</w:t>
      </w:r>
      <w:r>
        <w:rPr>
          <w:rFonts w:ascii="Arial" w:cs="Arial" w:eastAsia="Arial" w:hAnsi="Arial"/>
          <w:sz w:val="18"/>
          <w:szCs w:val="18"/>
          <w:b w:val="1"/>
          <w:bCs w:val="1"/>
          <w:color w:val="auto"/>
        </w:rPr>
        <w:t>Deficient Product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jc w:val="both"/>
        <w:ind w:left="1340" w:hanging="413"/>
        <w:spacing w:after="0" w:line="237" w:lineRule="auto"/>
        <w:tabs>
          <w:tab w:leader="none" w:pos="14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Client will inspect the Manufacturing Records delivered to Client for the Product manufactured by Patheon, upon receipt in accordance with its internal quality control procedures and will give Patheon written notice of all Product Claims that are identifiable based on the Manufacturing Records (a “</w:t>
      </w:r>
      <w:r>
        <w:rPr>
          <w:rFonts w:ascii="Arial" w:cs="Arial" w:eastAsia="Arial" w:hAnsi="Arial"/>
          <w:sz w:val="18"/>
          <w:szCs w:val="18"/>
          <w:b w:val="1"/>
          <w:bCs w:val="1"/>
          <w:color w:val="auto"/>
        </w:rPr>
        <w:t>Documentary Product</w:t>
      </w:r>
      <w:r>
        <w:rPr>
          <w:rFonts w:ascii="Arial" w:cs="Arial" w:eastAsia="Arial" w:hAnsi="Arial"/>
          <w:sz w:val="18"/>
          <w:szCs w:val="18"/>
          <w:color w:val="auto"/>
        </w:rPr>
        <w:t xml:space="preserve"> </w:t>
      </w:r>
      <w:r>
        <w:rPr>
          <w:rFonts w:ascii="Arial" w:cs="Arial" w:eastAsia="Arial" w:hAnsi="Arial"/>
          <w:sz w:val="18"/>
          <w:szCs w:val="18"/>
          <w:b w:val="1"/>
          <w:bCs w:val="1"/>
          <w:color w:val="auto"/>
        </w:rPr>
        <w:t>Claim</w:t>
      </w:r>
      <w:r>
        <w:rPr>
          <w:rFonts w:ascii="Arial" w:cs="Arial" w:eastAsia="Arial" w:hAnsi="Arial"/>
          <w:sz w:val="18"/>
          <w:szCs w:val="18"/>
          <w:color w:val="auto"/>
        </w:rPr>
        <w:t>”) within [***] after receipt thereof. If Client fails to provide a Product Claim that is a Documentary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Claim within the applicable [***] day period, then the Product will be considered to have been accepted by Client on the [***] day after delivery of the Product to Client. Patheon will have no liability for any Documentary Product Claim for which it has not received notice within the applicable [***] day period.</w:t>
      </w:r>
    </w:p>
    <w:p>
      <w:pPr>
        <w:spacing w:after="0" w:line="202" w:lineRule="exact"/>
        <w:rPr>
          <w:rFonts w:ascii="Arial" w:cs="Arial" w:eastAsia="Arial" w:hAnsi="Arial"/>
          <w:sz w:val="18"/>
          <w:szCs w:val="18"/>
          <w:color w:val="auto"/>
        </w:rPr>
      </w:pPr>
    </w:p>
    <w:p>
      <w:pPr>
        <w:jc w:val="both"/>
        <w:ind w:left="1340" w:hanging="413"/>
        <w:spacing w:after="0" w:line="237" w:lineRule="auto"/>
        <w:tabs>
          <w:tab w:leader="none" w:pos="144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For all other Product Claims (e.g., those Product Claims where the Deficient Product is only identifiable based on visible inspection or testing) (each claim, a “</w:t>
      </w:r>
      <w:r>
        <w:rPr>
          <w:rFonts w:ascii="Arial" w:cs="Arial" w:eastAsia="Arial" w:hAnsi="Arial"/>
          <w:sz w:val="18"/>
          <w:szCs w:val="18"/>
          <w:b w:val="1"/>
          <w:bCs w:val="1"/>
          <w:color w:val="auto"/>
        </w:rPr>
        <w:t>Latent Defect Claim</w:t>
      </w:r>
      <w:r>
        <w:rPr>
          <w:rFonts w:ascii="Arial" w:cs="Arial" w:eastAsia="Arial" w:hAnsi="Arial"/>
          <w:sz w:val="18"/>
          <w:szCs w:val="18"/>
          <w:color w:val="auto"/>
        </w:rPr>
        <w:t>”), Client will in all cases give written notice within [***] days of discovery of the facts, matters or circumstances indicating the existence of a Latent Defect Claim and, in the case of unsold Product only, this notice will not be after the expiration date of the Product. If Client fails to provide a Latent Defect Claim within the applicable [***] day period, then the Product will be considered to have been accepted by Client. Patheon will have no liability for any deficiency for which it has not received notice within the applicable [***]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394970</wp:posOffset>
            </wp:positionV>
            <wp:extent cx="62922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17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13" w:name="page114"/>
    <w:bookmarkEnd w:id="113"/>
    <w:p>
      <w:pPr>
        <w:jc w:val="both"/>
        <w:ind w:left="980" w:hanging="405"/>
        <w:spacing w:after="0" w:line="238" w:lineRule="auto"/>
        <w:tabs>
          <w:tab w:leader="none" w:pos="102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Determination of Deficiency</w:t>
      </w:r>
      <w:r>
        <w:rPr>
          <w:rFonts w:ascii="Arial" w:cs="Arial" w:eastAsia="Arial" w:hAnsi="Arial"/>
          <w:sz w:val="18"/>
          <w:szCs w:val="18"/>
          <w:color w:val="auto"/>
        </w:rPr>
        <w:t>. Upon receipt of a Product Claim, Patheon will have [***] days to advise Client by notice in writing whether it disagrees with the contents of the Product Claim. If the parties fail to agree within ten days after Patheon's notice to Client as to whether any Product identified in the Product Claim is Deficient Product, the parties will investigate the matter in accordance with the Quality Agreement.</w:t>
      </w:r>
    </w:p>
    <w:p>
      <w:pPr>
        <w:spacing w:after="0" w:line="204" w:lineRule="exact"/>
        <w:rPr>
          <w:rFonts w:ascii="Arial" w:cs="Arial" w:eastAsia="Arial" w:hAnsi="Arial"/>
          <w:sz w:val="18"/>
          <w:szCs w:val="18"/>
          <w:color w:val="auto"/>
        </w:rPr>
      </w:pPr>
    </w:p>
    <w:p>
      <w:pPr>
        <w:jc w:val="both"/>
        <w:ind w:left="980" w:hanging="405"/>
        <w:spacing w:after="0" w:line="236" w:lineRule="auto"/>
        <w:tabs>
          <w:tab w:leader="none" w:pos="101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Supply Failure</w:t>
      </w:r>
      <w:r>
        <w:rPr>
          <w:rFonts w:ascii="Arial" w:cs="Arial" w:eastAsia="Arial" w:hAnsi="Arial"/>
          <w:sz w:val="18"/>
          <w:szCs w:val="18"/>
          <w:color w:val="auto"/>
        </w:rPr>
        <w:t>. If there is a Supply Failure, Client may in its sole discretion do one or more of the following: (i) [***], (ii) [***], (iii) [***], (iv) [***]. In addition to the foregoing rights, if Client elects (c)(iii) as a remedy in relation to a Supply Failure only, for each unit of Product that is not delivered in accordance with this Agreement on a Delivery Date, Patheon will [***]. Any [***] under this Agreement by Client to Patheon. A “</w:t>
      </w:r>
      <w:r>
        <w:rPr>
          <w:rFonts w:ascii="Arial" w:cs="Arial" w:eastAsia="Arial" w:hAnsi="Arial"/>
          <w:sz w:val="18"/>
          <w:szCs w:val="18"/>
          <w:b w:val="1"/>
          <w:bCs w:val="1"/>
          <w:color w:val="auto"/>
        </w:rPr>
        <w:t>Supply Failure</w:t>
      </w:r>
      <w:r>
        <w:rPr>
          <w:rFonts w:ascii="Arial" w:cs="Arial" w:eastAsia="Arial" w:hAnsi="Arial"/>
          <w:sz w:val="18"/>
          <w:szCs w:val="18"/>
          <w:color w:val="auto"/>
        </w:rPr>
        <w:t>” will mean any failure by Patheon to deliver to Client or its designee at least [***] of the quantity of Products under an accepted purchase order within [***] days of the scheduled Delivery Date if the failure is not the result of an Adverse Supply Event. A Supply Failure may result from both undelivered Product and delivered Product that is Deficient Product. [***] or more Supply Failures within any [***] month period will result in automatic suspension of the Minimum [***] Requirement until Patheon has performed [***] consecutive months without Supply Failure, after which the Minimum [***] Requirement will be reduced to [***]. The remedies contained in this Section 6.1(c) for a Supply Failure will be in addition to the rights of indemnification contained in Section 10.3 and any other rights and remedies available under this Agreement to Client.</w:t>
      </w:r>
    </w:p>
    <w:p>
      <w:pPr>
        <w:spacing w:after="0" w:line="203" w:lineRule="exact"/>
        <w:rPr>
          <w:rFonts w:ascii="Arial" w:cs="Arial" w:eastAsia="Arial" w:hAnsi="Arial"/>
          <w:sz w:val="18"/>
          <w:szCs w:val="18"/>
          <w:color w:val="auto"/>
        </w:rPr>
      </w:pPr>
    </w:p>
    <w:p>
      <w:pPr>
        <w:jc w:val="both"/>
        <w:ind w:left="980" w:hanging="405"/>
        <w:spacing w:after="0" w:line="237" w:lineRule="auto"/>
        <w:tabs>
          <w:tab w:leader="none" w:pos="104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Adverse Supply Events</w:t>
      </w:r>
      <w:r>
        <w:rPr>
          <w:rFonts w:ascii="Arial" w:cs="Arial" w:eastAsia="Arial" w:hAnsi="Arial"/>
          <w:sz w:val="18"/>
          <w:szCs w:val="18"/>
          <w:color w:val="auto"/>
        </w:rPr>
        <w:t>. If there is an Adverse Supply Event that Patheon does not remediate so that it can perform the Manufacturing Services in accordance with the Processing Instructions and manufacture Product in accordance with this Agreement within [***] days after the occurrence of the Adverse Supply Event, Client may in its sole discretion do one or more of the following: (i) [***], (ii) [***], or (iii) [***]. An “</w:t>
      </w:r>
      <w:r>
        <w:rPr>
          <w:rFonts w:ascii="Arial" w:cs="Arial" w:eastAsia="Arial" w:hAnsi="Arial"/>
          <w:sz w:val="18"/>
          <w:szCs w:val="18"/>
          <w:b w:val="1"/>
          <w:bCs w:val="1"/>
          <w:color w:val="auto"/>
        </w:rPr>
        <w:t>Adverse Supply Event</w:t>
      </w:r>
      <w:r>
        <w:rPr>
          <w:rFonts w:ascii="Arial" w:cs="Arial" w:eastAsia="Arial" w:hAnsi="Arial"/>
          <w:sz w:val="18"/>
          <w:szCs w:val="18"/>
          <w:color w:val="auto"/>
        </w:rPr>
        <w:t>” will mean one or more of the following: (i) [***], (ii) [***], (iii) [***], or (iv) [***]. The existence of an Adverse Supply Event will not exonerate or otherwise relieve Patheon of any liability for breach of any independent obligation contained in this Agreement or the Quality Agreement.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Product Recalls and Returns</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line="236" w:lineRule="auto"/>
        <w:tabs>
          <w:tab w:leader="none" w:pos="112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Records and Notice</w:t>
      </w:r>
      <w:r>
        <w:rPr>
          <w:rFonts w:ascii="Arial" w:cs="Arial" w:eastAsia="Arial" w:hAnsi="Arial"/>
          <w:sz w:val="18"/>
          <w:szCs w:val="18"/>
          <w:color w:val="auto"/>
        </w:rPr>
        <w:t>. The parties will each maintain records necessary to permit a Recall of any Product delivered to Client or customers of Client. Each party will promptly notify the other of any information which might affect the marketability, safety or effectiveness of the Product or which might result in the Recall or seizure of the Product in accordance with the Quality Agreement. The decision to initiate a Recall or to take some other corrective action, if any, will be made and implemented by Client. "</w:t>
      </w:r>
      <w:r>
        <w:rPr>
          <w:rFonts w:ascii="Arial" w:cs="Arial" w:eastAsia="Arial" w:hAnsi="Arial"/>
          <w:sz w:val="18"/>
          <w:szCs w:val="18"/>
          <w:b w:val="1"/>
          <w:bCs w:val="1"/>
          <w:color w:val="auto"/>
        </w:rPr>
        <w:t>Recall</w:t>
      </w:r>
      <w:r>
        <w:rPr>
          <w:rFonts w:ascii="Arial" w:cs="Arial" w:eastAsia="Arial" w:hAnsi="Arial"/>
          <w:sz w:val="18"/>
          <w:szCs w:val="18"/>
          <w:color w:val="auto"/>
        </w:rPr>
        <w:t>" will mean any action: (i) by Client to recover title to or possession of quantities of the Product sold or shipped to third parties (including, without limitation, the voluntary withdrawal of Product from the market); (ii) by any Regulatory Authority to detain or destroy any of the Product; or (iii) by either party to refrain from selling or shipping quantities of the Product to third parties which would be subject to a Recall if sold or shipped.</w:t>
      </w:r>
    </w:p>
    <w:p>
      <w:pPr>
        <w:spacing w:after="0" w:line="206" w:lineRule="exact"/>
        <w:rPr>
          <w:rFonts w:ascii="Arial" w:cs="Arial" w:eastAsia="Arial" w:hAnsi="Arial"/>
          <w:sz w:val="18"/>
          <w:szCs w:val="18"/>
          <w:color w:val="auto"/>
        </w:rPr>
      </w:pPr>
    </w:p>
    <w:p>
      <w:pPr>
        <w:jc w:val="both"/>
        <w:ind w:left="980" w:hanging="405"/>
        <w:spacing w:after="0" w:line="238" w:lineRule="auto"/>
        <w:tabs>
          <w:tab w:leader="none" w:pos="100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Recalls</w:t>
      </w:r>
      <w:r>
        <w:rPr>
          <w:rFonts w:ascii="Arial" w:cs="Arial" w:eastAsia="Arial" w:hAnsi="Arial"/>
          <w:sz w:val="18"/>
          <w:szCs w:val="18"/>
          <w:color w:val="auto"/>
        </w:rPr>
        <w:t>. If: (i) any Regulatory Authority issues a directive, order or, following the issuance of a safety warning or alert about a Product, a written request that any Product be Recalled; (ii) a court of competent jurisdiction orders a Recall; or (iii) Client determines that any Product should be Recalled or that a "</w:t>
      </w:r>
      <w:r>
        <w:rPr>
          <w:rFonts w:ascii="Arial" w:cs="Arial" w:eastAsia="Arial" w:hAnsi="Arial"/>
          <w:sz w:val="18"/>
          <w:szCs w:val="18"/>
          <w:b w:val="1"/>
          <w:bCs w:val="1"/>
          <w:color w:val="auto"/>
        </w:rPr>
        <w:t>Dear Doctor</w:t>
      </w:r>
      <w:r>
        <w:rPr>
          <w:rFonts w:ascii="Arial" w:cs="Arial" w:eastAsia="Arial" w:hAnsi="Arial"/>
          <w:sz w:val="18"/>
          <w:szCs w:val="18"/>
          <w:color w:val="auto"/>
        </w:rPr>
        <w:t>" letter is required relating the restrictions on the use of any Product, then Patheon will co-operate as reasonably required by Client, having regard to all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394970</wp:posOffset>
            </wp:positionV>
            <wp:extent cx="62922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18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14" w:name="page115"/>
    <w:bookmarkEnd w:id="114"/>
    <w:p>
      <w:pPr>
        <w:jc w:val="both"/>
        <w:ind w:left="980" w:hanging="405"/>
        <w:spacing w:after="0" w:line="237" w:lineRule="auto"/>
        <w:tabs>
          <w:tab w:leader="none" w:pos="106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Recalled Product</w:t>
      </w:r>
      <w:r>
        <w:rPr>
          <w:rFonts w:ascii="Arial" w:cs="Arial" w:eastAsia="Arial" w:hAnsi="Arial"/>
          <w:sz w:val="18"/>
          <w:szCs w:val="18"/>
          <w:color w:val="auto"/>
        </w:rPr>
        <w:t>. To the extent that a Recall results from, or arises from Deficient Product, Patheon will be responsible for the reasonable documented out-of-pocket costs and expenses of the Recall and will use commercially reasonable efforts to replace the Deficient Product with replacement Products or, at Client’s option, credit Client for future Product orders for the full amount paid by Client for the Deficient Product, including the shipping, storage and insurance expenses thereof. Client may adjust its Rolling Forecast as reasonably required by Client to account for the Recall and its impact on forecasted market demands. [***].</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auto"/>
        </w:rPr>
        <w:t>Disposition of Deficient Product</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rPr>
          <w:sz w:val="20"/>
          <w:szCs w:val="20"/>
          <w:color w:val="auto"/>
        </w:rPr>
      </w:pPr>
      <w:r>
        <w:rPr>
          <w:rFonts w:ascii="Arial" w:cs="Arial" w:eastAsia="Arial" w:hAnsi="Arial"/>
          <w:sz w:val="18"/>
          <w:szCs w:val="18"/>
          <w:color w:val="auto"/>
        </w:rPr>
        <w:t>Client will not dispose of any damaged, returned, or Deficient Product for which it intends to assert a Product Claim against Patheon without Patheon’s prior written authorization to do so. Patheon may instruct Client to return the Products to Patheon. Patheon will bear the cost of return and disposition of any Deficient Products.</w:t>
      </w:r>
    </w:p>
    <w:p>
      <w:pPr>
        <w:spacing w:after="0" w:line="171"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 and Regulatory Affairs</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Governance</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8" w:lineRule="auto"/>
        <w:rPr>
          <w:sz w:val="20"/>
          <w:szCs w:val="20"/>
          <w:color w:val="auto"/>
        </w:rPr>
      </w:pPr>
      <w:r>
        <w:rPr>
          <w:rFonts w:ascii="Arial" w:cs="Arial" w:eastAsia="Arial" w:hAnsi="Arial"/>
          <w:sz w:val="18"/>
          <w:szCs w:val="18"/>
          <w:color w:val="auto"/>
        </w:rPr>
        <w:t>Each party will without delay upon execution of this Agreement appoint one of its employees to be a relationship manager responsible for liaison between the parties. The relationship managers will meet on a frequency agreed between the parties to review the current status of the business relationship, including, but not limited to, review of key performance indicators such as API delivery, on-time delivery, right first time, and attainment of the Minimum [***] Requirement, and manage any issues that have arisen.</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Governmental Agencies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8" w:lineRule="auto"/>
        <w:rPr>
          <w:sz w:val="20"/>
          <w:szCs w:val="20"/>
          <w:color w:val="auto"/>
        </w:rPr>
      </w:pPr>
      <w:r>
        <w:rPr>
          <w:rFonts w:ascii="Arial" w:cs="Arial" w:eastAsia="Arial" w:hAnsi="Arial"/>
          <w:sz w:val="18"/>
          <w:szCs w:val="18"/>
          <w:color w:val="auto"/>
        </w:rPr>
        <w:t>Subject to any restrictions in the Quality Agreement, each party may communicate with any Regulatory Authority responsible for granting Regulatory Approval for the Product and any other relevant Authority regarding the Product if, in the opinion of that party's counsel, the communication is necessary to comply with the terms of this Agreement or the requirements of the Authority or Applicable Laws. Otherwise, the parties will consult each other in relation to regulatory communications relating to the Product in accordance with the Quality Agreement.</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auto"/>
        </w:rPr>
        <w:t>Governmental Inspections and Requests</w:t>
      </w:r>
      <w:r>
        <w:rPr>
          <w:rFonts w:ascii="Arial" w:cs="Arial" w:eastAsia="Arial" w:hAnsi="Arial"/>
          <w:sz w:val="17"/>
          <w:szCs w:val="17"/>
          <w:color w:val="auto"/>
        </w:rPr>
        <w:t>.</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Patheon will promptly advise Client if an authorized agent of any Regulatory Authority intends to inspect a Manufacturing Site related to the Manufacturing Services or the Product. Patheon will promptly furnish Client a copy of any report or notice issued by the Regulatory Authority (including, without limitation, any Form 483s or warning letters) (redacted to the extent containing information that is not relevant to the Manufacturing Services or the Product). To the extent the inspection is announced, Patheon will promptly inform the Client and permit the Client’s agents and representatives to be present at the Manufacturing Site on the date and time of the Regulatory Authority inspection. If any documents related to the Manufacturing Services or the Product are requested by, or delivered to, any Regulatory Authority, Patheon will promptly notify Client, give Client a reasonable opportunity to comment on Patheon’s proposed response, accommodate all Client’s reasonable comments, and provide to Client copies of all documents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19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15" w:name="page116"/>
    <w:bookmarkEnd w:id="115"/>
    <w:p>
      <w:pPr>
        <w:jc w:val="both"/>
        <w:spacing w:after="0" w:line="246" w:lineRule="auto"/>
        <w:rPr>
          <w:sz w:val="20"/>
          <w:szCs w:val="20"/>
          <w:color w:val="auto"/>
        </w:rPr>
      </w:pPr>
      <w:r>
        <w:rPr>
          <w:rFonts w:ascii="Arial" w:cs="Arial" w:eastAsia="Arial" w:hAnsi="Arial"/>
          <w:sz w:val="18"/>
          <w:szCs w:val="18"/>
          <w:color w:val="auto"/>
        </w:rPr>
        <w:t>to the Regulatory Authority (redacted to the extent containing information that is not relevant to the Manufacturing Services or the Product).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Records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7" w:lineRule="auto"/>
        <w:rPr>
          <w:sz w:val="20"/>
          <w:szCs w:val="20"/>
          <w:color w:val="auto"/>
        </w:rPr>
      </w:pPr>
      <w:r>
        <w:rPr>
          <w:rFonts w:ascii="Arial" w:cs="Arial" w:eastAsia="Arial" w:hAnsi="Arial"/>
          <w:sz w:val="18"/>
          <w:szCs w:val="18"/>
          <w:color w:val="auto"/>
        </w:rPr>
        <w:t>Patheon will keep complete and accurate books, records, test and laboratory data, reports and other information relating to the manufacture, testing, and shipping of the Product (including, without limitation, all manufacturing and packaging batch records), and retain samples of the Product as are necessary to comply with manufacturing regulatory requirements applicable to Patheon, Applicable Laws, cGMP and the Quality Agreement. Copies of the records and samples will be retained as and for the period specified in the Quality Agreement. Patheon reserves the right to destroy or return to Client, at Client’s sole expense, any document or samples for which the retention period has expired if Client fails to arrange for destruction or return within 30 days of receipt of notice from Patheon.</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u w:val="single" w:color="auto"/>
          <w:color w:val="auto"/>
        </w:rPr>
        <w:t>Audits</w:t>
      </w:r>
      <w:r>
        <w:rPr>
          <w:rFonts w:ascii="Arial" w:cs="Arial" w:eastAsia="Arial" w:hAnsi="Arial"/>
          <w:sz w:val="17"/>
          <w:szCs w:val="17"/>
          <w:color w:val="auto"/>
        </w:rPr>
        <w:t>.</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Subject to the limits agreed in the Quality Agreement but in any event [***] ([***]) in any trailing [***]-month period and more frequently if there are material quality or compliance issues concerning the Manufacturing Services or the Products, Patheon will give Client and its Licensees reasonable access at agreed times to the areas of the Manufacturing Site in which the Product is manufactured, stored, handled, or shipped and to the personnel that regularly performs these activities to permit Client to verify that the Manufacturing Services are being performed in accordance with the Processing Instructions, the Specifications, cGMPs, and Applicable Laws. If Client wishes to audit Patheon beyond the agreed limits, except where the audit is required due to Patheon’s material breach or otherwise for cause, Client will pay to Patheon a fee of $[***] for each additional audit day and $ [***] per audit day for each additional auditor. Under no circumstances will: (a) Client have a right of access to Patheon’s financial records; or (b) any Patheon Competitor be permitted access to the Manufacturing Site. Patheon will ensure that all its Third Party Subcontractors permit Client and its Licensees similar audit rights to those set forth in this Section 7.5.</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Regulatory Filings</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line="237" w:lineRule="auto"/>
        <w:tabs>
          <w:tab w:leader="none" w:pos="101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Regulatory Authority Documentation</w:t>
      </w:r>
      <w:r>
        <w:rPr>
          <w:rFonts w:ascii="Arial" w:cs="Arial" w:eastAsia="Arial" w:hAnsi="Arial"/>
          <w:sz w:val="18"/>
          <w:szCs w:val="18"/>
          <w:color w:val="auto"/>
        </w:rPr>
        <w:t>. Client will provide copies of all relevant documents relating to Regulatory Authority approval for the commercial manufacture of the Product (“</w:t>
      </w:r>
      <w:r>
        <w:rPr>
          <w:rFonts w:ascii="Arial" w:cs="Arial" w:eastAsia="Arial" w:hAnsi="Arial"/>
          <w:sz w:val="18"/>
          <w:szCs w:val="18"/>
          <w:b w:val="1"/>
          <w:bCs w:val="1"/>
          <w:color w:val="auto"/>
        </w:rPr>
        <w:t>Regulatory Approval</w:t>
      </w:r>
      <w:r>
        <w:rPr>
          <w:rFonts w:ascii="Arial" w:cs="Arial" w:eastAsia="Arial" w:hAnsi="Arial"/>
          <w:sz w:val="18"/>
          <w:szCs w:val="18"/>
          <w:color w:val="auto"/>
        </w:rPr>
        <w:t>”) to Patheon on request and as required under the Quality Agreement. Patheon will review and verify the accuracy of these documents in accordance with the Quality Agreement. Client is not entitled to submit Regulatory Approvals specifically referring to Patheon or its Affiliates or the Manufacturing Services until approved by Patheon (this approval not to be unreasonably withheld or delayed).</w:t>
      </w:r>
    </w:p>
    <w:p>
      <w:pPr>
        <w:spacing w:after="0" w:line="204" w:lineRule="exact"/>
        <w:rPr>
          <w:rFonts w:ascii="Arial" w:cs="Arial" w:eastAsia="Arial" w:hAnsi="Arial"/>
          <w:sz w:val="18"/>
          <w:szCs w:val="18"/>
          <w:color w:val="auto"/>
        </w:rPr>
      </w:pPr>
    </w:p>
    <w:p>
      <w:pPr>
        <w:jc w:val="both"/>
        <w:ind w:left="980" w:hanging="405"/>
        <w:spacing w:after="0" w:line="237" w:lineRule="auto"/>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Deficiencies</w:t>
      </w:r>
      <w:r>
        <w:rPr>
          <w:rFonts w:ascii="Arial" w:cs="Arial" w:eastAsia="Arial" w:hAnsi="Arial"/>
          <w:sz w:val="18"/>
          <w:szCs w:val="18"/>
          <w:color w:val="auto"/>
        </w:rPr>
        <w:t>. If, in Patheon’s sole discretion, acting reasonably, Patheon determines that any regulatory information pertaining to the Manufacturing Services or the Manufacturing Site given by Client is inaccurate or deficient in any manner whatsoever (the "</w:t>
      </w:r>
      <w:r>
        <w:rPr>
          <w:rFonts w:ascii="Arial" w:cs="Arial" w:eastAsia="Arial" w:hAnsi="Arial"/>
          <w:sz w:val="18"/>
          <w:szCs w:val="18"/>
          <w:b w:val="1"/>
          <w:bCs w:val="1"/>
          <w:color w:val="auto"/>
        </w:rPr>
        <w:t>Deficiencies</w:t>
      </w:r>
      <w:r>
        <w:rPr>
          <w:rFonts w:ascii="Arial" w:cs="Arial" w:eastAsia="Arial" w:hAnsi="Arial"/>
          <w:sz w:val="18"/>
          <w:szCs w:val="18"/>
          <w:color w:val="auto"/>
        </w:rPr>
        <w:t>"), Patheon will notify Client promptly in writing of the Deficiencies. The parties will each use reasonable commercial efforts and act in good faith to have the Deficiencies resolved prior to the date of filing of the relevant application and in any event before any pre-approval inspection or before the Product is placed on the market if a pre-approval inspection is not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396240</wp:posOffset>
            </wp:positionV>
            <wp:extent cx="62922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20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16" w:name="page117"/>
    <w:bookmarkEnd w:id="116"/>
    <w:p>
      <w:pPr>
        <w:jc w:val="both"/>
        <w:ind w:left="980" w:hanging="405"/>
        <w:spacing w:after="0" w:line="238" w:lineRule="auto"/>
        <w:tabs>
          <w:tab w:leader="none" w:pos="1089"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Pharmacovigilance</w:t>
      </w:r>
      <w:r>
        <w:rPr>
          <w:rFonts w:ascii="Arial" w:cs="Arial" w:eastAsia="Arial" w:hAnsi="Arial"/>
          <w:sz w:val="18"/>
          <w:szCs w:val="18"/>
          <w:color w:val="auto"/>
        </w:rPr>
        <w:t>. Patheon and Client will use reasonable commercial efforts to negotiate in good faith a process and procedure for sharing adverse event information received by Patheon. Patheon will provide Client with any information received by it regarding any adverse events in connection to the use of the Product within two Business Days from receipt.</w:t>
      </w:r>
    </w:p>
    <w:p>
      <w:pPr>
        <w:spacing w:after="0" w:line="204" w:lineRule="exact"/>
        <w:rPr>
          <w:rFonts w:ascii="Arial" w:cs="Arial" w:eastAsia="Arial" w:hAnsi="Arial"/>
          <w:sz w:val="18"/>
          <w:szCs w:val="18"/>
          <w:color w:val="auto"/>
        </w:rPr>
      </w:pPr>
    </w:p>
    <w:p>
      <w:pPr>
        <w:jc w:val="both"/>
        <w:ind w:left="980" w:hanging="405"/>
        <w:spacing w:after="0" w:line="235" w:lineRule="auto"/>
        <w:tabs>
          <w:tab w:leader="none" w:pos="1167"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Patheon Responsibility</w:t>
      </w:r>
      <w:r>
        <w:rPr>
          <w:rFonts w:ascii="Arial" w:cs="Arial" w:eastAsia="Arial" w:hAnsi="Arial"/>
          <w:sz w:val="18"/>
          <w:szCs w:val="18"/>
          <w:color w:val="auto"/>
        </w:rPr>
        <w:t>. Patheon will provide to Client, its Affiliates and Licensees with reasonable assistance as Client may request in order to assist with obtaining Regulatory Approval for Products, subject to reimbursement of Patheon’s reasonable expenses or third party expenses incurred in connection therewith. Except as otherwise agreed in the Quality Agreement or the Pharmacovigilance Agreement, Patheon will not assume any responsibility for: (a) the submission, accuracy or cost of any application for Regulatory Approval or related documentation (or the success of those applications); (b) any activity that is required by Applicable Laws for Regulatory Approval (including pharmacovigilance and complaints handling, and preparation and submission of any regular quality or other update); or (c) any dealings with the relevant Regulatory Authority on behalf of Client for Regulatory Approval. If a Regulatory Authority, or other Authority, requires Patheon to incur fees, costs or activities in relation to the Product which Patheon reasonably considers unexpected and extraordinary, then Patheon will notify Client in writing and the parties will discuss in good faith appropriate mutually acceptable actions, including fee/cost sharing, or termination of all or any part of this Agreement. Patheon will be not be obliged to undertake these activities or to pay for the fees or costs until the parties reach agreement on scope and fees for Patheon’s assistance.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u w:val="single" w:color="auto"/>
          <w:color w:val="auto"/>
        </w:rPr>
        <w:t>Release</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46" w:lineRule="auto"/>
        <w:rPr>
          <w:sz w:val="20"/>
          <w:szCs w:val="20"/>
          <w:color w:val="auto"/>
        </w:rPr>
      </w:pPr>
      <w:r>
        <w:rPr>
          <w:rFonts w:ascii="Arial" w:cs="Arial" w:eastAsia="Arial" w:hAnsi="Arial"/>
          <w:sz w:val="18"/>
          <w:szCs w:val="18"/>
          <w:color w:val="auto"/>
        </w:rPr>
        <w:t>Nothing in this Agreement will remove or limit the authority of the relevant quality function (as specified by the Quality Agreement) to determine whether the Product will be released for sale or distribution.</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u w:val="single" w:color="auto"/>
          <w:color w:val="auto"/>
        </w:rPr>
        <w:t>Withdrawal on Completion</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7" w:lineRule="auto"/>
        <w:rPr>
          <w:sz w:val="20"/>
          <w:szCs w:val="20"/>
          <w:color w:val="auto"/>
        </w:rPr>
      </w:pPr>
      <w:r>
        <w:rPr>
          <w:rFonts w:ascii="Arial" w:cs="Arial" w:eastAsia="Arial" w:hAnsi="Arial"/>
          <w:sz w:val="18"/>
          <w:szCs w:val="18"/>
          <w:color w:val="auto"/>
        </w:rPr>
        <w:t>No later than 90 days following completion or permanent cessation of the Manufacturing Services at the applicable Manufacturing Site, Client will: (a) ensure that any regulatory filings relating to the Product are withdrawn or amended to remove all references to the Manufacturing Site and, as applicable, Patheon or its Affiliates and their facilities (except in an historic context); and (b) provide to Patheon written confirmation of its compliance with this Section 7.8. If this time is not sufficient to meet the requirements of certain Regulatory Authorities, despite Client’s commercially reasonable efforts, then Patheon agrees to extend the period based on the written reassurances of Client.</w:t>
      </w:r>
    </w:p>
    <w:p>
      <w:pPr>
        <w:spacing w:after="0" w:line="173"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Initial Term</w:t>
      </w:r>
      <w:r>
        <w:rPr>
          <w:rFonts w:ascii="Arial" w:cs="Arial" w:eastAsia="Arial" w:hAnsi="Arial"/>
          <w:sz w:val="17"/>
          <w:szCs w:val="17"/>
          <w:color w:val="auto"/>
        </w:rPr>
        <w:t>.</w:t>
      </w:r>
    </w:p>
    <w:p>
      <w:pPr>
        <w:spacing w:after="0" w:line="212" w:lineRule="exact"/>
        <w:rPr>
          <w:sz w:val="20"/>
          <w:szCs w:val="20"/>
          <w:color w:val="auto"/>
        </w:rPr>
      </w:pPr>
    </w:p>
    <w:p>
      <w:pPr>
        <w:jc w:val="both"/>
        <w:ind w:left="580"/>
        <w:spacing w:after="0" w:line="238" w:lineRule="auto"/>
        <w:rPr>
          <w:sz w:val="20"/>
          <w:szCs w:val="20"/>
          <w:color w:val="auto"/>
        </w:rPr>
      </w:pPr>
      <w:r>
        <w:rPr>
          <w:rFonts w:ascii="Arial" w:cs="Arial" w:eastAsia="Arial" w:hAnsi="Arial"/>
          <w:sz w:val="18"/>
          <w:szCs w:val="18"/>
          <w:color w:val="auto"/>
        </w:rPr>
        <w:t>This Agreement will become effective as of the Effective Date and will continue until December 31 of the sixth Year after the first commercial sale of Product by Client or any of its Affiliates, partners or Licensees (the "</w:t>
      </w:r>
      <w:r>
        <w:rPr>
          <w:rFonts w:ascii="Arial" w:cs="Arial" w:eastAsia="Arial" w:hAnsi="Arial"/>
          <w:sz w:val="18"/>
          <w:szCs w:val="18"/>
          <w:b w:val="1"/>
          <w:bCs w:val="1"/>
          <w:color w:val="auto"/>
        </w:rPr>
        <w:t>Initial Term</w:t>
      </w:r>
      <w:r>
        <w:rPr>
          <w:rFonts w:ascii="Arial" w:cs="Arial" w:eastAsia="Arial" w:hAnsi="Arial"/>
          <w:sz w:val="18"/>
          <w:szCs w:val="18"/>
          <w:color w:val="auto"/>
        </w:rPr>
        <w:t>"), unless terminated earlier by one of the parties in accordance with this Agreement. Thereafter, this Agreement will automatically renew after the Initial Term for successive terms of [***] unless either party gives written notice to the other party of its intention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463550</wp:posOffset>
            </wp:positionV>
            <wp:extent cx="62922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21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17" w:name="page118"/>
    <w:bookmarkEnd w:id="117"/>
    <w:p>
      <w:pPr>
        <w:ind w:left="580"/>
        <w:spacing w:after="0"/>
        <w:rPr>
          <w:sz w:val="20"/>
          <w:szCs w:val="20"/>
          <w:color w:val="auto"/>
        </w:rPr>
      </w:pPr>
      <w:r>
        <w:rPr>
          <w:rFonts w:ascii="Arial" w:cs="Arial" w:eastAsia="Arial" w:hAnsi="Arial"/>
          <w:sz w:val="18"/>
          <w:szCs w:val="18"/>
          <w:color w:val="auto"/>
        </w:rPr>
        <w:t>terminate this Agreement at least [***] months prior to the end of the then current term of this Agreement.</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Termination for Cause</w:t>
      </w:r>
      <w:r>
        <w:rPr>
          <w:rFonts w:ascii="Arial" w:cs="Arial" w:eastAsia="Arial" w:hAnsi="Arial"/>
          <w:sz w:val="17"/>
          <w:szCs w:val="17"/>
          <w:color w:val="auto"/>
        </w:rPr>
        <w:t>.</w:t>
      </w:r>
    </w:p>
    <w:p>
      <w:pPr>
        <w:spacing w:after="0" w:line="190" w:lineRule="exact"/>
        <w:rPr>
          <w:sz w:val="20"/>
          <w:szCs w:val="20"/>
          <w:color w:val="auto"/>
        </w:rPr>
      </w:pPr>
    </w:p>
    <w:p>
      <w:pPr>
        <w:jc w:val="both"/>
        <w:ind w:left="980" w:hanging="405"/>
        <w:spacing w:after="0" w:line="239" w:lineRule="auto"/>
        <w:tabs>
          <w:tab w:leader="none" w:pos="107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Either party may terminate this Agreement upon written notice (a “</w:t>
      </w:r>
      <w:r>
        <w:rPr>
          <w:rFonts w:ascii="Arial" w:cs="Arial" w:eastAsia="Arial" w:hAnsi="Arial"/>
          <w:sz w:val="18"/>
          <w:szCs w:val="18"/>
          <w:b w:val="1"/>
          <w:bCs w:val="1"/>
          <w:color w:val="auto"/>
        </w:rPr>
        <w:t>Notice of Termination</w:t>
      </w:r>
      <w:r>
        <w:rPr>
          <w:rFonts w:ascii="Arial" w:cs="Arial" w:eastAsia="Arial" w:hAnsi="Arial"/>
          <w:sz w:val="18"/>
          <w:szCs w:val="18"/>
          <w:color w:val="auto"/>
        </w:rPr>
        <w:t>”) where the other party has failed to remedy a material breach of this Agreement within 60 days (the "</w:t>
      </w:r>
      <w:r>
        <w:rPr>
          <w:rFonts w:ascii="Arial" w:cs="Arial" w:eastAsia="Arial" w:hAnsi="Arial"/>
          <w:sz w:val="18"/>
          <w:szCs w:val="18"/>
          <w:b w:val="1"/>
          <w:bCs w:val="1"/>
          <w:color w:val="auto"/>
        </w:rPr>
        <w:t>Remediation Period</w:t>
      </w:r>
      <w:r>
        <w:rPr>
          <w:rFonts w:ascii="Arial" w:cs="Arial" w:eastAsia="Arial" w:hAnsi="Arial"/>
          <w:sz w:val="18"/>
          <w:szCs w:val="18"/>
          <w:color w:val="auto"/>
        </w:rPr>
        <w:t>") following receipt of a written notice of the breach from the aggrieved party that expressly states that it is a ‘notice of breach’ under this Section 8.2(a) (a "</w:t>
      </w:r>
      <w:r>
        <w:rPr>
          <w:rFonts w:ascii="Arial" w:cs="Arial" w:eastAsia="Arial" w:hAnsi="Arial"/>
          <w:sz w:val="18"/>
          <w:szCs w:val="18"/>
          <w:b w:val="1"/>
          <w:bCs w:val="1"/>
          <w:color w:val="auto"/>
        </w:rPr>
        <w:t>Breach Notice</w:t>
      </w:r>
      <w:r>
        <w:rPr>
          <w:rFonts w:ascii="Arial" w:cs="Arial" w:eastAsia="Arial" w:hAnsi="Arial"/>
          <w:sz w:val="18"/>
          <w:szCs w:val="18"/>
          <w:color w:val="auto"/>
        </w:rPr>
        <w:t>"). Each party will ensure that any Breach Notice delivery by it to the other party will not contain any reference to a Notice of Termination or otherwise express any intent to terminate this Agreement whether in the Breach Notice or otherwise until that party may properly submit a Notice of Termination in accordance with this Section 8.2(a). The aggrieved party's right to terminate this Agreement under this Section 8.2(a) may only be exercised for 60 days following the expiry of the Remediation Period (where the breach has not been remedied) and if the termination right is not exercised during this period then the aggrieved party will be considered to have waived the breach described in the Breach Notice.</w:t>
      </w:r>
    </w:p>
    <w:p>
      <w:pPr>
        <w:spacing w:after="0" w:line="201" w:lineRule="exact"/>
        <w:rPr>
          <w:rFonts w:ascii="Arial" w:cs="Arial" w:eastAsia="Arial" w:hAnsi="Arial"/>
          <w:sz w:val="18"/>
          <w:szCs w:val="18"/>
          <w:color w:val="auto"/>
        </w:rPr>
      </w:pPr>
    </w:p>
    <w:p>
      <w:pPr>
        <w:ind w:left="980" w:hanging="405"/>
        <w:spacing w:after="0" w:line="246" w:lineRule="auto"/>
        <w:tabs>
          <w:tab w:leader="none" w:pos="108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Client may terminate this Agreement upon 30 days' prior written notice if any Authority takes any action, or raises any objection, that permanently prevents Client from selling the Product in the Territory.</w:t>
      </w:r>
    </w:p>
    <w:p>
      <w:pPr>
        <w:spacing w:after="0" w:line="196" w:lineRule="exact"/>
        <w:rPr>
          <w:rFonts w:ascii="Arial" w:cs="Arial" w:eastAsia="Arial" w:hAnsi="Arial"/>
          <w:sz w:val="18"/>
          <w:szCs w:val="18"/>
          <w:color w:val="auto"/>
        </w:rPr>
      </w:pPr>
    </w:p>
    <w:p>
      <w:pPr>
        <w:ind w:left="980" w:hanging="405"/>
        <w:spacing w:after="0" w:line="246" w:lineRule="auto"/>
        <w:tabs>
          <w:tab w:leader="none" w:pos="114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Client may terminate this Agreement upon 180 days’ prior written notice if it intends to no longer order Manufacturing Services for a Product due to the Product's discontinuance in the Territory.</w:t>
      </w:r>
    </w:p>
    <w:p>
      <w:pPr>
        <w:spacing w:after="0" w:line="196" w:lineRule="exact"/>
        <w:rPr>
          <w:rFonts w:ascii="Arial" w:cs="Arial" w:eastAsia="Arial" w:hAnsi="Arial"/>
          <w:sz w:val="18"/>
          <w:szCs w:val="18"/>
          <w:color w:val="auto"/>
        </w:rPr>
      </w:pPr>
    </w:p>
    <w:p>
      <w:pPr>
        <w:ind w:left="980" w:hanging="405"/>
        <w:spacing w:after="0" w:line="246" w:lineRule="auto"/>
        <w:tabs>
          <w:tab w:leader="none" w:pos="9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Client may terminate this Agreement upon 90 days’ prior written notice if there have been more than [***] Supply Failures in any trailing [***] month period or more than [***] Supply Failures in any trailing [***] month;</w:t>
      </w:r>
    </w:p>
    <w:p>
      <w:pPr>
        <w:spacing w:after="0" w:line="196" w:lineRule="exact"/>
        <w:rPr>
          <w:rFonts w:ascii="Arial" w:cs="Arial" w:eastAsia="Arial" w:hAnsi="Arial"/>
          <w:sz w:val="18"/>
          <w:szCs w:val="18"/>
          <w:color w:val="auto"/>
        </w:rPr>
      </w:pPr>
    </w:p>
    <w:p>
      <w:pPr>
        <w:jc w:val="both"/>
        <w:ind w:left="980" w:hanging="405"/>
        <w:spacing w:after="0" w:line="238" w:lineRule="auto"/>
        <w:tabs>
          <w:tab w:leader="none" w:pos="105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Client may terminate this Agreement if Patheon is unable to comply with a Product Change Control Request within 90 days of receipt thereof or if a Regulatory Authority notifies Patheon or Client that there is a significant regulatory deficiency related to the performance of the Manufacturing Services at the Manufacturing Site and the deficiency is not remedied to the satisfaction of the Regulatory Authority within 90 days of the notice;</w:t>
      </w:r>
    </w:p>
    <w:p>
      <w:pPr>
        <w:spacing w:after="0" w:line="204" w:lineRule="exact"/>
        <w:rPr>
          <w:rFonts w:ascii="Arial" w:cs="Arial" w:eastAsia="Arial" w:hAnsi="Arial"/>
          <w:sz w:val="18"/>
          <w:szCs w:val="18"/>
          <w:color w:val="auto"/>
        </w:rPr>
      </w:pPr>
    </w:p>
    <w:p>
      <w:pPr>
        <w:ind w:left="980" w:hanging="405"/>
        <w:spacing w:after="0" w:line="246" w:lineRule="auto"/>
        <w:tabs>
          <w:tab w:leader="none" w:pos="102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Patheon may terminate this Agreement if payment in full of overdue, undisputed invoices is not received within 30 days following the date of suspension of Manufacturing Services by Patheon under Section 5.4.</w:t>
      </w:r>
    </w:p>
    <w:p>
      <w:pPr>
        <w:spacing w:after="0" w:line="196" w:lineRule="exact"/>
        <w:rPr>
          <w:rFonts w:ascii="Arial" w:cs="Arial" w:eastAsia="Arial" w:hAnsi="Arial"/>
          <w:sz w:val="18"/>
          <w:szCs w:val="18"/>
          <w:color w:val="auto"/>
        </w:rPr>
      </w:pPr>
    </w:p>
    <w:p>
      <w:pPr>
        <w:ind w:left="980" w:hanging="405"/>
        <w:spacing w:after="0" w:line="246" w:lineRule="auto"/>
        <w:tabs>
          <w:tab w:leader="none" w:pos="9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Patheon may terminate this Agreement upon six months' prior written notice if Client assigns under Section 13.4 any of its rights under this Agreement to an assignee that is a Patheon Competitor;</w:t>
      </w:r>
    </w:p>
    <w:p>
      <w:pPr>
        <w:spacing w:after="0" w:line="196" w:lineRule="exact"/>
        <w:rPr>
          <w:rFonts w:ascii="Arial" w:cs="Arial" w:eastAsia="Arial" w:hAnsi="Arial"/>
          <w:sz w:val="18"/>
          <w:szCs w:val="18"/>
          <w:color w:val="auto"/>
        </w:rPr>
      </w:pPr>
    </w:p>
    <w:p>
      <w:pPr>
        <w:ind w:left="980" w:hanging="405"/>
        <w:spacing w:after="0" w:line="246" w:lineRule="auto"/>
        <w:tabs>
          <w:tab w:leader="none" w:pos="107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party may terminate this Agreement under Section 13.5 (Force Majeure) in accordance with the terms thereof.</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Obligations on Termination</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this Agreement is completed, expires, or is terminated in whole or in part for any reason,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22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18" w:name="page119"/>
    <w:bookmarkEnd w:id="118"/>
    <w:p>
      <w:pPr>
        <w:ind w:left="980" w:hanging="405"/>
        <w:spacing w:after="0" w:line="246" w:lineRule="auto"/>
        <w:tabs>
          <w:tab w:leader="none" w:pos="101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either Party terminates under Section 8.2, Client’s Minimum [***] Requirement will expire upon delivery of the termination notice and Client will have no obligation to [***];</w:t>
      </w:r>
    </w:p>
    <w:p>
      <w:pPr>
        <w:spacing w:after="0" w:line="196" w:lineRule="exact"/>
        <w:rPr>
          <w:rFonts w:ascii="Arial" w:cs="Arial" w:eastAsia="Arial" w:hAnsi="Arial"/>
          <w:sz w:val="18"/>
          <w:szCs w:val="18"/>
          <w:color w:val="auto"/>
        </w:rPr>
      </w:pPr>
    </w:p>
    <w:p>
      <w:pPr>
        <w:jc w:val="both"/>
        <w:ind w:left="980" w:hanging="405"/>
        <w:spacing w:after="0"/>
        <w:tabs>
          <w:tab w:leader="none" w:pos="117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Client will take delivery of and pay for all undelivered Products that are manufactured or packaged in accordance with this Agreement under a Firm Order, at the Price in effect at the time the Firm Order was released;</w:t>
      </w:r>
    </w:p>
    <w:p>
      <w:pPr>
        <w:spacing w:after="0" w:line="202" w:lineRule="exact"/>
        <w:rPr>
          <w:rFonts w:ascii="Arial" w:cs="Arial" w:eastAsia="Arial" w:hAnsi="Arial"/>
          <w:sz w:val="18"/>
          <w:szCs w:val="18"/>
          <w:color w:val="auto"/>
        </w:rPr>
      </w:pPr>
    </w:p>
    <w:p>
      <w:pPr>
        <w:jc w:val="both"/>
        <w:ind w:left="980" w:hanging="405"/>
        <w:spacing w:after="0" w:line="238" w:lineRule="auto"/>
        <w:tabs>
          <w:tab w:leader="none" w:pos="103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Client will purchase all Inventory that was purchased (or will be purchased under existing unfulfilled orders for Components), maintained or produced by Patheon in contemplation of filling Firm Orders or in accordance with Section 5.2, at Patheon's cost (including all documented costs incurred by Patheon for the purchase of the Inventory);</w:t>
      </w:r>
    </w:p>
    <w:p>
      <w:pPr>
        <w:spacing w:after="0" w:line="204" w:lineRule="exact"/>
        <w:rPr>
          <w:rFonts w:ascii="Arial" w:cs="Arial" w:eastAsia="Arial" w:hAnsi="Arial"/>
          <w:sz w:val="18"/>
          <w:szCs w:val="18"/>
          <w:color w:val="auto"/>
        </w:rPr>
      </w:pPr>
    </w:p>
    <w:p>
      <w:pPr>
        <w:jc w:val="both"/>
        <w:ind w:left="980" w:hanging="405"/>
        <w:spacing w:after="0" w:line="235" w:lineRule="auto"/>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Client, at its own expense, will remove from the Manufacturing Site, within [***] days following the completion, termination, or expiration of this Agreement, all unused API and Client-Supplied Components, all applicable Inventory (whether current or obsolete), supplies, undelivered Product, chattels, equipment or other moveable property owned by Client and located at the Manufacturing Site or that is otherwise under Patheon’s care and control (“</w:t>
      </w:r>
      <w:r>
        <w:rPr>
          <w:rFonts w:ascii="Arial" w:cs="Arial" w:eastAsia="Arial" w:hAnsi="Arial"/>
          <w:sz w:val="18"/>
          <w:szCs w:val="18"/>
          <w:b w:val="1"/>
          <w:bCs w:val="1"/>
          <w:color w:val="auto"/>
        </w:rPr>
        <w:t>Client Property</w:t>
      </w:r>
      <w:r>
        <w:rPr>
          <w:rFonts w:ascii="Arial" w:cs="Arial" w:eastAsia="Arial" w:hAnsi="Arial"/>
          <w:sz w:val="18"/>
          <w:szCs w:val="18"/>
          <w:color w:val="auto"/>
        </w:rPr>
        <w:t>”). If Client fails to remove Client Property within the [***] day period, Client will pay Patheon $[***] per pallet, per month, one pallet minimum (except that Client will pay $[***] per pallet, per month, one pallet minimum, for any of Client Property that contains controlled substances, requires refrigeration or other special storage requirements) after that for storing Client Property and will assume any third party storage charges invoiced to Patheon regarding Client Property (which Patheon may incur at its discretion). Patheon may ship Client Property to Client or to an external warehouse at Client’s risk and expense. Patheon will invoice Client for these storage charges as set out in Section 5.3 of this Agreement. If Client fails to remove Client Property within [***] days following the completion, termination, or expiration of this Agreement, Client will assume all risk of loss or damage to the stored Client Property and it will be Client’s responsibility to have appropriate insurance coverage in place for this risk. If Client asks Patheon to destroy any Client Property, Client will be responsible for the cost of destruction; and</w:t>
      </w:r>
    </w:p>
    <w:p>
      <w:pPr>
        <w:spacing w:after="0" w:line="213" w:lineRule="exact"/>
        <w:rPr>
          <w:rFonts w:ascii="Arial" w:cs="Arial" w:eastAsia="Arial" w:hAnsi="Arial"/>
          <w:sz w:val="18"/>
          <w:szCs w:val="18"/>
          <w:color w:val="auto"/>
        </w:rPr>
      </w:pPr>
    </w:p>
    <w:p>
      <w:pPr>
        <w:jc w:val="both"/>
        <w:ind w:left="980" w:hanging="405"/>
        <w:spacing w:after="0" w:line="236" w:lineRule="auto"/>
        <w:tabs>
          <w:tab w:leader="none" w:pos="105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completion, termination or expiration of this Agreement will not affect any prior outstanding obligations or payments due nor will it prejudice any other rights or remedies that the parties may have under this Agreement. Completion, termination or expiration of this for any reason will not affect the obligations and responsibilities of the parties under Sections 6, 7, 8.3, 9.3, 9.5 and 10 through 13, all of which survive any completion, termination or expiration, as well as any other provisions that are by implication or otherwise intended to survive any completion, termination or expiration. Where Patheon has agreed to provide stability services beyond the final supply of Product, the relevant provisions of this Agreement related to stability services will survive for the agreed duration of those stability services.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Technology Transfer</w:t>
      </w:r>
      <w:r>
        <w:rPr>
          <w:rFonts w:ascii="Arial" w:cs="Arial" w:eastAsia="Arial" w:hAnsi="Arial"/>
          <w:sz w:val="17"/>
          <w:szCs w:val="17"/>
          <w:color w:val="auto"/>
        </w:rPr>
        <w:t>.</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Following termination of this Agreement for any reason, or at Client’s request at any time with six months’ advance notice, Patheon will provide assistance to transfer part or all of Client’s manufacturing process, know-how and analytical testing methodology for the Product to Client or its alternative manufacturer (“</w:t>
      </w:r>
      <w:r>
        <w:rPr>
          <w:rFonts w:ascii="Arial" w:cs="Arial" w:eastAsia="Arial" w:hAnsi="Arial"/>
          <w:sz w:val="18"/>
          <w:szCs w:val="18"/>
          <w:b w:val="1"/>
          <w:bCs w:val="1"/>
          <w:color w:val="auto"/>
        </w:rPr>
        <w:t>Technology Transfer</w:t>
      </w:r>
      <w:r>
        <w:rPr>
          <w:rFonts w:ascii="Arial" w:cs="Arial" w:eastAsia="Arial" w:hAnsi="Arial"/>
          <w:sz w:val="18"/>
          <w:szCs w:val="18"/>
          <w:color w:val="auto"/>
        </w:rPr>
        <w:t>”) to assist Client or its alternative manufacturer to manufacture the Product. Patheon will also disclose to Client and thoroughly document any Patheon Intellectual Property that is reasonably required to manufacture the Product. Client will be responsible for all reasonable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23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19" w:name="page120"/>
    <w:bookmarkEnd w:id="119"/>
    <w:p>
      <w:pPr>
        <w:jc w:val="both"/>
        <w:spacing w:after="0"/>
        <w:rPr>
          <w:sz w:val="20"/>
          <w:szCs w:val="20"/>
          <w:color w:val="auto"/>
        </w:rPr>
      </w:pPr>
      <w:r>
        <w:rPr>
          <w:rFonts w:ascii="Arial" w:cs="Arial" w:eastAsia="Arial" w:hAnsi="Arial"/>
          <w:sz w:val="18"/>
          <w:szCs w:val="18"/>
          <w:color w:val="auto"/>
        </w:rPr>
        <w:t>documented out-of-pocket costs incurred by Patheon in connection to the Technology Transfer. Patheon may charge Client at an hourly rate of $[***] or as otherwise agreed to by the parties for its reasonable and documented labor costs incurred in connection to the Technology Transfer.</w:t>
      </w:r>
    </w:p>
    <w:p>
      <w:pPr>
        <w:spacing w:after="0" w:line="171"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Warranties and Covenants</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Authority</w:t>
      </w:r>
      <w:r>
        <w:rPr>
          <w:rFonts w:ascii="Arial" w:cs="Arial" w:eastAsia="Arial" w:hAnsi="Arial"/>
          <w:sz w:val="17"/>
          <w:szCs w:val="17"/>
          <w:color w:val="auto"/>
        </w:rPr>
        <w:t>.</w:t>
      </w:r>
    </w:p>
    <w:p>
      <w:pPr>
        <w:spacing w:after="0" w:line="212" w:lineRule="exact"/>
        <w:rPr>
          <w:sz w:val="20"/>
          <w:szCs w:val="20"/>
          <w:color w:val="auto"/>
        </w:rPr>
      </w:pPr>
    </w:p>
    <w:p>
      <w:pPr>
        <w:ind w:firstLine="612"/>
        <w:spacing w:after="0" w:line="246" w:lineRule="auto"/>
        <w:rPr>
          <w:sz w:val="20"/>
          <w:szCs w:val="20"/>
          <w:color w:val="auto"/>
        </w:rPr>
      </w:pPr>
      <w:r>
        <w:rPr>
          <w:rFonts w:ascii="Arial" w:cs="Arial" w:eastAsia="Arial" w:hAnsi="Arial"/>
          <w:sz w:val="18"/>
          <w:szCs w:val="18"/>
          <w:color w:val="auto"/>
        </w:rPr>
        <w:t>Each party covenants, represents, and warrants that it has the full right and authority to enter into this Agreement and that it is not aware of any impediment that would inhibit its ability to perform its obligations under this Agreement.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Client Warranties</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tabs>
          <w:tab w:leader="none" w:pos="101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Except to the extent attributable to Patheon’s breach of this Agreement or the Development Agreement, or to Patheon’s use of reagents, processes, techniques or equipment not supplied by Client, Client covenants, represents, and warrants that:</w:t>
      </w:r>
    </w:p>
    <w:p>
      <w:pPr>
        <w:spacing w:after="0" w:line="202" w:lineRule="exact"/>
        <w:rPr>
          <w:rFonts w:ascii="Arial" w:cs="Arial" w:eastAsia="Arial" w:hAnsi="Arial"/>
          <w:sz w:val="18"/>
          <w:szCs w:val="18"/>
          <w:color w:val="auto"/>
        </w:rPr>
      </w:pPr>
    </w:p>
    <w:p>
      <w:pPr>
        <w:ind w:left="1340" w:hanging="413"/>
        <w:spacing w:after="0" w:line="246" w:lineRule="auto"/>
        <w:tabs>
          <w:tab w:leader="none" w:pos="148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it may lawfully disclose the Processing Instructions and Specifications to Patheon for use in accordance with this Agreement;</w:t>
      </w:r>
    </w:p>
    <w:p>
      <w:pPr>
        <w:spacing w:after="0" w:line="196" w:lineRule="exact"/>
        <w:rPr>
          <w:rFonts w:ascii="Arial" w:cs="Arial" w:eastAsia="Arial" w:hAnsi="Arial"/>
          <w:sz w:val="18"/>
          <w:szCs w:val="18"/>
          <w:color w:val="auto"/>
        </w:rPr>
      </w:pPr>
    </w:p>
    <w:p>
      <w:pPr>
        <w:jc w:val="both"/>
        <w:ind w:left="1340" w:hanging="413"/>
        <w:spacing w:after="0" w:line="238" w:lineRule="auto"/>
        <w:tabs>
          <w:tab w:leader="none" w:pos="169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processes and techniques transferred to Patheon and used by Patheon in performing the Manufacturing Services (A) is Client’s or its Affiliates property or validly licensed to Client or its Affiliates from a third party, (B) may be lawfully used as directed by Client under this Agreement, and (C) does not infringe and will not infringe any Third Party Rights;</w:t>
      </w:r>
    </w:p>
    <w:p>
      <w:pPr>
        <w:spacing w:after="0" w:line="204" w:lineRule="exact"/>
        <w:rPr>
          <w:rFonts w:ascii="Arial" w:cs="Arial" w:eastAsia="Arial" w:hAnsi="Arial"/>
          <w:sz w:val="18"/>
          <w:szCs w:val="18"/>
          <w:color w:val="auto"/>
        </w:rPr>
      </w:pPr>
    </w:p>
    <w:p>
      <w:pPr>
        <w:jc w:val="both"/>
        <w:ind w:left="1340" w:hanging="413"/>
        <w:spacing w:after="0"/>
        <w:tabs>
          <w:tab w:leader="none" w:pos="144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performance of the Manufacturing Services by Patheon or the supply of any Product by Patheon as may be required to perform its obligations under this Agreement does not and will not infringe any Third Party Rights; and</w:t>
      </w:r>
    </w:p>
    <w:p>
      <w:pPr>
        <w:spacing w:after="0" w:line="202" w:lineRule="exact"/>
        <w:rPr>
          <w:rFonts w:ascii="Arial" w:cs="Arial" w:eastAsia="Arial" w:hAnsi="Arial"/>
          <w:sz w:val="18"/>
          <w:szCs w:val="18"/>
          <w:color w:val="auto"/>
        </w:rPr>
      </w:pPr>
    </w:p>
    <w:p>
      <w:pPr>
        <w:jc w:val="both"/>
        <w:ind w:left="1340" w:hanging="413"/>
        <w:spacing w:after="0" w:line="238" w:lineRule="auto"/>
        <w:tabs>
          <w:tab w:leader="none" w:pos="158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there are no actions or other legal proceedings involving Client or its Affiliates that concerns the infringement of Third Party Rights related to any of the Processing Instructions or Specifications, or any of the API or Client-Supplied Components, or the sale, use, or other disposition of Product made in accordance with the Processing Instructions.</w:t>
      </w:r>
    </w:p>
    <w:p>
      <w:pPr>
        <w:spacing w:after="0" w:line="204" w:lineRule="exact"/>
        <w:rPr>
          <w:rFonts w:ascii="Arial" w:cs="Arial" w:eastAsia="Arial" w:hAnsi="Arial"/>
          <w:sz w:val="18"/>
          <w:szCs w:val="18"/>
          <w:color w:val="auto"/>
        </w:rPr>
      </w:pPr>
    </w:p>
    <w:p>
      <w:pPr>
        <w:ind w:left="1000" w:hanging="425"/>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Quality and Compliance</w:t>
      </w:r>
      <w:r>
        <w:rPr>
          <w:rFonts w:ascii="Arial" w:cs="Arial" w:eastAsia="Arial" w:hAnsi="Arial"/>
          <w:sz w:val="18"/>
          <w:szCs w:val="18"/>
          <w:color w:val="auto"/>
        </w:rPr>
        <w:t>. Client covenants, represents, and warrants that:</w:t>
      </w:r>
    </w:p>
    <w:p>
      <w:pPr>
        <w:spacing w:after="0" w:line="211" w:lineRule="exact"/>
        <w:rPr>
          <w:rFonts w:ascii="Arial" w:cs="Arial" w:eastAsia="Arial" w:hAnsi="Arial"/>
          <w:sz w:val="18"/>
          <w:szCs w:val="18"/>
          <w:color w:val="auto"/>
        </w:rPr>
      </w:pPr>
    </w:p>
    <w:p>
      <w:pPr>
        <w:ind w:left="1340" w:hanging="413"/>
        <w:spacing w:after="0" w:line="246" w:lineRule="auto"/>
        <w:tabs>
          <w:tab w:leader="none" w:pos="156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Processing Instructions and Specifications for the Product conforms to all applicable cGMPs and Applicable Laws; and</w:t>
      </w:r>
    </w:p>
    <w:p>
      <w:pPr>
        <w:spacing w:after="0" w:line="196" w:lineRule="exact"/>
        <w:rPr>
          <w:rFonts w:ascii="Arial" w:cs="Arial" w:eastAsia="Arial" w:hAnsi="Arial"/>
          <w:sz w:val="18"/>
          <w:szCs w:val="18"/>
          <w:color w:val="auto"/>
        </w:rPr>
      </w:pPr>
    </w:p>
    <w:p>
      <w:pPr>
        <w:jc w:val="both"/>
        <w:ind w:left="1340" w:hanging="413"/>
        <w:spacing w:after="0"/>
        <w:tabs>
          <w:tab w:leader="none" w:pos="138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following Regulatory Approval, the Product, if labelled and manufactured in accordance with the Processing Instructions and in compliance with applicable cGMPs, the Specifications and Applicable Laws to Client and Product, may be lawfully sold and distributed in the Territory; and</w:t>
      </w:r>
    </w:p>
    <w:p>
      <w:pPr>
        <w:spacing w:after="0" w:line="202" w:lineRule="exact"/>
        <w:rPr>
          <w:rFonts w:ascii="Arial" w:cs="Arial" w:eastAsia="Arial" w:hAnsi="Arial"/>
          <w:sz w:val="18"/>
          <w:szCs w:val="18"/>
          <w:color w:val="auto"/>
        </w:rPr>
      </w:pPr>
    </w:p>
    <w:p>
      <w:pPr>
        <w:ind w:left="1340" w:hanging="413"/>
        <w:spacing w:after="0" w:line="246" w:lineRule="auto"/>
        <w:tabs>
          <w:tab w:leader="none" w:pos="15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on receipt by Patheon, the API will conform to the specifications for the API that Client has given to Patheon and that the API will be adequately contained, packaged, and labelled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459740</wp:posOffset>
            </wp:positionV>
            <wp:extent cx="62922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24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20" w:name="page121"/>
    <w:bookmarkEnd w:id="120"/>
    <w:p>
      <w:pPr>
        <w:ind w:left="1340"/>
        <w:spacing w:after="0"/>
        <w:rPr>
          <w:sz w:val="20"/>
          <w:szCs w:val="20"/>
          <w:color w:val="auto"/>
        </w:rPr>
      </w:pPr>
      <w:r>
        <w:rPr>
          <w:rFonts w:ascii="Arial" w:cs="Arial" w:eastAsia="Arial" w:hAnsi="Arial"/>
          <w:sz w:val="18"/>
          <w:szCs w:val="18"/>
          <w:color w:val="auto"/>
        </w:rPr>
        <w:t>accordance with Applicable Laws and will conform to the affirmations of fact on the container.</w:t>
      </w:r>
    </w:p>
    <w:p>
      <w:pPr>
        <w:spacing w:after="0" w:line="212" w:lineRule="exact"/>
        <w:rPr>
          <w:sz w:val="20"/>
          <w:szCs w:val="20"/>
          <w:color w:val="auto"/>
        </w:rPr>
      </w:pPr>
    </w:p>
    <w:p>
      <w:pPr>
        <w:ind w:left="980" w:hanging="405"/>
        <w:spacing w:after="0" w:line="246" w:lineRule="auto"/>
        <w:tabs>
          <w:tab w:leader="none" w:pos="100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it will promptly notify Patheon if at any time during the Term if it becomes aware that any of the representations and warranties in subsections (a) and (b) are untrue.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u w:val="single" w:color="auto"/>
          <w:color w:val="auto"/>
        </w:rPr>
        <w:t>Patheon Warranties</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Patheon covenants, represents, and warrants that:</w:t>
      </w:r>
    </w:p>
    <w:p>
      <w:pPr>
        <w:spacing w:after="0" w:line="212" w:lineRule="exact"/>
        <w:rPr>
          <w:sz w:val="20"/>
          <w:szCs w:val="20"/>
          <w:color w:val="auto"/>
        </w:rPr>
      </w:pPr>
    </w:p>
    <w:p>
      <w:pPr>
        <w:jc w:val="both"/>
        <w:ind w:left="980" w:hanging="405"/>
        <w:spacing w:after="0" w:line="237" w:lineRule="auto"/>
        <w:tabs>
          <w:tab w:leader="none" w:pos="106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Products upon delivery to Client or its designee will: (i) have been manufactured in accordance with this Agreement, and all cGMPs and Applicable Laws, (ii) meet the Specifications, and (iii) have not been adulterated, misbranded or mislabelled within the meaning of the FFDCA or equivalent laws in Canada, Japan or China (except to the extent as attributable to the API or any Client-Supplied Components where the deficiencies could not reasonably have been detected by Patheon when properly performing the Processing Instructions);</w:t>
      </w:r>
    </w:p>
    <w:p>
      <w:pPr>
        <w:spacing w:after="0" w:line="204" w:lineRule="exact"/>
        <w:rPr>
          <w:rFonts w:ascii="Arial" w:cs="Arial" w:eastAsia="Arial" w:hAnsi="Arial"/>
          <w:sz w:val="18"/>
          <w:szCs w:val="18"/>
          <w:color w:val="auto"/>
        </w:rPr>
      </w:pPr>
    </w:p>
    <w:p>
      <w:pPr>
        <w:ind w:left="980" w:right="20" w:hanging="405"/>
        <w:spacing w:after="0" w:line="246" w:lineRule="auto"/>
        <w:tabs>
          <w:tab w:leader="none" w:pos="111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will perform the Manufacturing Services in accordance with this Agreement, the Processing Instructions, cGMPs, and Applicable Laws;</w:t>
      </w:r>
    </w:p>
    <w:p>
      <w:pPr>
        <w:spacing w:after="0" w:line="196" w:lineRule="exact"/>
        <w:rPr>
          <w:rFonts w:ascii="Arial" w:cs="Arial" w:eastAsia="Arial" w:hAnsi="Arial"/>
          <w:sz w:val="18"/>
          <w:szCs w:val="18"/>
          <w:color w:val="auto"/>
        </w:rPr>
      </w:pPr>
    </w:p>
    <w:p>
      <w:pPr>
        <w:ind w:left="980" w:right="20" w:hanging="405"/>
        <w:spacing w:after="0" w:line="246" w:lineRule="auto"/>
        <w:tabs>
          <w:tab w:leader="none" w:pos="11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will at all times use commercially reasonable measures to protect API, Product and Components in its possession or control from theft, damage, loss or misuse;</w:t>
      </w:r>
    </w:p>
    <w:p>
      <w:pPr>
        <w:spacing w:after="0" w:line="196" w:lineRule="exact"/>
        <w:rPr>
          <w:rFonts w:ascii="Arial" w:cs="Arial" w:eastAsia="Arial" w:hAnsi="Arial"/>
          <w:sz w:val="18"/>
          <w:szCs w:val="18"/>
          <w:color w:val="auto"/>
        </w:rPr>
      </w:pPr>
    </w:p>
    <w:p>
      <w:pPr>
        <w:jc w:val="both"/>
        <w:ind w:left="980" w:hanging="405"/>
        <w:spacing w:after="0"/>
        <w:tabs>
          <w:tab w:leader="none" w:pos="10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Patheon Intellectual Property used by Patheon to perform the Manufacturing Services (i) is Patheon’s or its Affiliate's unencumbered property, (ii) may be lawfully used by Patheon, and (iii) does not infringe and will not infringe any Third Party Rights;</w:t>
      </w:r>
    </w:p>
    <w:p>
      <w:pPr>
        <w:spacing w:after="0" w:line="202" w:lineRule="exact"/>
        <w:rPr>
          <w:rFonts w:ascii="Arial" w:cs="Arial" w:eastAsia="Arial" w:hAnsi="Arial"/>
          <w:sz w:val="18"/>
          <w:szCs w:val="18"/>
          <w:color w:val="auto"/>
        </w:rPr>
      </w:pPr>
    </w:p>
    <w:p>
      <w:pPr>
        <w:ind w:left="980" w:right="20" w:hanging="405"/>
        <w:spacing w:after="0" w:line="246" w:lineRule="auto"/>
        <w:tabs>
          <w:tab w:leader="none" w:pos="108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will not in the performance of its obligations under this Agreement use the services of any person who is debarred or suspended under 21 U.S.C. §335(a) or (b);</w:t>
      </w:r>
    </w:p>
    <w:p>
      <w:pPr>
        <w:spacing w:after="0" w:line="196" w:lineRule="exact"/>
        <w:rPr>
          <w:rFonts w:ascii="Arial" w:cs="Arial" w:eastAsia="Arial" w:hAnsi="Arial"/>
          <w:sz w:val="18"/>
          <w:szCs w:val="18"/>
          <w:color w:val="auto"/>
        </w:rPr>
      </w:pPr>
    </w:p>
    <w:p>
      <w:pPr>
        <w:jc w:val="both"/>
        <w:ind w:left="980" w:hanging="405"/>
        <w:spacing w:after="0"/>
        <w:tabs>
          <w:tab w:leader="none" w:pos="10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does not currently have, and it will not hire, as an officer or an employee any person who has been convicted of a felony under the laws of the United States for conduct relating to the regulation of any drug product under the United States Federal Food, Drug, and Cosmetic Act; and</w:t>
      </w:r>
    </w:p>
    <w:p>
      <w:pPr>
        <w:spacing w:after="0" w:line="202" w:lineRule="exact"/>
        <w:rPr>
          <w:rFonts w:ascii="Arial" w:cs="Arial" w:eastAsia="Arial" w:hAnsi="Arial"/>
          <w:sz w:val="18"/>
          <w:szCs w:val="18"/>
          <w:color w:val="auto"/>
        </w:rPr>
      </w:pPr>
    </w:p>
    <w:p>
      <w:pPr>
        <w:ind w:left="980" w:hanging="405"/>
        <w:spacing w:after="0" w:line="246" w:lineRule="auto"/>
        <w:tabs>
          <w:tab w:leader="none" w:pos="99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will promptly notify Client if at any time during the Term if it becomes aware that any of the representations and warranties in subsections (a) through (e) are untrue.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u w:val="single" w:color="auto"/>
          <w:color w:val="auto"/>
        </w:rPr>
        <w:t>Permits</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line="238" w:lineRule="auto"/>
        <w:tabs>
          <w:tab w:leader="none" w:pos="10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Client will be solely responsible for obtaining or maintaining, on a timely basis, any permits or other regulatory approvals for the distribution, marketing and sale of the Product as manufactured and labelled under the Processing Instructions and the Specifications, including, without limitation, all marketing and post-marketing approvals, and any specific approvals referred to in the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396240</wp:posOffset>
            </wp:positionV>
            <wp:extent cx="62922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25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21" w:name="page122"/>
    <w:bookmarkEnd w:id="121"/>
    <w:p>
      <w:pPr>
        <w:jc w:val="both"/>
        <w:ind w:left="980" w:hanging="405"/>
        <w:spacing w:after="0"/>
        <w:tabs>
          <w:tab w:leader="none" w:pos="123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Patheon will maintain at all relevant times when performing the Manufacturing Services all required governmental permits, licenses, approval, and authorities, including, without limitation the permits, licenses, qualifications and approvals contemplated in Section 2.7.</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u w:val="single" w:color="auto"/>
          <w:color w:val="auto"/>
        </w:rPr>
        <w:t>No Warranty</w:t>
      </w:r>
      <w:r>
        <w:rPr>
          <w:rFonts w:ascii="Arial" w:cs="Arial" w:eastAsia="Arial" w:hAnsi="Arial"/>
          <w:sz w:val="17"/>
          <w:szCs w:val="17"/>
          <w:color w:val="auto"/>
        </w:rPr>
        <w:t>.</w:t>
      </w:r>
    </w:p>
    <w:p>
      <w:pPr>
        <w:spacing w:after="0" w:line="190" w:lineRule="exact"/>
        <w:rPr>
          <w:sz w:val="20"/>
          <w:szCs w:val="20"/>
          <w:color w:val="auto"/>
        </w:rPr>
      </w:pPr>
    </w:p>
    <w:p>
      <w:pPr>
        <w:jc w:val="both"/>
        <w:ind w:firstLine="612"/>
        <w:spacing w:after="0" w:line="247" w:lineRule="auto"/>
        <w:rPr>
          <w:sz w:val="20"/>
          <w:szCs w:val="20"/>
          <w:color w:val="auto"/>
        </w:rPr>
      </w:pPr>
      <w:r>
        <w:rPr>
          <w:rFonts w:ascii="Arial" w:cs="Arial" w:eastAsia="Arial" w:hAnsi="Arial"/>
          <w:sz w:val="18"/>
          <w:szCs w:val="18"/>
          <w:b w:val="1"/>
          <w:bCs w:val="1"/>
          <w:color w:val="auto"/>
        </w:rPr>
        <w:t>NEITHER PARTY MAKES ANY WARRANTY, REPRESENTATION OR CONDITION OF ANY KIND, EITHER EXPRESSED OR IMPLIED, BY FACT OR LAW, OTHER THAN THOSE EXPRESSLY SET OUT IN THIS AGREEMENT AND THE QUALITY AGREEMENT. PATHEON MAKES NO WARRANTY OR CONDITION OF FITNESS FOR A PARTICULAR PURPOSE NOR ANY WARRANTY OR CONDITION OF MERCHANTABILITY FOR THE PRODUCT.</w:t>
      </w:r>
    </w:p>
    <w:p>
      <w:pPr>
        <w:spacing w:after="0" w:line="164"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Liability and Remedies</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auto"/>
        </w:rPr>
        <w:t>Consequential and Other Damages</w:t>
      </w:r>
      <w:r>
        <w:rPr>
          <w:rFonts w:ascii="Arial" w:cs="Arial" w:eastAsia="Arial" w:hAnsi="Arial"/>
          <w:sz w:val="17"/>
          <w:szCs w:val="17"/>
          <w:color w:val="auto"/>
        </w:rPr>
        <w:t>. -</w:t>
      </w:r>
    </w:p>
    <w:p>
      <w:pPr>
        <w:spacing w:after="0" w:line="212" w:lineRule="exact"/>
        <w:rPr>
          <w:sz w:val="20"/>
          <w:szCs w:val="20"/>
          <w:color w:val="auto"/>
        </w:rPr>
      </w:pPr>
    </w:p>
    <w:p>
      <w:pPr>
        <w:jc w:val="both"/>
        <w:ind w:firstLine="612"/>
        <w:spacing w:after="0" w:line="237" w:lineRule="auto"/>
        <w:rPr>
          <w:sz w:val="20"/>
          <w:szCs w:val="20"/>
          <w:color w:val="auto"/>
        </w:rPr>
      </w:pPr>
      <w:r>
        <w:rPr>
          <w:rFonts w:ascii="Arial" w:cs="Arial" w:eastAsia="Arial" w:hAnsi="Arial"/>
          <w:sz w:val="18"/>
          <w:szCs w:val="18"/>
          <w:color w:val="auto"/>
        </w:rPr>
        <w:t>Excluding (i) [***], (ii) [***], or (iii) [***], under no circumstances whatsoever will either party be liable to the other in contract, tort, negligence, indemnity, breach of statutory duty, or otherwise for: (i) any (direct or indirect) penalty, loss of profits, of anticipated savings, of business, of goodwill, or of use of the Product or costs of any substitute services; or (ii) any reliance damages, including but not limited to [***]; or (iii) for any other liability, damage, costs, penalty, or expense of any kind incurred by the other party of an indirect or consequential nature, regardless of any notice of the possibility of these damages.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tabs>
          <w:tab w:leader="none" w:pos="104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Remedies for Deficient Product</w:t>
      </w:r>
      <w:r>
        <w:rPr>
          <w:rFonts w:ascii="Arial" w:cs="Arial" w:eastAsia="Arial" w:hAnsi="Arial"/>
          <w:sz w:val="18"/>
          <w:szCs w:val="18"/>
          <w:color w:val="auto"/>
        </w:rPr>
        <w:t>. If Client makes a Product Claim under Section 6.1 and the parties agree the Product is Deficient Product, or the Product is determined to be Deficient Product under Section 6, Patheon will promptly, at Client’s election, either:</w:t>
      </w:r>
    </w:p>
    <w:p>
      <w:pPr>
        <w:spacing w:after="0" w:line="202" w:lineRule="exact"/>
        <w:rPr>
          <w:rFonts w:ascii="Arial" w:cs="Arial" w:eastAsia="Arial" w:hAnsi="Arial"/>
          <w:sz w:val="18"/>
          <w:szCs w:val="18"/>
          <w:color w:val="auto"/>
        </w:rPr>
      </w:pPr>
    </w:p>
    <w:p>
      <w:pPr>
        <w:jc w:val="both"/>
        <w:ind w:left="1340" w:hanging="413"/>
        <w:spacing w:after="0" w:line="238" w:lineRule="auto"/>
        <w:tabs>
          <w:tab w:leader="none" w:pos="143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replace the Product at Patheon’s cost ([***]) if Patheon is able to manufacture the replacement Product at the Manufacturing Site and contingent upon the receipt from Client of all API and Client-Supplied Components required for the manufacture of the replacement Product (Patheon will reimburse Client for the actual cost of the Client-Supplied Components); or</w:t>
      </w:r>
    </w:p>
    <w:p>
      <w:pPr>
        <w:spacing w:after="0" w:line="204" w:lineRule="exact"/>
        <w:rPr>
          <w:rFonts w:ascii="Arial" w:cs="Arial" w:eastAsia="Arial" w:hAnsi="Arial"/>
          <w:sz w:val="18"/>
          <w:szCs w:val="18"/>
          <w:color w:val="auto"/>
        </w:rPr>
      </w:pPr>
    </w:p>
    <w:p>
      <w:pPr>
        <w:ind w:left="1340" w:hanging="413"/>
        <w:spacing w:after="0" w:line="246" w:lineRule="auto"/>
        <w:tabs>
          <w:tab w:leader="none" w:pos="146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refund [***] of the Price paid for the Deficient Product and reimburse Client for the actual cost of Client-Supplied Components, shipment, storage and insurance expenses ([***]).</w:t>
      </w:r>
    </w:p>
    <w:p>
      <w:pPr>
        <w:spacing w:after="0" w:line="19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Except for the indemnity set out in Section 10.3, and any claim for expenses related to a Recall under Section 6.2(c), the remedies described in this Section 10.2 will be Client’s sole remedy in contract, tort, negligence, equity or otherwise, for Deficient Product.</w:t>
      </w:r>
    </w:p>
    <w:p>
      <w:pPr>
        <w:spacing w:after="0" w:line="2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remedy under this Section 10.2, if applicable (including in the case of Recall), will apply only to the extent that the affected Deficient Product has not been consumed by the end user.</w:t>
      </w:r>
    </w:p>
    <w:p>
      <w:pPr>
        <w:spacing w:after="0" w:line="197" w:lineRule="exact"/>
        <w:rPr>
          <w:sz w:val="20"/>
          <w:szCs w:val="20"/>
          <w:color w:val="auto"/>
        </w:rPr>
      </w:pPr>
    </w:p>
    <w:p>
      <w:pPr>
        <w:ind w:left="980" w:hanging="405"/>
        <w:spacing w:after="0" w:line="246" w:lineRule="auto"/>
        <w:tabs>
          <w:tab w:leader="none" w:pos="10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API and Client-Supplied Components</w:t>
      </w:r>
      <w:r>
        <w:rPr>
          <w:rFonts w:ascii="Arial" w:cs="Arial" w:eastAsia="Arial" w:hAnsi="Arial"/>
          <w:sz w:val="18"/>
          <w:szCs w:val="18"/>
          <w:color w:val="auto"/>
        </w:rPr>
        <w:t>. API loss is addressed in Appendix 3, including with respect to Deficient Product. Except as expressly set out in Appendix 3 for API and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459740</wp:posOffset>
            </wp:positionV>
            <wp:extent cx="62922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26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22" w:name="page123"/>
    <w:bookmarkEnd w:id="122"/>
    <w:p>
      <w:pPr>
        <w:jc w:val="both"/>
        <w:ind w:left="980"/>
        <w:spacing w:after="0" w:line="238" w:lineRule="auto"/>
        <w:rPr>
          <w:sz w:val="20"/>
          <w:szCs w:val="20"/>
          <w:color w:val="auto"/>
        </w:rPr>
      </w:pPr>
      <w:r>
        <w:rPr>
          <w:rFonts w:ascii="Arial" w:cs="Arial" w:eastAsia="Arial" w:hAnsi="Arial"/>
          <w:sz w:val="18"/>
          <w:szCs w:val="18"/>
          <w:color w:val="auto"/>
        </w:rPr>
        <w:t>10.2(a) for Client-Supplied Components, [***]. Patheon’s maximum annual aggregate liability for loss of or damage to the API or Client-Supplied Components will not exceed [***] or [***] of [***] under this Agreement during the previous Year (or, in the case of the first Year, the [***]). This limitation of liability will not apply to the extent the loss of API or Client-Supplied Components was caused by Patheon’s gross negligence or wilful misconduct.</w:t>
      </w:r>
    </w:p>
    <w:p>
      <w:pPr>
        <w:spacing w:after="0" w:line="202" w:lineRule="exact"/>
        <w:rPr>
          <w:sz w:val="20"/>
          <w:szCs w:val="20"/>
          <w:color w:val="auto"/>
        </w:rPr>
      </w:pPr>
    </w:p>
    <w:p>
      <w:pPr>
        <w:jc w:val="both"/>
        <w:ind w:left="980" w:hanging="405"/>
        <w:spacing w:after="0" w:line="237" w:lineRule="auto"/>
        <w:tabs>
          <w:tab w:leader="none" w:pos="99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Maximum Liability</w:t>
      </w:r>
      <w:r>
        <w:rPr>
          <w:rFonts w:ascii="Arial" w:cs="Arial" w:eastAsia="Arial" w:hAnsi="Arial"/>
          <w:sz w:val="18"/>
          <w:szCs w:val="18"/>
          <w:color w:val="auto"/>
        </w:rPr>
        <w:t>. In any Year, Patheon’s maximum aggregate liability to Client under or in connection with this Agreement (however arising, including contract, tort, negligence, breach of statutory duty, liquidated damages for a Failure to Supply, liability for loss or damage to API or Client-Supplied Components, or otherwise) will not exceed [***] (i) [***] or [***] under this Agreement during the previous Year (or, in the case of the first Year, [***]). The limitation on liability in this Section 10.2(c) will not apply to the specific remedies under Section 10.2(a) for Deficient Product (replace or refund), [***].</w:t>
      </w:r>
    </w:p>
    <w:p>
      <w:pPr>
        <w:spacing w:after="0" w:line="204" w:lineRule="exact"/>
        <w:rPr>
          <w:rFonts w:ascii="Arial" w:cs="Arial" w:eastAsia="Arial" w:hAnsi="Arial"/>
          <w:sz w:val="18"/>
          <w:szCs w:val="18"/>
          <w:color w:val="auto"/>
        </w:rPr>
      </w:pPr>
    </w:p>
    <w:p>
      <w:pPr>
        <w:jc w:val="both"/>
        <w:ind w:left="980" w:hanging="405"/>
        <w:spacing w:after="0"/>
        <w:tabs>
          <w:tab w:leader="none" w:pos="112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Death, Personal Injury and Fraudulent Misrepresentation</w:t>
      </w:r>
      <w:r>
        <w:rPr>
          <w:rFonts w:ascii="Arial" w:cs="Arial" w:eastAsia="Arial" w:hAnsi="Arial"/>
          <w:sz w:val="18"/>
          <w:szCs w:val="18"/>
          <w:color w:val="auto"/>
        </w:rPr>
        <w:t>. Nothing contained in this Agreement will act to exclude or limit either party’s liability for personal injury or death caused by the negligence of either party or fraudulent misrepresentation.</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u w:val="single" w:color="auto"/>
          <w:color w:val="auto"/>
        </w:rPr>
        <w:t>Patheon Indemnity</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7" w:lineRule="auto"/>
        <w:rPr>
          <w:sz w:val="20"/>
          <w:szCs w:val="20"/>
          <w:color w:val="auto"/>
        </w:rPr>
      </w:pPr>
      <w:r>
        <w:rPr>
          <w:rFonts w:ascii="Arial" w:cs="Arial" w:eastAsia="Arial" w:hAnsi="Arial"/>
          <w:sz w:val="18"/>
          <w:szCs w:val="18"/>
          <w:color w:val="auto"/>
        </w:rPr>
        <w:t>Patheon agrees to defend and indemnify Client, its officers and employees, against all losses, damages, costs, claims, demands, subpoenas, judgments and liability to, from and in favour of third parties (other than Affiliates) for any claim to the extent the claim is the result of a breach of any of Patheon’s representations, warranties, covenants or obligations contained in this Agreement or the Quality Agreement, or (ii) Patheon’s negligence or wilful misconduct in performing this Agreement or the Quality Agreement except to the extent that the losses, damages, costs, claims, demands, subpoenas, judgments, and liability are due to the negligence or wrongful acts of Client, its officers, employees, or Affiliates.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u w:val="single" w:color="auto"/>
          <w:color w:val="auto"/>
        </w:rPr>
        <w:t>Client Indemnity</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7" w:lineRule="auto"/>
        <w:rPr>
          <w:sz w:val="20"/>
          <w:szCs w:val="20"/>
          <w:color w:val="auto"/>
        </w:rPr>
      </w:pPr>
      <w:r>
        <w:rPr>
          <w:rFonts w:ascii="Arial" w:cs="Arial" w:eastAsia="Arial" w:hAnsi="Arial"/>
          <w:sz w:val="18"/>
          <w:szCs w:val="18"/>
          <w:color w:val="auto"/>
        </w:rPr>
        <w:t>Client agrees to defend and indemnify Patheon, its officers and employees, against all losses, damages, costs, claims, demands, subpoenas, judgments and liability to, from and in favour of third parties (other than Affiliates) for any claim to the extent the claim is the result of (i) a breach of any of Client’s representations, warranties, covenants or obligations contained in this Agreement or the Quality Agreement, or (ii) Client’s negligence or wilful misconduct in performing this Agreement or the Quality Agreement, except to the extent that the losses, damages, costs, claims, demands, subpoenas, judgments, and liability are due to the negligence or wrongful acts of Patheon, its officers, employees, or Affiliates.</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u w:val="single" w:color="auto"/>
          <w:color w:val="auto"/>
        </w:rPr>
        <w:t>Indemnity Procedure</w:t>
      </w:r>
      <w:r>
        <w:rPr>
          <w:rFonts w:ascii="Arial" w:cs="Arial" w:eastAsia="Arial" w:hAnsi="Arial"/>
          <w:sz w:val="17"/>
          <w:szCs w:val="17"/>
          <w:color w:val="auto"/>
        </w:rPr>
        <w:t>.</w:t>
      </w:r>
    </w:p>
    <w:p>
      <w:pPr>
        <w:spacing w:after="0" w:line="190" w:lineRule="exact"/>
        <w:rPr>
          <w:sz w:val="20"/>
          <w:szCs w:val="20"/>
          <w:color w:val="auto"/>
        </w:rPr>
      </w:pPr>
    </w:p>
    <w:p>
      <w:pPr>
        <w:jc w:val="both"/>
        <w:ind w:firstLine="612"/>
        <w:spacing w:after="0"/>
        <w:rPr>
          <w:sz w:val="20"/>
          <w:szCs w:val="20"/>
          <w:color w:val="auto"/>
        </w:rPr>
      </w:pPr>
      <w:r>
        <w:rPr>
          <w:rFonts w:ascii="Arial" w:cs="Arial" w:eastAsia="Arial" w:hAnsi="Arial"/>
          <w:sz w:val="18"/>
          <w:szCs w:val="18"/>
          <w:color w:val="auto"/>
        </w:rPr>
        <w:t>A party (the “</w:t>
      </w:r>
      <w:r>
        <w:rPr>
          <w:rFonts w:ascii="Arial" w:cs="Arial" w:eastAsia="Arial" w:hAnsi="Arial"/>
          <w:sz w:val="18"/>
          <w:szCs w:val="18"/>
          <w:b w:val="1"/>
          <w:bCs w:val="1"/>
          <w:color w:val="auto"/>
        </w:rPr>
        <w:t>Indemnitee</w:t>
      </w:r>
      <w:r>
        <w:rPr>
          <w:rFonts w:ascii="Arial" w:cs="Arial" w:eastAsia="Arial" w:hAnsi="Arial"/>
          <w:sz w:val="18"/>
          <w:szCs w:val="18"/>
          <w:color w:val="auto"/>
        </w:rPr>
        <w:t>”) that intends to claim indemnification under Section 10.3 or 10.4 will notify the other party (the “</w:t>
      </w:r>
      <w:r>
        <w:rPr>
          <w:rFonts w:ascii="Arial" w:cs="Arial" w:eastAsia="Arial" w:hAnsi="Arial"/>
          <w:sz w:val="18"/>
          <w:szCs w:val="18"/>
          <w:b w:val="1"/>
          <w:bCs w:val="1"/>
          <w:color w:val="auto"/>
        </w:rPr>
        <w:t>Indemnitor</w:t>
      </w:r>
      <w:r>
        <w:rPr>
          <w:rFonts w:ascii="Arial" w:cs="Arial" w:eastAsia="Arial" w:hAnsi="Arial"/>
          <w:sz w:val="18"/>
          <w:szCs w:val="18"/>
          <w:color w:val="auto"/>
        </w:rPr>
        <w:t>”) promptly in writing of any action, claim or liability for which the Indemnitee believes it is entitled to claim indemnification, but the failure to give timely notice to the Indemnitor will not release the Indemnitor from any liability to the Indemnitee except to the extent the Indemnitor is actually prejudiced thereby. The Indemnitor will have the right, by notice to the Indemnitee, to assume the defense of the action or claim within 15 days after the Indemnitor’s receipt of notice of the action or claim with counsel of the Indemnitor’s choice and at the sole cost of the Indemnitor. If the Indemnitor assumes the defense, the Indemnitee may participate therein through counsel of its choice, but at the sole cost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27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23" w:name="page124"/>
    <w:bookmarkEnd w:id="123"/>
    <w:p>
      <w:pPr>
        <w:jc w:val="both"/>
        <w:spacing w:after="0" w:line="237" w:lineRule="auto"/>
        <w:rPr>
          <w:sz w:val="20"/>
          <w:szCs w:val="20"/>
          <w:color w:val="auto"/>
        </w:rPr>
      </w:pPr>
      <w:r>
        <w:rPr>
          <w:rFonts w:ascii="Arial" w:cs="Arial" w:eastAsia="Arial" w:hAnsi="Arial"/>
          <w:sz w:val="18"/>
          <w:szCs w:val="18"/>
          <w:color w:val="auto"/>
        </w:rPr>
        <w:t>Indemnitee. The party not assuming the defense of the claim will give reasonable assistance to the party assuming the defense, and all reasonable out-of-pocket costs of this assistance will be for the account of the Indemnitor. No claim will be settled other than by the party defending the claim, and then only with the consent of the other party which will not be unreasonably withheld or delayed. But the Indemnitee will have no obligation to consent to any settlement of any action or claim which imposes on the Indemnitee any liability or obligation which cannot be assumed and performed in full by the Indemnitor, and the Indemnitee will have no right to withhold its consent to any settlement of any action or claim if the settlement involves only the payment of money by the Indemnitor or its insurer.</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u w:val="single" w:color="auto"/>
          <w:color w:val="auto"/>
        </w:rPr>
        <w:t>Validation Batches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8" w:lineRule="auto"/>
        <w:rPr>
          <w:sz w:val="20"/>
          <w:szCs w:val="20"/>
          <w:color w:val="auto"/>
        </w:rPr>
      </w:pPr>
      <w:r>
        <w:rPr>
          <w:rFonts w:ascii="Arial" w:cs="Arial" w:eastAsia="Arial" w:hAnsi="Arial"/>
          <w:sz w:val="18"/>
          <w:szCs w:val="18"/>
          <w:color w:val="auto"/>
        </w:rPr>
        <w:t>Where Product validation batches are manufactured by Patheon under the Development Agreement and then released by Patheon for commercial sale or distribution by Client, the performance of the Development Services including the manufacture of the Product validation batches will be governed by the terms of the Development Agreement and will not be subject to the terms and conditions of this Agreement. The terms of this Agreement will apply to the Product after release by Patheon.</w:t>
      </w:r>
    </w:p>
    <w:p>
      <w:pPr>
        <w:spacing w:after="0" w:line="171"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190" w:lineRule="exact"/>
        <w:rPr>
          <w:sz w:val="20"/>
          <w:szCs w:val="20"/>
          <w:color w:val="auto"/>
        </w:rPr>
      </w:pPr>
    </w:p>
    <w:p>
      <w:pPr>
        <w:jc w:val="both"/>
        <w:ind w:firstLine="612"/>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Client’s Confidential Information</w:t>
      </w:r>
      <w:r>
        <w:rPr>
          <w:rFonts w:ascii="Arial" w:cs="Arial" w:eastAsia="Arial" w:hAnsi="Arial"/>
          <w:sz w:val="18"/>
          <w:szCs w:val="18"/>
          <w:color w:val="auto"/>
        </w:rPr>
        <w:t>” means any information disclosed by or on behalf of Client to Patheon or its Affiliates or agents (and their respective officers, directors, employees and agents) (each of the foregoing together “</w:t>
      </w:r>
      <w:r>
        <w:rPr>
          <w:rFonts w:ascii="Arial" w:cs="Arial" w:eastAsia="Arial" w:hAnsi="Arial"/>
          <w:sz w:val="18"/>
          <w:szCs w:val="18"/>
          <w:b w:val="1"/>
          <w:bCs w:val="1"/>
          <w:color w:val="auto"/>
        </w:rPr>
        <w:t>Patheon’s Representatives</w:t>
      </w:r>
      <w:r>
        <w:rPr>
          <w:rFonts w:ascii="Arial" w:cs="Arial" w:eastAsia="Arial" w:hAnsi="Arial"/>
          <w:sz w:val="18"/>
          <w:szCs w:val="18"/>
          <w:color w:val="auto"/>
        </w:rPr>
        <w:t>”) (whether disclosed in oral, written, electronic or visual form), before or after the Effective Date and throughout the Term, to the extent the information relates to Client, the Products or the substantive terms or performance of this Agreement or the Quality Agreement and any information derived by Patheon or Patheon’s Representatives or otherwise coming to their respective attention while performing the Manufacturing Services or any other obligation contained in this Agreement, or the Quality Agreement to the extent related to the Client, the Products or the Manufacturing Services including, without limitation, information relating to the Client’s patent and trademark applications, process designs, process models, drawings, plans, designs, data, databases and extracts therefrom, formulae, methods, know-how and other intellectual property, its clients and its clients’ confidential information, finances, marketing, trade secrets, products and processes and all price quotations, manufacturing or professional services proposals, information relating to composition, proprietary technology, and all other information relating to manufacturing capabilities and operations. In addition, the batch release documentation and all analyses, compilations, studies, reports or other documents prepared by or on behalf of Patheon or Patheon’s Representatives containing Confidential Information will be considered Client’s Confidential Information. Samples or materials provided under this Agreement as well as any and all information derived from the approved analysis of the samples or materials will also constitute Client’s Confidential Information. As between Patheon and Client, Client has title and exclusive ownership of Client’s Confidential Information.</w:t>
      </w:r>
    </w:p>
    <w:p>
      <w:pPr>
        <w:spacing w:after="0" w:line="184" w:lineRule="exact"/>
        <w:rPr>
          <w:sz w:val="20"/>
          <w:szCs w:val="20"/>
          <w:color w:val="auto"/>
        </w:rPr>
      </w:pPr>
    </w:p>
    <w:p>
      <w:pPr>
        <w:jc w:val="both"/>
        <w:ind w:firstLine="61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either Client’s Confidential Information or Patheon’s Confidential Information, as the context requires.</w:t>
      </w:r>
    </w:p>
    <w:p>
      <w:pPr>
        <w:spacing w:after="0" w:line="154" w:lineRule="exact"/>
        <w:rPr>
          <w:sz w:val="20"/>
          <w:szCs w:val="20"/>
          <w:color w:val="auto"/>
        </w:rPr>
      </w:pPr>
    </w:p>
    <w:p>
      <w:pPr>
        <w:jc w:val="both"/>
        <w:ind w:firstLine="61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Patheon’s Confidential Information</w:t>
      </w:r>
      <w:r>
        <w:rPr>
          <w:rFonts w:ascii="Arial" w:cs="Arial" w:eastAsia="Arial" w:hAnsi="Arial"/>
          <w:sz w:val="18"/>
          <w:szCs w:val="18"/>
          <w:color w:val="auto"/>
        </w:rPr>
        <w:t>” means any information disclosed by Patheon, contained in or otherwise agreed to by Patheon and Client in or in connection to this Agreement, any Product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446405</wp:posOffset>
            </wp:positionV>
            <wp:extent cx="62922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28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24" w:name="page125"/>
    <w:bookmarkEnd w:id="124"/>
    <w:p>
      <w:pPr>
        <w:jc w:val="both"/>
        <w:spacing w:after="0" w:line="236" w:lineRule="auto"/>
        <w:rPr>
          <w:sz w:val="20"/>
          <w:szCs w:val="20"/>
          <w:color w:val="auto"/>
        </w:rPr>
      </w:pPr>
      <w:r>
        <w:rPr>
          <w:rFonts w:ascii="Arial" w:cs="Arial" w:eastAsia="Arial" w:hAnsi="Arial"/>
          <w:sz w:val="18"/>
          <w:szCs w:val="18"/>
          <w:color w:val="auto"/>
        </w:rPr>
        <w:t>the Quality Agreement or the Pharmacovigilance Agreement and any information disclosed by or on behalf of Patheon to Client or its Affiliates or agents (and their respective officers, directors, employees and agents) (each of the foregoing together “</w:t>
      </w:r>
      <w:r>
        <w:rPr>
          <w:rFonts w:ascii="Arial" w:cs="Arial" w:eastAsia="Arial" w:hAnsi="Arial"/>
          <w:sz w:val="18"/>
          <w:szCs w:val="18"/>
          <w:b w:val="1"/>
          <w:bCs w:val="1"/>
          <w:color w:val="auto"/>
        </w:rPr>
        <w:t>Client’s Representatives</w:t>
      </w:r>
      <w:r>
        <w:rPr>
          <w:rFonts w:ascii="Arial" w:cs="Arial" w:eastAsia="Arial" w:hAnsi="Arial"/>
          <w:sz w:val="18"/>
          <w:szCs w:val="18"/>
          <w:color w:val="auto"/>
        </w:rPr>
        <w:t>”) (whether disclosed in oral written, electronic or visual form),including, without limitation, information relating to the Patheon’s patent and trademark applications, process designs, process models, drawings, plans, designs, data, databases and extracts therefrom, formulae, methods, know-how and other intellectual property, its clients and its clients’ confidential information, finances, marketing, trade secrets, products and processes and all price quotations, manufacturing or professional services proposals, information relating to composition, proprietary technology, and all other information relating to its manufacturing capabilities and operations, before or after the Effective Date and throughout the Term, in each case to the extent the information relates to Patheon or Patheon’s Representatives or any Manufacturing Sites and is not Client’s Confidential Information. As between Patheon and Client, Patheon has title and exclusive ownership of Patheon’s Confidential Information.</w:t>
      </w:r>
    </w:p>
    <w:p>
      <w:pPr>
        <w:spacing w:after="0" w:line="205" w:lineRule="exact"/>
        <w:rPr>
          <w:sz w:val="20"/>
          <w:szCs w:val="20"/>
          <w:color w:val="auto"/>
        </w:rPr>
      </w:pPr>
    </w:p>
    <w:p>
      <w:pPr>
        <w:jc w:val="both"/>
        <w:ind w:firstLine="662"/>
        <w:spacing w:after="0"/>
        <w:rPr>
          <w:sz w:val="20"/>
          <w:szCs w:val="20"/>
          <w:color w:val="auto"/>
        </w:rPr>
      </w:pPr>
      <w:r>
        <w:rPr>
          <w:rFonts w:ascii="Arial" w:cs="Arial" w:eastAsia="Arial" w:hAnsi="Arial"/>
          <w:sz w:val="18"/>
          <w:szCs w:val="18"/>
          <w:color w:val="auto"/>
        </w:rPr>
        <w:t>For the purposes of this Section 11, a party receiving or otherwise in possession of Confidential Information of the other party (including through its Representatives) is a “</w:t>
      </w:r>
      <w:r>
        <w:rPr>
          <w:rFonts w:ascii="Arial" w:cs="Arial" w:eastAsia="Arial" w:hAnsi="Arial"/>
          <w:sz w:val="18"/>
          <w:szCs w:val="18"/>
          <w:b w:val="1"/>
          <w:bCs w:val="1"/>
          <w:color w:val="auto"/>
        </w:rPr>
        <w:t>Recipient</w:t>
      </w:r>
      <w:r>
        <w:rPr>
          <w:rFonts w:ascii="Arial" w:cs="Arial" w:eastAsia="Arial" w:hAnsi="Arial"/>
          <w:sz w:val="18"/>
          <w:szCs w:val="18"/>
          <w:color w:val="auto"/>
        </w:rPr>
        <w:t>”, and a party disclosing or otherwise having proprietary rights of Confidential Information under this Agreement (including through its Representatives) is the “</w:t>
      </w:r>
      <w:r>
        <w:rPr>
          <w:rFonts w:ascii="Arial" w:cs="Arial" w:eastAsia="Arial" w:hAnsi="Arial"/>
          <w:sz w:val="18"/>
          <w:szCs w:val="18"/>
          <w:b w:val="1"/>
          <w:bCs w:val="1"/>
          <w:color w:val="auto"/>
        </w:rPr>
        <w:t>Disclosing Party</w:t>
      </w:r>
      <w:r>
        <w:rPr>
          <w:rFonts w:ascii="Arial" w:cs="Arial" w:eastAsia="Arial" w:hAnsi="Arial"/>
          <w:sz w:val="18"/>
          <w:szCs w:val="18"/>
          <w:color w:val="auto"/>
        </w:rPr>
        <w: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u w:val="single" w:color="auto"/>
          <w:color w:val="auto"/>
        </w:rPr>
        <w:t>Use of Confidential Information</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6" w:lineRule="auto"/>
        <w:rPr>
          <w:sz w:val="20"/>
          <w:szCs w:val="20"/>
          <w:color w:val="auto"/>
        </w:rPr>
      </w:pPr>
      <w:r>
        <w:rPr>
          <w:rFonts w:ascii="Arial" w:cs="Arial" w:eastAsia="Arial" w:hAnsi="Arial"/>
          <w:sz w:val="18"/>
          <w:szCs w:val="18"/>
          <w:color w:val="auto"/>
        </w:rPr>
        <w:t>The Recipient will use the Confidential Information solely for the purpose of meeting its obligations and exercising its rights under this Agreement. Except as set forth in this Agreement, Recipient will keep the Confidential Information strictly confidential and will not disclose the Confidential Information in any manner whatsoever, in whole or in part, other than to those of its Representatives who (i) have a need to know the Confidential Information for the purpose of this Agreement; (ii) have been advised of the confidential nature of the Confidential Information and (iii) have obligations of confidentiality and non-use to the Recipient no less restrictive than those of this Agreement. Recipient will protect the Confidential Information disclosed to it by using reasonable precautions to prevent the unauthorized disclosure, dissemination or use of the Confidential Information, which precautions will not be less than those exercised by Recipient for its own confidential or proprietary Confidential Information of a similar nature. Each party, in its capacity as a Recipient, will be liable for the acts and failures to act by its respective Representatives for the improper use, disclosure, distribution, protection or handling of the Confidential Information of the Disclosing Party as the actions or failures were committed directly by the Recipient.</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Exclusions</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obligations of confidentiality in this Section 11 will not apply to the extent that Confidential Information:</w:t>
      </w:r>
    </w:p>
    <w:p>
      <w:pPr>
        <w:spacing w:after="0" w:line="212" w:lineRule="exact"/>
        <w:rPr>
          <w:sz w:val="20"/>
          <w:szCs w:val="20"/>
          <w:color w:val="auto"/>
        </w:rPr>
      </w:pPr>
    </w:p>
    <w:p>
      <w:pPr>
        <w:ind w:left="980" w:hanging="405"/>
        <w:spacing w:after="0" w:line="246" w:lineRule="auto"/>
        <w:tabs>
          <w:tab w:leader="none" w:pos="123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is or becomes publicly known through no breach of this Agreement or fault of the Recipient or its Representatives;</w:t>
      </w:r>
    </w:p>
    <w:p>
      <w:pPr>
        <w:spacing w:after="0" w:line="196" w:lineRule="exact"/>
        <w:rPr>
          <w:rFonts w:ascii="Arial" w:cs="Arial" w:eastAsia="Arial" w:hAnsi="Arial"/>
          <w:sz w:val="18"/>
          <w:szCs w:val="18"/>
          <w:color w:val="auto"/>
        </w:rPr>
      </w:pPr>
    </w:p>
    <w:p>
      <w:pPr>
        <w:jc w:val="both"/>
        <w:ind w:left="980" w:right="20" w:hanging="405"/>
        <w:spacing w:after="0"/>
        <w:tabs>
          <w:tab w:leader="none" w:pos="102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is lawfully in the Recipient's possession at the time of disclosure by the Disclosing Party outside the context of the Manufacturing Services or the Development Services and other than as a result of the Recipient's breach of any legal, contractual, or fiduciary obligation or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394970</wp:posOffset>
            </wp:positionV>
            <wp:extent cx="62922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29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25" w:name="page126"/>
    <w:bookmarkEnd w:id="125"/>
    <w:p>
      <w:pPr>
        <w:jc w:val="both"/>
        <w:ind w:left="980" w:hanging="405"/>
        <w:spacing w:after="0" w:line="238" w:lineRule="auto"/>
        <w:tabs>
          <w:tab w:leader="none" w:pos="99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is or becomes known to the Recipient on a non-confidential basis through disclosure by sources, other than the Disclosing Party or its Representatives, having the legal right to disclose the Confidential Information of the Disclosing Party if the other source is not known (after reasonable due inquiry) by the Recipient to be bound by any obligations (contractual, legal, fiduciary, or otherwise) of confidentiality to the Disclosing Party for the Confidential Information;</w:t>
      </w:r>
    </w:p>
    <w:p>
      <w:pPr>
        <w:spacing w:after="0" w:line="202" w:lineRule="exact"/>
        <w:rPr>
          <w:rFonts w:ascii="Arial" w:cs="Arial" w:eastAsia="Arial" w:hAnsi="Arial"/>
          <w:sz w:val="18"/>
          <w:szCs w:val="18"/>
          <w:color w:val="auto"/>
        </w:rPr>
      </w:pPr>
    </w:p>
    <w:p>
      <w:pPr>
        <w:jc w:val="both"/>
        <w:ind w:left="980" w:hanging="405"/>
        <w:spacing w:after="0"/>
        <w:tabs>
          <w:tab w:leader="none" w:pos="118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is independently developed by the Recipient outside the context of the Manufacturing Services or the Development Services and without use of or reference to the Disclosing Party's Confidential Information as evidenced by Recipient’s written records; or</w:t>
      </w:r>
    </w:p>
    <w:p>
      <w:pPr>
        <w:spacing w:after="0" w:line="202" w:lineRule="exact"/>
        <w:rPr>
          <w:rFonts w:ascii="Arial" w:cs="Arial" w:eastAsia="Arial" w:hAnsi="Arial"/>
          <w:sz w:val="18"/>
          <w:szCs w:val="18"/>
          <w:color w:val="auto"/>
        </w:rPr>
      </w:pPr>
    </w:p>
    <w:p>
      <w:pPr>
        <w:ind w:left="1000" w:hanging="425"/>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is expressly authorized for release by the written authorization of the Disclosing Party.</w:t>
      </w:r>
    </w:p>
    <w:p>
      <w:pPr>
        <w:spacing w:after="0" w:line="212" w:lineRule="exact"/>
        <w:rPr>
          <w:sz w:val="20"/>
          <w:szCs w:val="20"/>
          <w:color w:val="auto"/>
        </w:rPr>
      </w:pPr>
    </w:p>
    <w:p>
      <w:pPr>
        <w:jc w:val="both"/>
        <w:ind w:firstLine="612"/>
        <w:spacing w:after="0"/>
        <w:rPr>
          <w:sz w:val="20"/>
          <w:szCs w:val="20"/>
          <w:color w:val="auto"/>
        </w:rPr>
      </w:pPr>
      <w:r>
        <w:rPr>
          <w:rFonts w:ascii="Arial" w:cs="Arial" w:eastAsia="Arial" w:hAnsi="Arial"/>
          <w:sz w:val="18"/>
          <w:szCs w:val="18"/>
          <w:color w:val="auto"/>
        </w:rPr>
        <w:t>Any combination of information which comprises part of the Confidential Information is not exempt from the obligations of confidentiality merely because individual parts of that Confidential Information are covered by exceptions in this Section 11.3, unless the combination itself is covered by any of those exceptions.</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u w:val="single" w:color="auto"/>
          <w:color w:val="auto"/>
        </w:rPr>
        <w:t>Photographs and Recordings</w:t>
      </w:r>
      <w:r>
        <w:rPr>
          <w:rFonts w:ascii="Arial" w:cs="Arial" w:eastAsia="Arial" w:hAnsi="Arial"/>
          <w:sz w:val="17"/>
          <w:szCs w:val="17"/>
          <w:color w:val="auto"/>
        </w:rPr>
        <w:t>.</w:t>
      </w:r>
    </w:p>
    <w:p>
      <w:pPr>
        <w:spacing w:after="0" w:line="212" w:lineRule="exact"/>
        <w:rPr>
          <w:sz w:val="20"/>
          <w:szCs w:val="20"/>
          <w:color w:val="auto"/>
        </w:rPr>
      </w:pPr>
    </w:p>
    <w:p>
      <w:pPr>
        <w:jc w:val="both"/>
        <w:ind w:right="20" w:firstLine="612"/>
        <w:spacing w:after="0"/>
        <w:rPr>
          <w:sz w:val="20"/>
          <w:szCs w:val="20"/>
          <w:color w:val="auto"/>
        </w:rPr>
      </w:pPr>
      <w:r>
        <w:rPr>
          <w:rFonts w:ascii="Arial" w:cs="Arial" w:eastAsia="Arial" w:hAnsi="Arial"/>
          <w:sz w:val="18"/>
          <w:szCs w:val="18"/>
          <w:color w:val="auto"/>
        </w:rPr>
        <w:t>Neither party will take any photographs or videos of the interior of the other party’s facilities, equipment or processes, nor use any other audio or visual recording equipment (such as camera phones) while at the other party’s facilities, without that party’s express written consent.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u w:val="single" w:color="auto"/>
          <w:color w:val="auto"/>
        </w:rPr>
        <w:t>Permitted Disclosure</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6" w:lineRule="auto"/>
        <w:rPr>
          <w:sz w:val="20"/>
          <w:szCs w:val="20"/>
          <w:color w:val="auto"/>
        </w:rPr>
      </w:pPr>
      <w:r>
        <w:rPr>
          <w:rFonts w:ascii="Arial" w:cs="Arial" w:eastAsia="Arial" w:hAnsi="Arial"/>
          <w:sz w:val="18"/>
          <w:szCs w:val="18"/>
          <w:color w:val="auto"/>
        </w:rPr>
        <w:t>Notwithstanding any other provision of this Agreement, the Recipient may disclose Confidential Information of the Disclosing Party to the extent required, as advised by counsel, in response to a valid order of a court or other governmental body or as required by law, regulation or stock exchange rule applicable to it. But, to the extent lawful, the Recipient will advise the Disclosing Party in advance of the disclosure and limit the required disclosure to the extent practicable and permissible by the order, law, regulation or stock exchange rule and any other applicable law, will reasonably cooperate with the Disclosing Party, if requested, in seeking an appropriate protective order or other remedy, and will otherwise continue to perform its obligations under this Section 11 with respect to information so disclosed. If any public disclosure is required by law, the parties will consult concerning the form of announcement prior to the public disclosure being made.</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u w:val="single" w:color="auto"/>
          <w:color w:val="auto"/>
        </w:rPr>
        <w:t>Return of Confidential Information</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6" w:lineRule="auto"/>
        <w:rPr>
          <w:sz w:val="20"/>
          <w:szCs w:val="20"/>
          <w:color w:val="auto"/>
        </w:rPr>
      </w:pPr>
      <w:r>
        <w:rPr>
          <w:rFonts w:ascii="Arial" w:cs="Arial" w:eastAsia="Arial" w:hAnsi="Arial"/>
          <w:sz w:val="18"/>
          <w:szCs w:val="18"/>
          <w:color w:val="auto"/>
        </w:rPr>
        <w:t>Upon the written request of the Disclosing Party, the Recipient will promptly return or otherwise deliver the Confidential Information of the Disclosing Party to the Disclosing Party or, if the Disclosing Party directs, destroy all Confidential Information of the Disclosing Party that is in tangible form including any copies, summaries, compilations, analyses or other notes derived from the Confidential Information, except for one copy which may be maintained by the Recipient in the sole and exclusive custody of its legal department to be held for the sole purpose of assessing compliance with the terms of this Agreement. The retained copy will remain subject to all confidentiality provisions contained in this Agreement. Client will not unreasonably require the return of Confidential Information that is necessary or useful to perform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466725</wp:posOffset>
            </wp:positionV>
            <wp:extent cx="62922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30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26" w:name="page127"/>
    <w:bookmarkEnd w:id="126"/>
    <w:p>
      <w:pPr>
        <w:jc w:val="both"/>
        <w:spacing w:after="0" w:line="246" w:lineRule="auto"/>
        <w:rPr>
          <w:sz w:val="20"/>
          <w:szCs w:val="20"/>
          <w:color w:val="auto"/>
        </w:rPr>
      </w:pPr>
      <w:r>
        <w:rPr>
          <w:rFonts w:ascii="Arial" w:cs="Arial" w:eastAsia="Arial" w:hAnsi="Arial"/>
          <w:sz w:val="18"/>
          <w:szCs w:val="18"/>
          <w:color w:val="auto"/>
        </w:rPr>
        <w:t>Manufacturing Services. Patheon will not unreasonably require the return of Confidential Information that is necessary or useful to exercise its rights under this Agreement.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u w:val="single" w:color="auto"/>
          <w:color w:val="auto"/>
        </w:rPr>
        <w:t>Remedies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7" w:lineRule="auto"/>
        <w:rPr>
          <w:sz w:val="20"/>
          <w:szCs w:val="20"/>
          <w:color w:val="auto"/>
        </w:rPr>
      </w:pPr>
      <w:r>
        <w:rPr>
          <w:rFonts w:ascii="Arial" w:cs="Arial" w:eastAsia="Arial" w:hAnsi="Arial"/>
          <w:sz w:val="18"/>
          <w:szCs w:val="18"/>
          <w:color w:val="auto"/>
        </w:rPr>
        <w:t>The parties acknowledge that monetary damages will not be sufficient to remedy a breach by either party of this Section 11 and therefore agree that the non-breaching party will be entitled to specific performance, injunctive or other equitable relief in any court of competent jurisdiction (notwithstanding Section 13.15) to prevent breaches of this Section 11 and to specifically enforce Section 11 in addition to any other remedies available at law or in equity. These remedies will not be the exclusive remedies for breach of this Section 11 but will be in addition to any and all other remedies available at law or in equity. Each party agrees to waive any bond requirement as a condition to the grant of any equitable relief.</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obligations contained in this Section 11 will survive any termination of this Agreement for seven years from the last day of the Term.</w:t>
      </w:r>
    </w:p>
    <w:p>
      <w:pPr>
        <w:spacing w:after="0" w:line="165"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u w:val="single" w:color="auto"/>
          <w:color w:val="auto"/>
        </w:rPr>
        <w:t>Inventions</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tabs>
          <w:tab w:leader="none" w:pos="110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the term of this Agreement, Client grants to Patheon a [***]. This license does not extend to Client’s Affiliates, Licensees or any third party absent a license granted by Client to the third party, or other separate written consent by Client in each case.</w:t>
      </w:r>
    </w:p>
    <w:p>
      <w:pPr>
        <w:spacing w:after="0" w:line="202" w:lineRule="exact"/>
        <w:rPr>
          <w:rFonts w:ascii="Arial" w:cs="Arial" w:eastAsia="Arial" w:hAnsi="Arial"/>
          <w:sz w:val="18"/>
          <w:szCs w:val="18"/>
          <w:color w:val="auto"/>
        </w:rPr>
      </w:pPr>
    </w:p>
    <w:p>
      <w:pPr>
        <w:ind w:left="980" w:hanging="405"/>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Client Intellectual Property will be the exclusive property of Client.</w:t>
      </w:r>
    </w:p>
    <w:p>
      <w:pPr>
        <w:spacing w:after="0" w:line="211" w:lineRule="exact"/>
        <w:rPr>
          <w:rFonts w:ascii="Arial" w:cs="Arial" w:eastAsia="Arial" w:hAnsi="Arial"/>
          <w:sz w:val="18"/>
          <w:szCs w:val="18"/>
          <w:color w:val="auto"/>
        </w:rPr>
      </w:pPr>
    </w:p>
    <w:p>
      <w:pPr>
        <w:jc w:val="both"/>
        <w:ind w:left="980" w:hanging="405"/>
        <w:spacing w:after="0"/>
        <w:tabs>
          <w:tab w:leader="none" w:pos="98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Patheon Intellectual Property will be the exclusive property of Patheon. Unless Patheon identifies in advance any specific Patheon Intellectual Property that will be subject to a separate licensing agreement between the parties, Patheon grants to Client a [***].</w:t>
      </w:r>
    </w:p>
    <w:p>
      <w:pPr>
        <w:spacing w:after="0" w:line="202" w:lineRule="exact"/>
        <w:rPr>
          <w:rFonts w:ascii="Arial" w:cs="Arial" w:eastAsia="Arial" w:hAnsi="Arial"/>
          <w:sz w:val="18"/>
          <w:szCs w:val="18"/>
          <w:color w:val="auto"/>
        </w:rPr>
      </w:pPr>
    </w:p>
    <w:p>
      <w:pPr>
        <w:ind w:left="980" w:right="20" w:hanging="405"/>
        <w:spacing w:after="0" w:line="246" w:lineRule="auto"/>
        <w:tabs>
          <w:tab w:leader="none" w:pos="101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party will be solely responsible for the costs of filing, prosecution, and maintenance of patents and patent applications on its own Inventions.</w:t>
      </w:r>
    </w:p>
    <w:p>
      <w:pPr>
        <w:spacing w:after="0" w:line="196" w:lineRule="exact"/>
        <w:rPr>
          <w:rFonts w:ascii="Arial" w:cs="Arial" w:eastAsia="Arial" w:hAnsi="Arial"/>
          <w:sz w:val="18"/>
          <w:szCs w:val="18"/>
          <w:color w:val="auto"/>
        </w:rPr>
      </w:pPr>
    </w:p>
    <w:p>
      <w:pPr>
        <w:jc w:val="both"/>
        <w:ind w:left="980" w:hanging="405"/>
        <w:spacing w:after="0"/>
        <w:tabs>
          <w:tab w:leader="none" w:pos="106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party will give the other party written notice, as promptly as practicable, of all Inventions that comprise either the Client Intellectual Property or the Patheon Intellectual Property, in each case developed by Patheon while performing any Manufacturing Services or Development Services.</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8" w:lineRule="auto"/>
        <w:rPr>
          <w:sz w:val="20"/>
          <w:szCs w:val="20"/>
          <w:color w:val="auto"/>
        </w:rPr>
      </w:pPr>
      <w:r>
        <w:rPr>
          <w:rFonts w:ascii="Arial" w:cs="Arial" w:eastAsia="Arial" w:hAnsi="Arial"/>
          <w:sz w:val="18"/>
          <w:szCs w:val="18"/>
          <w:color w:val="auto"/>
        </w:rPr>
        <w:t>Except as expressly set out in Section 12.1 or otherwise in this Agreement, neither party has, nor will it acquire, any interest in any of the other party’s Intellectual Property unless otherwise expressly agreed to in writing. Neither party will use any Intellectual Property of the other party, except as specifically authorized by the other party in writing or as required for the performance of its obligations or exercise of its rights under this Agreement. Client may use the Patheon Intellectual Property and Patheon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463550</wp:posOffset>
            </wp:positionV>
            <wp:extent cx="62922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31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27" w:name="page128"/>
    <w:bookmarkEnd w:id="127"/>
    <w:p>
      <w:pPr>
        <w:spacing w:after="0" w:line="246" w:lineRule="auto"/>
        <w:rPr>
          <w:sz w:val="20"/>
          <w:szCs w:val="20"/>
          <w:color w:val="auto"/>
        </w:rPr>
      </w:pPr>
      <w:r>
        <w:rPr>
          <w:rFonts w:ascii="Arial" w:cs="Arial" w:eastAsia="Arial" w:hAnsi="Arial"/>
          <w:sz w:val="18"/>
          <w:szCs w:val="18"/>
          <w:color w:val="auto"/>
        </w:rPr>
        <w:t>Information licensed to Client under Section 12.1(c) in the manufacture of the Product, whether internally or by one or more third parties.</w:t>
      </w:r>
    </w:p>
    <w:p>
      <w:pPr>
        <w:spacing w:after="0" w:line="165"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212" w:lineRule="exact"/>
        <w:rPr>
          <w:sz w:val="20"/>
          <w:szCs w:val="20"/>
          <w:color w:val="auto"/>
        </w:rPr>
      </w:pPr>
    </w:p>
    <w:p>
      <w:pPr>
        <w:jc w:val="both"/>
        <w:ind w:left="620"/>
        <w:spacing w:after="0" w:line="236" w:lineRule="auto"/>
        <w:rPr>
          <w:sz w:val="20"/>
          <w:szCs w:val="20"/>
          <w:color w:val="auto"/>
        </w:rPr>
      </w:pPr>
      <w:r>
        <w:rPr>
          <w:rFonts w:ascii="Arial" w:cs="Arial" w:eastAsia="Arial" w:hAnsi="Arial"/>
          <w:sz w:val="18"/>
          <w:szCs w:val="18"/>
          <w:color w:val="auto"/>
        </w:rPr>
        <w:t>Each party will maintain commercial general liability insurance, including blanket contractual liability insurance covering the obligations of that party under this Agreement through the term of this Agreement and for a period of three years after that. This insurance will have policy limits of not less than: (i) [***] for each occurrence for personal injury or property damage liability; and (ii) [***] in the aggregate per annum for product and completed operations liability. If requested each party will give the other a certificate of insurance evidencing the above and showing the name of the issuing company, the policy number, the effective date, the expiration date, and the limits of liability. The insurance certificate will further provide for a minimum of 30 days' written notice to the insured of a cancellation of, or material change in, the insurance. If a party is unable to maintain the insurance policies required under this Agreement through no fault of its own, then the party will without delay notify the other party in writing and the parties will in good faith negotiate appropriate amendments to the insurance provision of this Agreement in order to provide adequate assurances.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No Agency or Partnership</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rPr>
          <w:sz w:val="20"/>
          <w:szCs w:val="20"/>
          <w:color w:val="auto"/>
        </w:rPr>
      </w:pPr>
      <w:r>
        <w:rPr>
          <w:rFonts w:ascii="Arial" w:cs="Arial" w:eastAsia="Arial" w:hAnsi="Arial"/>
          <w:sz w:val="18"/>
          <w:szCs w:val="18"/>
          <w:color w:val="auto"/>
        </w:rPr>
        <w:t>The parties are independent contractors and this Agreement does not create between the parties any other relationship such as, by way of example only, that of employer and employee, principal and agent, joint-venturers, co-partners, or any similar relationship, the existence of which is expressly denied by the parties.</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u w:val="single" w:color="auto"/>
          <w:color w:val="auto"/>
        </w:rPr>
        <w:t>No Waiver</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rPr>
          <w:sz w:val="20"/>
          <w:szCs w:val="20"/>
          <w:color w:val="auto"/>
        </w:rPr>
      </w:pPr>
      <w:r>
        <w:rPr>
          <w:rFonts w:ascii="Arial" w:cs="Arial" w:eastAsia="Arial" w:hAnsi="Arial"/>
          <w:sz w:val="18"/>
          <w:szCs w:val="18"/>
          <w:color w:val="auto"/>
        </w:rPr>
        <w:t>Neither party's failure to require the other party to comply with any provision of this Agreement will be considered a waiver of the provision or any other provision of this Agreement, with the exception of Sections 6.1 and 8.2(a) of this Agreement.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u w:val="single" w:color="auto"/>
          <w:color w:val="auto"/>
        </w:rPr>
        <w:t>Assignment</w:t>
      </w:r>
      <w:r>
        <w:rPr>
          <w:rFonts w:ascii="Arial" w:cs="Arial" w:eastAsia="Arial" w:hAnsi="Arial"/>
          <w:sz w:val="17"/>
          <w:szCs w:val="17"/>
          <w:color w:val="auto"/>
        </w:rPr>
        <w:t>.</w:t>
      </w:r>
    </w:p>
    <w:p>
      <w:pPr>
        <w:spacing w:after="0" w:line="212" w:lineRule="exact"/>
        <w:rPr>
          <w:sz w:val="20"/>
          <w:szCs w:val="20"/>
          <w:color w:val="auto"/>
        </w:rPr>
      </w:pPr>
    </w:p>
    <w:p>
      <w:pPr>
        <w:jc w:val="both"/>
        <w:ind w:left="980" w:hanging="405"/>
        <w:spacing w:after="0" w:line="237" w:lineRule="auto"/>
        <w:tabs>
          <w:tab w:leader="none" w:pos="107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Patheon may not assign this Agreement or any of its associated rights or obligations thereunder without the written consent of Client. Notwithstanding the foregoing, Patheon may assign this Agreement (i) to any of its Affiliates or (ii) to a successor to or purchaser of all or substantially all of its business, if (I) performance of activities hereunder remains at the Manufacturing Site, (II) the FDA registration number for the Manufacturing Site does not change and (III) the assignee executes an agreement with Client whereby it agrees to be bound by the obligations of this Agreement owed to Client. Any assignment in violation of this Agreement will be void.</w:t>
      </w:r>
    </w:p>
    <w:p>
      <w:pPr>
        <w:spacing w:after="0" w:line="204" w:lineRule="exact"/>
        <w:rPr>
          <w:rFonts w:ascii="Arial" w:cs="Arial" w:eastAsia="Arial" w:hAnsi="Arial"/>
          <w:sz w:val="18"/>
          <w:szCs w:val="18"/>
          <w:color w:val="auto"/>
        </w:rPr>
      </w:pPr>
    </w:p>
    <w:p>
      <w:pPr>
        <w:jc w:val="both"/>
        <w:ind w:left="980" w:hanging="405"/>
        <w:spacing w:after="0" w:line="238" w:lineRule="auto"/>
        <w:tabs>
          <w:tab w:leader="none" w:pos="11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Section 8.2(d), Client may assign this Agreement or any of its associated rights or obligations thereunder (in whole or in part) without approval from Patheon to (each of the following a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Assignee</w:t>
      </w:r>
      <w:r>
        <w:rPr>
          <w:rFonts w:ascii="Arial" w:cs="Arial" w:eastAsia="Arial" w:hAnsi="Arial"/>
          <w:sz w:val="18"/>
          <w:szCs w:val="18"/>
          <w:color w:val="auto"/>
        </w:rPr>
        <w:t>”): (i) a successor to all of Client’s business or purchaser of all or substantially all of Client’s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related to the Product, (ii) any licensee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32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28" w:name="page129"/>
    <w:bookmarkEnd w:id="128"/>
    <w:p>
      <w:pPr>
        <w:jc w:val="both"/>
        <w:ind w:left="980"/>
        <w:spacing w:after="0" w:line="237" w:lineRule="auto"/>
        <w:rPr>
          <w:sz w:val="20"/>
          <w:szCs w:val="20"/>
          <w:color w:val="auto"/>
        </w:rPr>
      </w:pPr>
      <w:r>
        <w:rPr>
          <w:rFonts w:ascii="Arial" w:cs="Arial" w:eastAsia="Arial" w:hAnsi="Arial"/>
          <w:sz w:val="18"/>
          <w:szCs w:val="18"/>
          <w:color w:val="auto"/>
        </w:rPr>
        <w:t>partner of Client where the licensee or partner has been granted the rights to market, distribute or sell the Product in the Territory (or any part thereof), or (iii) to an Affiliate. Promptly upon the assignment to a Permitted Assignee, the Client will give Patheon written notice of the assignment and copies of all instruments of assignment, and any Permitted Assignee will covenant in writing with Patheon to be bound by the terms of this Agreement to the extent assigned to the Permitted Assignee. Client may not assign this Agreement or any of its associated rights or obligations thereunder to any person other than a Permitted Assignee without the written consent of Patheon.</w:t>
      </w:r>
    </w:p>
    <w:p>
      <w:pPr>
        <w:spacing w:after="0" w:line="203" w:lineRule="exact"/>
        <w:rPr>
          <w:sz w:val="20"/>
          <w:szCs w:val="20"/>
          <w:color w:val="auto"/>
        </w:rPr>
      </w:pPr>
    </w:p>
    <w:p>
      <w:pPr>
        <w:ind w:right="3280" w:firstLine="575"/>
        <w:spacing w:after="0" w:line="485" w:lineRule="auto"/>
        <w:tabs>
          <w:tab w:leader="none" w:pos="96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Any assignment in violation of this Section 13.4 will be considered void. 13.5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jc w:val="both"/>
        <w:ind w:firstLine="612"/>
        <w:spacing w:after="0" w:line="235" w:lineRule="auto"/>
        <w:rPr>
          <w:sz w:val="20"/>
          <w:szCs w:val="20"/>
          <w:color w:val="auto"/>
        </w:rPr>
      </w:pPr>
      <w:r>
        <w:rPr>
          <w:rFonts w:ascii="Arial" w:cs="Arial" w:eastAsia="Arial" w:hAnsi="Arial"/>
          <w:sz w:val="18"/>
          <w:szCs w:val="18"/>
          <w:color w:val="auto"/>
        </w:rPr>
        <w:t>Neither party will be liable for the failure to perform its obligations under this Agreement if the failure is caused by an event beyond that party's reasonable control, including, but not limited to, strikes or other labor disturbances, lockouts, riots, quarantines, communicable disease outbreaks, wars, acts of terrorism, cyber-attacks, fires, floods, storms, interruption of or delay in transportation, defective equipment, lack of or inability to obtain fuel, power or components, or compliance with any order, regulation, or enforcement decision of any Authority (a "</w:t>
      </w:r>
      <w:r>
        <w:rPr>
          <w:rFonts w:ascii="Arial" w:cs="Arial" w:eastAsia="Arial" w:hAnsi="Arial"/>
          <w:sz w:val="18"/>
          <w:szCs w:val="18"/>
          <w:b w:val="1"/>
          <w:bCs w:val="1"/>
          <w:color w:val="auto"/>
        </w:rPr>
        <w:t>Force Majeure Event</w:t>
      </w:r>
      <w:r>
        <w:rPr>
          <w:rFonts w:ascii="Arial" w:cs="Arial" w:eastAsia="Arial" w:hAnsi="Arial"/>
          <w:sz w:val="18"/>
          <w:szCs w:val="18"/>
          <w:color w:val="auto"/>
        </w:rPr>
        <w:t>"). A party claiming a right to excused performance under this Section 13.5 will immediately notify the other party in writing of the extent of its inability to perform, which notice will specify the event beyond its reasonable control that prevents the performance, and will use commercially reasonable efforts to mitigate the contingency and recommence its performance of the obligation as soon as commercially practicable. If a Force Majeure Event causes a partial but not complete inability to perform its obligations under this Agreement, that Party will perform to the maximum extent it is able to, if a Force Majeure Event results in a partial reduction in manufacturing capacity at a Manufacturing Site, (a) to the extent reasonably practical, Patheon will supply Client proportionately with Patheon’s other customers and (b) Client may obtain the balance of Product required from any one or more third persons or produce the Product itself without any liability for violation of Section 2.2. Neither party will be entitled to rely on a Force Majeure Event to relieve it from an obligation to pay money (including any interest for delayed payment) which would otherwise be due and payable under this Agreement. If a Force Majeure Event is not resolved within 120 days, the other party may terminate this Agreement on written notice.</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7"/>
          <w:szCs w:val="17"/>
          <w:u w:val="single" w:color="auto"/>
          <w:color w:val="auto"/>
        </w:rPr>
        <w:t>Additional Product and Services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8" w:lineRule="auto"/>
        <w:rPr>
          <w:sz w:val="20"/>
          <w:szCs w:val="20"/>
          <w:color w:val="auto"/>
        </w:rPr>
      </w:pPr>
      <w:r>
        <w:rPr>
          <w:rFonts w:ascii="Arial" w:cs="Arial" w:eastAsia="Arial" w:hAnsi="Arial"/>
          <w:sz w:val="18"/>
          <w:szCs w:val="18"/>
          <w:color w:val="auto"/>
        </w:rPr>
        <w:t>Additional Product may be added to this Agreement by amendment. If Client requests services other than those expressly set out in this Agreement (such as qualification of a new packaging configuration or shipping studies, or validation of alternative batch sizes), or any cost items that are specifically excluded from the Price, Patheon will provide a written quote of the fee for the additional services and Client will advise Patheon whether it wishes to have the additional services performed by Patheon. The scope of work and fees will be agreed in writing by the parties.</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rPr>
          <w:sz w:val="20"/>
          <w:szCs w:val="20"/>
          <w:color w:val="auto"/>
        </w:rPr>
      </w:pPr>
      <w:r>
        <w:rPr>
          <w:rFonts w:ascii="Arial" w:cs="Arial" w:eastAsia="Arial" w:hAnsi="Arial"/>
          <w:sz w:val="18"/>
          <w:szCs w:val="18"/>
          <w:color w:val="auto"/>
        </w:rPr>
        <w:t>Any notice, approval, instruction or other written communication required or permitted under this Agreement will be sufficient if made or given to the other party by personal delivery or confirmed receipt email or by sending the same by first class mail, postage prepaid to the respective addresses or email addresses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394970</wp:posOffset>
            </wp:positionV>
            <wp:extent cx="62922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33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00" w:right="999" w:bottom="1440" w:gutter="0" w:footer="0" w:header="0"/>
        </w:sectPr>
      </w:pPr>
    </w:p>
    <w:bookmarkStart w:id="129" w:name="page130"/>
    <w:bookmarkEnd w:id="129"/>
    <w:p>
      <w:pPr>
        <w:ind w:left="620"/>
        <w:spacing w:after="0"/>
        <w:rPr>
          <w:sz w:val="20"/>
          <w:szCs w:val="20"/>
          <w:color w:val="auto"/>
        </w:rPr>
      </w:pPr>
      <w:r>
        <w:rPr>
          <w:rFonts w:ascii="Arial" w:cs="Arial" w:eastAsia="Arial" w:hAnsi="Arial"/>
          <w:sz w:val="18"/>
          <w:szCs w:val="18"/>
          <w:color w:val="auto"/>
        </w:rPr>
        <w:t>If to Client: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Ardelyx, Inc.</w:t>
      </w:r>
    </w:p>
    <w:p>
      <w:pPr>
        <w:ind w:left="620"/>
        <w:spacing w:after="0" w:line="234" w:lineRule="auto"/>
        <w:rPr>
          <w:sz w:val="20"/>
          <w:szCs w:val="20"/>
          <w:color w:val="auto"/>
        </w:rPr>
      </w:pPr>
      <w:r>
        <w:rPr>
          <w:rFonts w:ascii="Arial" w:cs="Arial" w:eastAsia="Arial" w:hAnsi="Arial"/>
          <w:sz w:val="18"/>
          <w:szCs w:val="18"/>
          <w:color w:val="auto"/>
        </w:rPr>
        <w:t>[***]</w:t>
      </w:r>
    </w:p>
    <w:p>
      <w:pPr>
        <w:ind w:left="620"/>
        <w:spacing w:after="0" w:line="235" w:lineRule="auto"/>
        <w:rPr>
          <w:sz w:val="20"/>
          <w:szCs w:val="20"/>
          <w:color w:val="auto"/>
        </w:rPr>
      </w:pPr>
      <w:r>
        <w:rPr>
          <w:rFonts w:ascii="Arial" w:cs="Arial" w:eastAsia="Arial" w:hAnsi="Arial"/>
          <w:sz w:val="18"/>
          <w:szCs w:val="18"/>
          <w:color w:val="auto"/>
        </w:rPr>
        <w:t>Attention: [***]</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Email address: [***]</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a copy to: [***]</w:t>
      </w:r>
    </w:p>
    <w:p>
      <w:pPr>
        <w:ind w:left="620"/>
        <w:spacing w:after="0"/>
        <w:rPr>
          <w:sz w:val="20"/>
          <w:szCs w:val="20"/>
          <w:color w:val="auto"/>
        </w:rPr>
      </w:pPr>
      <w:r>
        <w:rPr>
          <w:rFonts w:ascii="Arial" w:cs="Arial" w:eastAsia="Arial" w:hAnsi="Arial"/>
          <w:sz w:val="18"/>
          <w:szCs w:val="18"/>
          <w:color w:val="auto"/>
        </w:rPr>
        <w:t>Email address: [***]</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to Patheon:</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Patheon Pharmaceuticals Inc.</w:t>
      </w:r>
    </w:p>
    <w:p>
      <w:pPr>
        <w:ind w:left="620"/>
        <w:spacing w:after="0" w:line="234" w:lineRule="auto"/>
        <w:rPr>
          <w:sz w:val="20"/>
          <w:szCs w:val="20"/>
          <w:color w:val="auto"/>
        </w:rPr>
      </w:pPr>
      <w:r>
        <w:rPr>
          <w:rFonts w:ascii="Arial" w:cs="Arial" w:eastAsia="Arial" w:hAnsi="Arial"/>
          <w:sz w:val="18"/>
          <w:szCs w:val="18"/>
          <w:color w:val="auto"/>
        </w:rPr>
        <w:t>[***]</w:t>
      </w:r>
    </w:p>
    <w:p>
      <w:pPr>
        <w:ind w:left="620"/>
        <w:spacing w:after="0" w:line="235" w:lineRule="auto"/>
        <w:rPr>
          <w:sz w:val="20"/>
          <w:szCs w:val="20"/>
          <w:color w:val="auto"/>
        </w:rPr>
      </w:pPr>
      <w:r>
        <w:rPr>
          <w:rFonts w:ascii="Arial" w:cs="Arial" w:eastAsia="Arial" w:hAnsi="Arial"/>
          <w:sz w:val="18"/>
          <w:szCs w:val="18"/>
          <w:color w:val="auto"/>
        </w:rPr>
        <w:t>Attention: [***]</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Email address: [***]</w:t>
      </w:r>
    </w:p>
    <w:p>
      <w:pPr>
        <w:spacing w:after="0" w:line="3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or to any other addresses or email addresses given to the other party in accordance with the terms of this Section 13.7. Notices or written communications made or given by personal delivery, or email will be considered to have been sufficiently made or given when sent (receipt acknowledged), or if mailed, five days after being deposited in the United States, Canada, or European Union mail, postage prepaid or upon receipt (supported by reasonable written evidence), whichever is sooner.</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rPr>
          <w:sz w:val="20"/>
          <w:szCs w:val="20"/>
          <w:color w:val="auto"/>
        </w:rPr>
      </w:pPr>
      <w:r>
        <w:rPr>
          <w:rFonts w:ascii="Arial" w:cs="Arial" w:eastAsia="Arial" w:hAnsi="Arial"/>
          <w:sz w:val="18"/>
          <w:szCs w:val="18"/>
          <w:color w:val="auto"/>
        </w:rPr>
        <w:t>If any provision of this Agreement is determined by a court of competent jurisdiction to be invalid, illegal, or unenforceable in any respect, that determination will not impair or affect the validity, legality, or enforceability of the remaining provisions, because each provision is separate, severable, and distinct.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7"/>
          <w:szCs w:val="17"/>
          <w:u w:val="single" w:color="auto"/>
          <w:color w:val="auto"/>
        </w:rPr>
        <w:t>Entire Agreement</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6" w:lineRule="auto"/>
        <w:rPr>
          <w:sz w:val="20"/>
          <w:szCs w:val="20"/>
          <w:color w:val="auto"/>
        </w:rPr>
      </w:pPr>
      <w:r>
        <w:rPr>
          <w:rFonts w:ascii="Arial" w:cs="Arial" w:eastAsia="Arial" w:hAnsi="Arial"/>
          <w:sz w:val="18"/>
          <w:szCs w:val="18"/>
          <w:color w:val="auto"/>
        </w:rPr>
        <w:t>This Agreement, together with its Appendices and the Quality Agreement constitutes the full, complete, final and integrated agreement between the parties relating to the subject matter of the Agreement and supersedes all previous written or oral negotiations, commitments, representations, agreements, transactions, or understandings concerning the subject matter of this Agreement. The basis of the parties’ agreement is set out expressly and they have not been induced by or relied on any statement or representation that is not set out in this Agreement. Any modification, amendment, or supplement to this Agreement must be in writing and signed by authorized representatives of both parties. In case of conflict, this Agreement will prevail over the Quality Agreement (except that the Quality Agreement will prevail in relation to quality matters).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7"/>
          <w:szCs w:val="17"/>
          <w:u w:val="single" w:color="auto"/>
          <w:color w:val="auto"/>
        </w:rPr>
        <w:t>Other Terms</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8" w:lineRule="auto"/>
        <w:rPr>
          <w:sz w:val="20"/>
          <w:szCs w:val="20"/>
          <w:color w:val="auto"/>
        </w:rPr>
      </w:pPr>
      <w:r>
        <w:rPr>
          <w:rFonts w:ascii="Arial" w:cs="Arial" w:eastAsia="Arial" w:hAnsi="Arial"/>
          <w:sz w:val="18"/>
          <w:szCs w:val="18"/>
          <w:color w:val="auto"/>
        </w:rPr>
        <w:t>No terms, provisions or conditions of any purchase order or other business form or written authorization used by the parties will have any effect on the rights, duties, or obligations of the parties under or otherwise modify this Agreement regardless of any failure of a party to object to the terms, provisions, or conditions unless the document specifically refers to this Agreement and is signed by both parties.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7"/>
          <w:szCs w:val="17"/>
          <w:u w:val="single" w:color="auto"/>
          <w:color w:val="auto"/>
        </w:rPr>
        <w:t>No Third Party Benefit or Right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34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30" w:name="page131"/>
    <w:bookmarkEnd w:id="130"/>
    <w:p>
      <w:pPr>
        <w:jc w:val="both"/>
        <w:ind w:firstLine="612"/>
        <w:spacing w:after="0" w:line="238" w:lineRule="auto"/>
        <w:rPr>
          <w:sz w:val="20"/>
          <w:szCs w:val="20"/>
          <w:color w:val="auto"/>
        </w:rPr>
      </w:pPr>
      <w:r>
        <w:rPr>
          <w:rFonts w:ascii="Arial" w:cs="Arial" w:eastAsia="Arial" w:hAnsi="Arial"/>
          <w:sz w:val="18"/>
          <w:szCs w:val="18"/>
          <w:color w:val="auto"/>
        </w:rPr>
        <w:t>Nothing in this Agreement will confer or be construed as conferring on any third party any benefit or the right to enforce any express or implied term of this Agreement (except that Patheon Affiliates acting as subcontractors under this Agreement may enforce Sections 10.1 and 10.2 and Client Licensees may enforce their rights under Section 7.5). The rights of the parties to terminate, rescind or agree any variation, waiver or settlement under this Agreement are not subject to the consent of any other person.</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w:t>
      </w:r>
    </w:p>
    <w:p>
      <w:pPr>
        <w:spacing w:after="0" w:line="190" w:lineRule="exact"/>
        <w:rPr>
          <w:sz w:val="20"/>
          <w:szCs w:val="20"/>
          <w:color w:val="auto"/>
        </w:rPr>
      </w:pPr>
    </w:p>
    <w:p>
      <w:pPr>
        <w:jc w:val="both"/>
        <w:ind w:firstLine="612"/>
        <w:spacing w:after="0" w:line="271" w:lineRule="auto"/>
        <w:rPr>
          <w:sz w:val="20"/>
          <w:szCs w:val="20"/>
          <w:color w:val="auto"/>
        </w:rPr>
      </w:pPr>
      <w:r>
        <w:rPr>
          <w:rFonts w:ascii="Arial" w:cs="Arial" w:eastAsia="Arial" w:hAnsi="Arial"/>
          <w:sz w:val="18"/>
          <w:szCs w:val="18"/>
          <w:color w:val="auto"/>
        </w:rPr>
        <w:t>This Agreement may be executed in two or more counterparts, by original or electronic (including “</w:t>
      </w:r>
      <w:r>
        <w:rPr>
          <w:rFonts w:ascii="Arial" w:cs="Arial" w:eastAsia="Arial" w:hAnsi="Arial"/>
          <w:sz w:val="18"/>
          <w:szCs w:val="18"/>
          <w:b w:val="1"/>
          <w:bCs w:val="1"/>
          <w:color w:val="auto"/>
        </w:rPr>
        <w:t>pdf</w:t>
      </w:r>
      <w:r>
        <w:rPr>
          <w:rFonts w:ascii="Arial" w:cs="Arial" w:eastAsia="Arial" w:hAnsi="Arial"/>
          <w:sz w:val="18"/>
          <w:szCs w:val="18"/>
          <w:color w:val="auto"/>
        </w:rPr>
        <w:t>”) signature, each of which will be considered an original, but all of which together will constitute one and the same instrument.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7"/>
          <w:szCs w:val="17"/>
          <w:u w:val="single" w:color="auto"/>
          <w:color w:val="auto"/>
        </w:rPr>
        <w:t>Use of Name</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rPr>
          <w:sz w:val="20"/>
          <w:szCs w:val="20"/>
          <w:color w:val="auto"/>
        </w:rPr>
      </w:pPr>
      <w:r>
        <w:rPr>
          <w:rFonts w:ascii="Arial" w:cs="Arial" w:eastAsia="Arial" w:hAnsi="Arial"/>
          <w:sz w:val="18"/>
          <w:szCs w:val="18"/>
          <w:color w:val="auto"/>
        </w:rPr>
        <w:t>Neither party may use the other party’s name, trademarks or logo or any variations of them, alone or with any other word or words, without the prior written consent of the other party, unless required in connection to a Regulatory Approval or any communications with a Regulatory Authority.</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Any payment to Patheon under this Agreement is exclusive of value added taxes, turnover, taxes, or similar taxes.</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13.15</w:t>
      </w:r>
      <w:r>
        <w:rPr>
          <w:sz w:val="20"/>
          <w:szCs w:val="20"/>
          <w:color w:val="auto"/>
        </w:rPr>
        <w:tab/>
      </w: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w:t>
      </w:r>
    </w:p>
    <w:p>
      <w:pPr>
        <w:spacing w:after="0" w:line="212" w:lineRule="exact"/>
        <w:rPr>
          <w:sz w:val="20"/>
          <w:szCs w:val="20"/>
          <w:color w:val="auto"/>
        </w:rPr>
      </w:pPr>
    </w:p>
    <w:p>
      <w:pPr>
        <w:jc w:val="both"/>
        <w:ind w:firstLine="612"/>
        <w:spacing w:after="0" w:line="235" w:lineRule="auto"/>
        <w:rPr>
          <w:sz w:val="20"/>
          <w:szCs w:val="20"/>
          <w:color w:val="auto"/>
        </w:rPr>
      </w:pPr>
      <w:r>
        <w:rPr>
          <w:rFonts w:ascii="Arial" w:cs="Arial" w:eastAsia="Arial" w:hAnsi="Arial"/>
          <w:sz w:val="18"/>
          <w:szCs w:val="18"/>
          <w:color w:val="auto"/>
        </w:rPr>
        <w:t>This Agreement and any dispute or claim (including non-contractual disputes or claims) arising out of or in connection with it or its subject matter or formation are governed by the laws of the State of New York, United States of America, without regard to any conflicts-of-law principle that directs the application to another jurisdiction’s law. Both parties hereby submit to the exclusive jurisdiction of: (i) the Supreme Court of the State of New York, New York County or (ii) the United States District Court for the Southern District of New York, for purposes of any lawsuit, action or other proceeding arising out of this Agreement. Each party agrees to commence any action, suit or proceeding either in the United States District Court for the Southern District of New York or, if the lawsuit, action or other proceeding may not be brought in that court for jurisdictional reasons, in the Supreme Court of the State of New York, New York County. Each party agrees that service of any process, summons, notice or document by United States registered mail or recognized international courier service to the party’s respective address set forth in Section 13.7 of this Agreement will be effective service of process for any lawsuit, action or other proceeding in New York for any matters to which it has submitted to jurisdiction in this Agreement. Each party irrevocably and unconditionally waives any objection to the venue of any lawsuit, actions or other proceeding arising out of this Agreement or the transactions contemplated hereby in any of the foregoing courts. The parties further expressly agree that the UN Convention on Contracts for the International Sale of Goods will not apply to this Agreement.</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13.16</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Disputes between the parties under this Agreement will be resolved as set forth in </w:t>
      </w:r>
      <w:r>
        <w:rPr>
          <w:rFonts w:ascii="Arial" w:cs="Arial" w:eastAsia="Arial" w:hAnsi="Arial"/>
          <w:sz w:val="18"/>
          <w:szCs w:val="18"/>
          <w:u w:val="single" w:color="auto"/>
          <w:color w:val="auto"/>
        </w:rPr>
        <w:t>Appendix 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35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2" w:right="99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677545</wp:posOffset>
            </wp:positionV>
            <wp:extent cx="62922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36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4" w:right="999" w:bottom="1440" w:gutter="0" w:footer="0" w:header="0"/>
        </w:sectPr>
      </w:pPr>
    </w:p>
    <w:bookmarkStart w:id="132" w:name="page133"/>
    <w:bookmarkEnd w:id="132"/>
    <w:p>
      <w:pPr>
        <w:ind w:firstLine="612"/>
        <w:spacing w:after="0" w:line="246" w:lineRule="auto"/>
        <w:rPr>
          <w:sz w:val="20"/>
          <w:szCs w:val="20"/>
          <w:color w:val="auto"/>
        </w:rPr>
      </w:pPr>
      <w:r>
        <w:rPr>
          <w:rFonts w:ascii="Arial" w:cs="Arial" w:eastAsia="Arial" w:hAnsi="Arial"/>
          <w:sz w:val="18"/>
          <w:szCs w:val="18"/>
          <w:color w:val="auto"/>
        </w:rPr>
        <w:t>This Agreement is signed by the authorized representatives of the parties on the dates shown below and will take effect from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254000</wp:posOffset>
            </wp:positionV>
            <wp:extent cx="6292215" cy="19716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97167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PATHEON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Amanda Bosse</w:t>
      </w:r>
    </w:p>
    <w:p>
      <w:pPr>
        <w:spacing w:after="0" w:line="225" w:lineRule="exact"/>
        <w:rPr>
          <w:sz w:val="20"/>
          <w:szCs w:val="20"/>
          <w:color w:val="auto"/>
        </w:rPr>
      </w:pPr>
    </w:p>
    <w:p>
      <w:pPr>
        <w:ind w:left="160"/>
        <w:spacing w:after="0"/>
        <w:tabs>
          <w:tab w:leader="none" w:pos="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Amanda Bosse</w:t>
      </w:r>
    </w:p>
    <w:p>
      <w:pPr>
        <w:spacing w:after="0" w:line="225" w:lineRule="exact"/>
        <w:rPr>
          <w:sz w:val="20"/>
          <w:szCs w:val="20"/>
          <w:color w:val="auto"/>
        </w:rPr>
      </w:pPr>
    </w:p>
    <w:p>
      <w:pPr>
        <w:ind w:left="160"/>
        <w:spacing w:after="0"/>
        <w:tabs>
          <w:tab w:leader="none" w:pos="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DPD NA</w:t>
      </w:r>
    </w:p>
    <w:p>
      <w:pPr>
        <w:spacing w:after="0" w:line="225" w:lineRule="exact"/>
        <w:rPr>
          <w:sz w:val="20"/>
          <w:szCs w:val="20"/>
          <w:color w:val="auto"/>
        </w:rPr>
      </w:pPr>
    </w:p>
    <w:p>
      <w:pPr>
        <w:ind w:left="160"/>
        <w:spacing w:after="0"/>
        <w:tabs>
          <w:tab w:leader="none" w:pos="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18 May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ARDELYX,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 Jacobs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Jeff Jacobs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C.S.O.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5/18/2020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-3523615</wp:posOffset>
            </wp:positionH>
            <wp:positionV relativeFrom="paragraph">
              <wp:posOffset>408940</wp:posOffset>
            </wp:positionV>
            <wp:extent cx="62922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4360"/>
          </w:cols>
          <w:pgMar w:left="980" w:top="88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Manufacturing Services Agreement between Patheon and Ardelyx, Inc.</w:t>
            </w:r>
          </w:p>
        </w:tc>
      </w:tr>
      <w:tr>
        <w:trPr>
          <w:trHeight w:val="190"/>
        </w:trPr>
        <w:tc>
          <w:tcPr>
            <w:tcW w:w="29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6940" w:type="dxa"/>
            <w:vAlign w:val="bottom"/>
          </w:tcPr>
          <w:p>
            <w:pPr>
              <w:jc w:val="right"/>
              <w:spacing w:after="0"/>
              <w:rPr>
                <w:sz w:val="20"/>
                <w:szCs w:val="20"/>
                <w:color w:val="auto"/>
              </w:rPr>
            </w:pPr>
            <w:r>
              <w:rPr>
                <w:rFonts w:ascii="Arial" w:cs="Arial" w:eastAsia="Arial" w:hAnsi="Arial"/>
                <w:sz w:val="14"/>
                <w:szCs w:val="14"/>
                <w:b w:val="1"/>
                <w:bCs w:val="1"/>
                <w:color w:val="auto"/>
              </w:rPr>
              <w:t>Page 37 of 37</w:t>
            </w:r>
          </w:p>
        </w:tc>
      </w:tr>
      <w:tr>
        <w:trPr>
          <w:trHeight w:val="748"/>
        </w:trPr>
        <w:tc>
          <w:tcPr>
            <w:tcW w:w="29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1" w:right="999"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APPENDIX 1 – Commercial Supply Pricing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 pursuant to Regulation S-K, Item 601(a)(5).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5500" w:type="dxa"/>
            <w:vAlign w:val="bottom"/>
          </w:tcPr>
          <w:p>
            <w:pPr>
              <w:jc w:val="right"/>
              <w:spacing w:after="0"/>
              <w:rPr>
                <w:sz w:val="20"/>
                <w:szCs w:val="20"/>
                <w:color w:val="auto"/>
              </w:rPr>
            </w:pPr>
            <w:r>
              <w:rPr>
                <w:rFonts w:ascii="Arial" w:cs="Arial" w:eastAsia="Arial" w:hAnsi="Arial"/>
                <w:sz w:val="14"/>
                <w:szCs w:val="14"/>
                <w:b w:val="1"/>
                <w:bCs w:val="1"/>
                <w:color w:val="auto"/>
              </w:rPr>
              <w:t>Supply Pricing &amp; Parameters</w:t>
            </w:r>
          </w:p>
        </w:tc>
      </w:tr>
      <w:tr>
        <w:trPr>
          <w:trHeight w:val="190"/>
        </w:trPr>
        <w:tc>
          <w:tcPr>
            <w:tcW w:w="442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5500" w:type="dxa"/>
            <w:vAlign w:val="bottom"/>
          </w:tcPr>
          <w:p>
            <w:pPr>
              <w:jc w:val="right"/>
              <w:spacing w:after="0"/>
              <w:rPr>
                <w:sz w:val="20"/>
                <w:szCs w:val="20"/>
                <w:color w:val="auto"/>
              </w:rPr>
            </w:pPr>
            <w:r>
              <w:rPr>
                <w:rFonts w:ascii="Arial" w:cs="Arial" w:eastAsia="Arial" w:hAnsi="Arial"/>
                <w:sz w:val="14"/>
                <w:szCs w:val="14"/>
                <w:b w:val="1"/>
                <w:bCs w:val="1"/>
                <w:color w:val="auto"/>
              </w:rPr>
              <w:t>Page 1 of 1</w:t>
            </w:r>
          </w:p>
        </w:tc>
      </w:tr>
      <w:tr>
        <w:trPr>
          <w:trHeight w:val="748"/>
        </w:trPr>
        <w:tc>
          <w:tcPr>
            <w:tcW w:w="44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0" w:right="99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color w:val="auto"/>
        </w:rPr>
        <w:t>APPENDIX 2 – Dispute Resolution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Negotiation</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any dispute arises out of this Agreement, the parties will first try to resolve it amicably. Any party may send a notice of a dispute to the other, and each party will appoint, within ten Business Days from receipt of the notice, an appropriate single representative having full power and authority to resolve the dispute. The representatives will meet as necessary in order to resolve the dispute. If the representatives fail to resolve the matter within one month from their appointment, or if a party fails to appoint a representative as required above: for Technical Disputes, the expert determination procedure may be started by either party; and for all other disputes, each party will refer the dispute immediately to the Chief Operating Officer or equivalent (or another senior manager as he/she may designate) (“</w:t>
      </w:r>
      <w:r>
        <w:rPr>
          <w:rFonts w:ascii="Arial" w:cs="Arial" w:eastAsia="Arial" w:hAnsi="Arial"/>
          <w:sz w:val="18"/>
          <w:szCs w:val="18"/>
          <w:b w:val="1"/>
          <w:bCs w:val="1"/>
          <w:color w:val="auto"/>
        </w:rPr>
        <w:t>Senior Officers</w:t>
      </w:r>
      <w:r>
        <w:rPr>
          <w:rFonts w:ascii="Arial" w:cs="Arial" w:eastAsia="Arial" w:hAnsi="Arial"/>
          <w:sz w:val="18"/>
          <w:szCs w:val="18"/>
          <w:color w:val="auto"/>
        </w:rPr>
        <w:t>”) who will meet and discuss as necessary to try to resolve the dispute amicably. Nothing in this Agreement will preclude any party from seeking interlocutory relief (including, without limitation, injunctive relief). If the Senior Officers fail to resolve the dispute, either party may pursue alternative action including commencement of court proceedings in a court of competent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Technical Disputes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 dispute arises between the parties that is exclusively related to technical aspects of the manufacturing, packaging, labelling, quality control testing, handling, storage, or other activities under this Agreement, including conformance of Product to applicable Specifications (a "</w:t>
      </w:r>
      <w:r>
        <w:rPr>
          <w:rFonts w:ascii="Arial" w:cs="Arial" w:eastAsia="Arial" w:hAnsi="Arial"/>
          <w:sz w:val="18"/>
          <w:szCs w:val="18"/>
          <w:b w:val="1"/>
          <w:bCs w:val="1"/>
          <w:color w:val="auto"/>
        </w:rPr>
        <w:t>Technical Dispute</w:t>
      </w:r>
      <w:r>
        <w:rPr>
          <w:rFonts w:ascii="Arial" w:cs="Arial" w:eastAsia="Arial" w:hAnsi="Arial"/>
          <w:sz w:val="18"/>
          <w:szCs w:val="18"/>
          <w:color w:val="auto"/>
        </w:rPr>
        <w:t>"), the parties will use all reasonable efforts to resolve the dispute by amicable negotiations as provided above. If the parties are unable to resolve a Technical Dispute by negotiation, the Technical Dispute will, at the written request of either party, be referred for determination to an expert in the following manner:</w:t>
      </w:r>
    </w:p>
    <w:p>
      <w:pPr>
        <w:spacing w:after="0" w:line="205" w:lineRule="exact"/>
        <w:rPr>
          <w:sz w:val="20"/>
          <w:szCs w:val="20"/>
          <w:color w:val="auto"/>
        </w:rPr>
      </w:pPr>
    </w:p>
    <w:p>
      <w:pPr>
        <w:jc w:val="both"/>
        <w:ind w:left="980" w:hanging="405"/>
        <w:spacing w:after="0" w:line="238" w:lineRule="auto"/>
        <w:tabs>
          <w:tab w:leader="none" w:pos="107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Appointment of Expert</w:t>
      </w:r>
      <w:r>
        <w:rPr>
          <w:rFonts w:ascii="Arial" w:cs="Arial" w:eastAsia="Arial" w:hAnsi="Arial"/>
          <w:sz w:val="18"/>
          <w:szCs w:val="18"/>
          <w:color w:val="auto"/>
        </w:rPr>
        <w:t>. Within [***] Business Days after the written request, the parties will appoint a single agreed expert with experience and expertise in the subject matter of the dispute. As a condition of the expert’s appointment, the parties will ensure that the expert agrees to disclose any actual or potential conflicts of interest promptly as they arise. The parties do not intend that the expert acts as an arbitrator.</w:t>
      </w:r>
    </w:p>
    <w:p>
      <w:pPr>
        <w:spacing w:after="0" w:line="204" w:lineRule="exact"/>
        <w:rPr>
          <w:rFonts w:ascii="Arial" w:cs="Arial" w:eastAsia="Arial" w:hAnsi="Arial"/>
          <w:sz w:val="18"/>
          <w:szCs w:val="18"/>
          <w:color w:val="auto"/>
        </w:rPr>
      </w:pPr>
    </w:p>
    <w:p>
      <w:pPr>
        <w:jc w:val="both"/>
        <w:ind w:left="980" w:hanging="405"/>
        <w:spacing w:after="0" w:line="237" w:lineRule="auto"/>
        <w:tabs>
          <w:tab w:leader="none" w:pos="107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parties will require the expert to provide an opinion on each referred issue (with reasonably detailed reasoning) within [***] Business Days (or as agreed by the parties with the expert). Each party will give to the expert all the evidence and information within their respective possession or control as the expert may reasonably request, which they will disclose promptly and in any event within [***] Business Days of a written request from the expert to do so. At all times the parties will co-operate in good faith and seek to narrow and limit the issues to be determined.</w:t>
      </w:r>
    </w:p>
    <w:p>
      <w:pPr>
        <w:spacing w:after="0" w:line="204" w:lineRule="exact"/>
        <w:rPr>
          <w:rFonts w:ascii="Arial" w:cs="Arial" w:eastAsia="Arial" w:hAnsi="Arial"/>
          <w:sz w:val="18"/>
          <w:szCs w:val="18"/>
          <w:color w:val="auto"/>
        </w:rPr>
      </w:pPr>
    </w:p>
    <w:p>
      <w:pPr>
        <w:jc w:val="both"/>
        <w:ind w:left="980" w:hanging="405"/>
        <w:spacing w:after="0"/>
        <w:tabs>
          <w:tab w:leader="none" w:pos="1157"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Final and Binding</w:t>
      </w:r>
      <w:r>
        <w:rPr>
          <w:rFonts w:ascii="Arial" w:cs="Arial" w:eastAsia="Arial" w:hAnsi="Arial"/>
          <w:sz w:val="18"/>
          <w:szCs w:val="18"/>
          <w:color w:val="auto"/>
        </w:rPr>
        <w:t>. The determination of the expert will, except for fraud or manifest error or where an unapproved conflict of interest is discovered, be final and binding upon the parties with respect to the referred Technical Dispute.</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Each party will bear its own costs for any matter referred to an expert under this Appendix 2 and, in the absence of express agreement to the contrary, the costs and expenses of the expert will be shared equally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391160</wp:posOffset>
            </wp:positionV>
            <wp:extent cx="62922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5180" w:type="dxa"/>
            <w:vAlign w:val="bottom"/>
          </w:tcPr>
          <w:p>
            <w:pPr>
              <w:jc w:val="right"/>
              <w:spacing w:after="0"/>
              <w:rPr>
                <w:sz w:val="20"/>
                <w:szCs w:val="20"/>
                <w:color w:val="auto"/>
              </w:rPr>
            </w:pPr>
            <w:r>
              <w:rPr>
                <w:rFonts w:ascii="Arial" w:cs="Arial" w:eastAsia="Arial" w:hAnsi="Arial"/>
                <w:sz w:val="14"/>
                <w:szCs w:val="14"/>
                <w:b w:val="1"/>
                <w:bCs w:val="1"/>
                <w:color w:val="auto"/>
              </w:rPr>
              <w:t>Dispute Resolution</w:t>
            </w:r>
          </w:p>
        </w:tc>
      </w:tr>
      <w:tr>
        <w:trPr>
          <w:trHeight w:val="190"/>
        </w:trPr>
        <w:tc>
          <w:tcPr>
            <w:tcW w:w="474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5180" w:type="dxa"/>
            <w:vAlign w:val="bottom"/>
          </w:tcPr>
          <w:p>
            <w:pPr>
              <w:jc w:val="right"/>
              <w:spacing w:after="0"/>
              <w:rPr>
                <w:sz w:val="20"/>
                <w:szCs w:val="20"/>
                <w:color w:val="auto"/>
              </w:rPr>
            </w:pPr>
            <w:r>
              <w:rPr>
                <w:rFonts w:ascii="Arial" w:cs="Arial" w:eastAsia="Arial" w:hAnsi="Arial"/>
                <w:sz w:val="14"/>
                <w:szCs w:val="14"/>
                <w:b w:val="1"/>
                <w:bCs w:val="1"/>
                <w:color w:val="auto"/>
              </w:rPr>
              <w:t>Page 1 of 1</w:t>
            </w:r>
          </w:p>
        </w:tc>
      </w:tr>
      <w:tr>
        <w:trPr>
          <w:trHeight w:val="748"/>
        </w:trPr>
        <w:tc>
          <w:tcPr>
            <w:tcW w:w="47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49" w:right="9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APPENDIX 3 – API Yield Calculation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 pursuant to Regulation S-K, Item 601(a)(5).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5240" w:type="dxa"/>
            <w:vAlign w:val="bottom"/>
          </w:tcPr>
          <w:p>
            <w:pPr>
              <w:jc w:val="right"/>
              <w:spacing w:after="0"/>
              <w:rPr>
                <w:sz w:val="20"/>
                <w:szCs w:val="20"/>
                <w:color w:val="auto"/>
              </w:rPr>
            </w:pPr>
            <w:r>
              <w:rPr>
                <w:rFonts w:ascii="Arial" w:cs="Arial" w:eastAsia="Arial" w:hAnsi="Arial"/>
                <w:sz w:val="14"/>
                <w:szCs w:val="14"/>
                <w:b w:val="1"/>
                <w:bCs w:val="1"/>
                <w:color w:val="auto"/>
              </w:rPr>
              <w:t>API Yield Calculation</w:t>
            </w:r>
          </w:p>
        </w:tc>
      </w:tr>
      <w:tr>
        <w:trPr>
          <w:trHeight w:val="190"/>
        </w:trPr>
        <w:tc>
          <w:tcPr>
            <w:tcW w:w="468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5240" w:type="dxa"/>
            <w:vAlign w:val="bottom"/>
          </w:tcPr>
          <w:p>
            <w:pPr>
              <w:jc w:val="right"/>
              <w:spacing w:after="0"/>
              <w:rPr>
                <w:sz w:val="20"/>
                <w:szCs w:val="20"/>
                <w:color w:val="auto"/>
              </w:rPr>
            </w:pPr>
            <w:r>
              <w:rPr>
                <w:rFonts w:ascii="Arial" w:cs="Arial" w:eastAsia="Arial" w:hAnsi="Arial"/>
                <w:sz w:val="14"/>
                <w:szCs w:val="14"/>
                <w:b w:val="1"/>
                <w:bCs w:val="1"/>
                <w:color w:val="auto"/>
              </w:rPr>
              <w:t>Page 1 of 1</w:t>
            </w:r>
          </w:p>
        </w:tc>
      </w:tr>
      <w:tr>
        <w:trPr>
          <w:trHeight w:val="748"/>
        </w:trPr>
        <w:tc>
          <w:tcPr>
            <w:tcW w:w="46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52" w:right="99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900" w:type="dxa"/>
            <w:vAlign w:val="bottom"/>
          </w:tcPr>
          <w:p>
            <w:pPr>
              <w:spacing w:after="0"/>
              <w:rPr>
                <w:sz w:val="24"/>
                <w:szCs w:val="24"/>
                <w:color w:val="auto"/>
              </w:rPr>
            </w:pPr>
          </w:p>
        </w:tc>
        <w:tc>
          <w:tcPr>
            <w:tcW w:w="8020" w:type="dxa"/>
            <w:vAlign w:val="bottom"/>
          </w:tcPr>
          <w:p>
            <w:pPr>
              <w:jc w:val="center"/>
              <w:ind w:right="1794"/>
              <w:spacing w:after="0"/>
              <w:rPr>
                <w:sz w:val="20"/>
                <w:szCs w:val="20"/>
                <w:color w:val="auto"/>
              </w:rPr>
            </w:pPr>
            <w:r>
              <w:rPr>
                <w:rFonts w:ascii="Arial" w:cs="Arial" w:eastAsia="Arial" w:hAnsi="Arial"/>
                <w:sz w:val="22"/>
                <w:szCs w:val="22"/>
                <w:b w:val="1"/>
                <w:bCs w:val="1"/>
                <w:color w:val="auto"/>
                <w:w w:val="98"/>
              </w:rPr>
              <w:t>APPENDIX 4 – Price Adjustments</w:t>
            </w:r>
          </w:p>
        </w:tc>
      </w:tr>
      <w:tr>
        <w:trPr>
          <w:trHeight w:val="422"/>
        </w:trPr>
        <w:tc>
          <w:tcPr>
            <w:tcW w:w="1900" w:type="dxa"/>
            <w:vAlign w:val="bottom"/>
          </w:tcPr>
          <w:p>
            <w:pPr>
              <w:spacing w:after="0"/>
              <w:rPr>
                <w:sz w:val="24"/>
                <w:szCs w:val="24"/>
                <w:color w:val="auto"/>
              </w:rPr>
            </w:pPr>
          </w:p>
        </w:tc>
        <w:tc>
          <w:tcPr>
            <w:tcW w:w="8020" w:type="dxa"/>
            <w:vAlign w:val="bottom"/>
          </w:tcPr>
          <w:p>
            <w:pPr>
              <w:jc w:val="center"/>
              <w:ind w:right="1814"/>
              <w:spacing w:after="0"/>
              <w:rPr>
                <w:sz w:val="20"/>
                <w:szCs w:val="20"/>
                <w:color w:val="auto"/>
              </w:rPr>
            </w:pPr>
            <w:r>
              <w:rPr>
                <w:rFonts w:ascii="Arial" w:cs="Arial" w:eastAsia="Arial" w:hAnsi="Arial"/>
                <w:sz w:val="18"/>
                <w:szCs w:val="18"/>
                <w:color w:val="auto"/>
                <w:w w:val="99"/>
              </w:rPr>
              <w:t>Omitted pursuant to Regulation S-K, Item 601(a)(5).</w:t>
            </w:r>
          </w:p>
        </w:tc>
      </w:tr>
      <w:tr>
        <w:trPr>
          <w:trHeight w:val="378"/>
        </w:trPr>
        <w:tc>
          <w:tcPr>
            <w:tcW w:w="1900" w:type="dxa"/>
            <w:vAlign w:val="bottom"/>
          </w:tcPr>
          <w:p>
            <w:pPr>
              <w:spacing w:after="0"/>
              <w:rPr>
                <w:sz w:val="24"/>
                <w:szCs w:val="24"/>
                <w:color w:val="auto"/>
              </w:rPr>
            </w:pPr>
          </w:p>
        </w:tc>
        <w:tc>
          <w:tcPr>
            <w:tcW w:w="8020" w:type="dxa"/>
            <w:vAlign w:val="bottom"/>
          </w:tcPr>
          <w:p>
            <w:pPr>
              <w:jc w:val="center"/>
              <w:ind w:right="1814"/>
              <w:spacing w:after="0"/>
              <w:rPr>
                <w:sz w:val="20"/>
                <w:szCs w:val="20"/>
                <w:color w:val="auto"/>
              </w:rPr>
            </w:pPr>
            <w:r>
              <w:rPr>
                <w:rFonts w:ascii="Arial" w:cs="Arial" w:eastAsia="Arial" w:hAnsi="Arial"/>
                <w:sz w:val="18"/>
                <w:szCs w:val="18"/>
                <w:color w:val="auto"/>
              </w:rPr>
              <w:t>[***]</w:t>
            </w:r>
          </w:p>
        </w:tc>
      </w:tr>
      <w:tr>
        <w:trPr>
          <w:trHeight w:val="392"/>
        </w:trPr>
        <w:tc>
          <w:tcPr>
            <w:tcW w:w="1900" w:type="dxa"/>
            <w:vAlign w:val="bottom"/>
            <w:tcBorders>
              <w:bottom w:val="single" w:sz="8" w:color="008542"/>
            </w:tcBorders>
          </w:tcPr>
          <w:p>
            <w:pPr>
              <w:spacing w:after="0"/>
              <w:rPr>
                <w:sz w:val="24"/>
                <w:szCs w:val="24"/>
                <w:color w:val="auto"/>
              </w:rPr>
            </w:pPr>
          </w:p>
        </w:tc>
        <w:tc>
          <w:tcPr>
            <w:tcW w:w="8020" w:type="dxa"/>
            <w:vAlign w:val="bottom"/>
            <w:tcBorders>
              <w:bottom w:val="single" w:sz="8" w:color="008542"/>
            </w:tcBorders>
          </w:tcPr>
          <w:p>
            <w:pPr>
              <w:spacing w:after="0"/>
              <w:rPr>
                <w:sz w:val="24"/>
                <w:szCs w:val="24"/>
                <w:color w:val="auto"/>
              </w:rPr>
            </w:pPr>
          </w:p>
        </w:tc>
      </w:tr>
      <w:tr>
        <w:trPr>
          <w:trHeight w:val="345"/>
        </w:trPr>
        <w:tc>
          <w:tcPr>
            <w:tcW w:w="1900" w:type="dxa"/>
            <w:vAlign w:val="bottom"/>
          </w:tcPr>
          <w:p>
            <w:pPr>
              <w:spacing w:after="0"/>
              <w:rPr>
                <w:sz w:val="20"/>
                <w:szCs w:val="20"/>
                <w:color w:val="auto"/>
              </w:rPr>
            </w:pPr>
            <w:r>
              <w:rPr>
                <w:rFonts w:ascii="Arial" w:cs="Arial" w:eastAsia="Arial" w:hAnsi="Arial"/>
                <w:sz w:val="14"/>
                <w:szCs w:val="14"/>
                <w:b w:val="1"/>
                <w:bCs w:val="1"/>
                <w:color w:val="auto"/>
              </w:rPr>
              <w:t>May 18, 2020</w:t>
            </w:r>
          </w:p>
        </w:tc>
        <w:tc>
          <w:tcPr>
            <w:tcW w:w="8020" w:type="dxa"/>
            <w:vAlign w:val="bottom"/>
          </w:tcPr>
          <w:p>
            <w:pPr>
              <w:jc w:val="right"/>
              <w:spacing w:after="0"/>
              <w:rPr>
                <w:sz w:val="20"/>
                <w:szCs w:val="20"/>
                <w:color w:val="auto"/>
              </w:rPr>
            </w:pPr>
            <w:r>
              <w:rPr>
                <w:rFonts w:ascii="Arial" w:cs="Arial" w:eastAsia="Arial" w:hAnsi="Arial"/>
                <w:sz w:val="14"/>
                <w:szCs w:val="14"/>
                <w:b w:val="1"/>
                <w:bCs w:val="1"/>
                <w:color w:val="auto"/>
              </w:rPr>
              <w:t>Price Adjustments</w:t>
            </w:r>
          </w:p>
        </w:tc>
      </w:tr>
      <w:tr>
        <w:trPr>
          <w:trHeight w:val="190"/>
        </w:trPr>
        <w:tc>
          <w:tcPr>
            <w:tcW w:w="1900" w:type="dxa"/>
            <w:vAlign w:val="bottom"/>
          </w:tcPr>
          <w:p>
            <w:pPr>
              <w:spacing w:after="0"/>
              <w:rPr>
                <w:sz w:val="20"/>
                <w:szCs w:val="20"/>
                <w:color w:val="auto"/>
              </w:rPr>
            </w:pPr>
            <w:r>
              <w:rPr>
                <w:rFonts w:ascii="Arial" w:cs="Arial" w:eastAsia="Arial" w:hAnsi="Arial"/>
                <w:sz w:val="14"/>
                <w:szCs w:val="14"/>
                <w:b w:val="1"/>
                <w:bCs w:val="1"/>
                <w:color w:val="auto"/>
              </w:rPr>
              <w:t>Confidential</w:t>
            </w:r>
          </w:p>
        </w:tc>
        <w:tc>
          <w:tcPr>
            <w:tcW w:w="8020" w:type="dxa"/>
            <w:vAlign w:val="bottom"/>
          </w:tcPr>
          <w:p>
            <w:pPr>
              <w:jc w:val="right"/>
              <w:spacing w:after="0"/>
              <w:rPr>
                <w:sz w:val="20"/>
                <w:szCs w:val="20"/>
                <w:color w:val="auto"/>
              </w:rPr>
            </w:pPr>
            <w:r>
              <w:rPr>
                <w:rFonts w:ascii="Arial" w:cs="Arial" w:eastAsia="Arial" w:hAnsi="Arial"/>
                <w:sz w:val="14"/>
                <w:szCs w:val="14"/>
                <w:b w:val="1"/>
                <w:bCs w:val="1"/>
                <w:color w:val="auto"/>
              </w:rPr>
              <w:t>Page 1 of 1</w:t>
            </w:r>
          </w:p>
        </w:tc>
      </w:tr>
      <w:tr>
        <w:trPr>
          <w:trHeight w:val="748"/>
        </w:trPr>
        <w:tc>
          <w:tcPr>
            <w:tcW w:w="19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52" w:right="999" w:bottom="1440" w:gutter="0" w:footer="0" w:header="0"/>
        </w:sectPr>
      </w:pPr>
    </w:p>
    <w:bookmarkStart w:id="137" w:name="page138"/>
    <w:bookmarkEnd w:id="137"/>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Raab, certify that:</w:t>
      </w:r>
    </w:p>
    <w:p>
      <w:pPr>
        <w:spacing w:after="0" w:line="212" w:lineRule="exact"/>
        <w:rPr>
          <w:sz w:val="20"/>
          <w:szCs w:val="20"/>
          <w:color w:val="auto"/>
        </w:rPr>
      </w:pPr>
    </w:p>
    <w:p>
      <w:pPr>
        <w:ind w:left="480" w:hanging="430"/>
        <w:spacing w:after="0"/>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211" w:lineRule="exact"/>
        <w:rPr>
          <w:rFonts w:ascii="Arial" w:cs="Arial" w:eastAsia="Arial" w:hAnsi="Arial"/>
          <w:sz w:val="18"/>
          <w:szCs w:val="18"/>
          <w:color w:val="auto"/>
        </w:rPr>
      </w:pPr>
    </w:p>
    <w:p>
      <w:pPr>
        <w:ind w:left="480" w:right="119" w:hanging="430"/>
        <w:spacing w:after="0" w:line="248" w:lineRule="auto"/>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99" w:hanging="430"/>
        <w:spacing w:after="0" w:line="248" w:lineRule="auto"/>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480" w:right="239" w:hanging="430"/>
        <w:spacing w:after="0" w:line="270" w:lineRule="auto"/>
        <w:tabs>
          <w:tab w:leader="none" w:pos="4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7"/>
          <w:szCs w:val="17"/>
          <w:color w:val="auto"/>
        </w:rPr>
      </w:pPr>
    </w:p>
    <w:p>
      <w:pPr>
        <w:ind w:left="920" w:right="139" w:hanging="438"/>
        <w:spacing w:after="0" w:line="243" w:lineRule="auto"/>
        <w:tabs>
          <w:tab w:leader="none" w:pos="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920" w:right="119" w:hanging="438"/>
        <w:spacing w:after="0" w:line="243" w:lineRule="auto"/>
        <w:tabs>
          <w:tab w:leader="none" w:pos="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920" w:right="299" w:hanging="438"/>
        <w:spacing w:after="0" w:line="248" w:lineRule="auto"/>
        <w:tabs>
          <w:tab w:leader="none" w:pos="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920" w:right="219" w:hanging="438"/>
        <w:spacing w:after="0" w:line="243" w:lineRule="auto"/>
        <w:tabs>
          <w:tab w:leader="none" w:pos="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480" w:right="199" w:hanging="430"/>
        <w:spacing w:after="0" w:line="248" w:lineRule="auto"/>
        <w:tabs>
          <w:tab w:leader="none" w:pos="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20" w:right="79" w:hanging="438"/>
        <w:spacing w:after="0" w:line="248" w:lineRule="auto"/>
        <w:tabs>
          <w:tab w:leader="none" w:pos="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20" w:right="199" w:hanging="438"/>
        <w:spacing w:after="0" w:line="261" w:lineRule="auto"/>
        <w:tabs>
          <w:tab w:leader="none" w:pos="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60"/>
        <w:spacing w:after="0"/>
        <w:tabs>
          <w:tab w:leader="none" w:pos="4340" w:val="left"/>
          <w:tab w:leader="none" w:pos="620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6350</wp:posOffset>
            </wp:positionV>
            <wp:extent cx="26917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1"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Michael Raab</w:t>
      </w:r>
    </w:p>
    <w:p>
      <w:pPr>
        <w:jc w:val="center"/>
        <w:ind w:left="4640"/>
        <w:spacing w:after="0" w:line="234"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8" w:name="page139"/>
    <w:bookmarkEnd w:id="138"/>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Justin Renz, certify that:</w:t>
      </w:r>
    </w:p>
    <w:p>
      <w:pPr>
        <w:spacing w:after="0" w:line="212" w:lineRule="exact"/>
        <w:rPr>
          <w:sz w:val="20"/>
          <w:szCs w:val="20"/>
          <w:color w:val="auto"/>
        </w:rPr>
      </w:pPr>
    </w:p>
    <w:p>
      <w:pPr>
        <w:ind w:left="480" w:hanging="430"/>
        <w:spacing w:after="0"/>
        <w:tabs>
          <w:tab w:leader="none" w:pos="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Ardelyx, Inc.;</w:t>
      </w:r>
    </w:p>
    <w:p>
      <w:pPr>
        <w:spacing w:after="0" w:line="211" w:lineRule="exact"/>
        <w:rPr>
          <w:rFonts w:ascii="Arial" w:cs="Arial" w:eastAsia="Arial" w:hAnsi="Arial"/>
          <w:sz w:val="18"/>
          <w:szCs w:val="18"/>
          <w:color w:val="auto"/>
        </w:rPr>
      </w:pPr>
    </w:p>
    <w:p>
      <w:pPr>
        <w:ind w:left="480" w:right="119" w:hanging="430"/>
        <w:spacing w:after="0" w:line="248" w:lineRule="auto"/>
        <w:tabs>
          <w:tab w:leader="none" w:pos="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99" w:hanging="430"/>
        <w:spacing w:after="0" w:line="248" w:lineRule="auto"/>
        <w:tabs>
          <w:tab w:leader="none" w:pos="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480" w:right="239" w:hanging="430"/>
        <w:spacing w:after="0" w:line="270" w:lineRule="auto"/>
        <w:tabs>
          <w:tab w:leader="none" w:pos="4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7"/>
          <w:szCs w:val="17"/>
          <w:color w:val="auto"/>
        </w:rPr>
      </w:pPr>
    </w:p>
    <w:p>
      <w:pPr>
        <w:ind w:left="920" w:right="139" w:hanging="438"/>
        <w:spacing w:after="0" w:line="243" w:lineRule="auto"/>
        <w:tabs>
          <w:tab w:leader="none" w:pos="9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920" w:right="119" w:hanging="438"/>
        <w:spacing w:after="0" w:line="243" w:lineRule="auto"/>
        <w:tabs>
          <w:tab w:leader="none" w:pos="9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920" w:right="299" w:hanging="438"/>
        <w:spacing w:after="0" w:line="248" w:lineRule="auto"/>
        <w:tabs>
          <w:tab w:leader="none" w:pos="9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920" w:right="219" w:hanging="438"/>
        <w:spacing w:after="0" w:line="243" w:lineRule="auto"/>
        <w:tabs>
          <w:tab w:leader="none" w:pos="9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480" w:right="199" w:hanging="430"/>
        <w:spacing w:after="0" w:line="248" w:lineRule="auto"/>
        <w:tabs>
          <w:tab w:leader="none" w:pos="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20" w:right="79" w:hanging="438"/>
        <w:spacing w:after="0" w:line="248" w:lineRule="auto"/>
        <w:tabs>
          <w:tab w:leader="none" w:pos="9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20" w:right="199" w:hanging="438"/>
        <w:spacing w:after="0" w:line="261" w:lineRule="auto"/>
        <w:tabs>
          <w:tab w:leader="none" w:pos="9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60"/>
        <w:spacing w:after="0"/>
        <w:tabs>
          <w:tab w:leader="none" w:pos="4580" w:val="left"/>
          <w:tab w:leader="none" w:pos="638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6350</wp:posOffset>
            </wp:positionV>
            <wp:extent cx="25800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 w:lineRule="exact"/>
        <w:rPr>
          <w:sz w:val="20"/>
          <w:szCs w:val="20"/>
          <w:color w:val="auto"/>
        </w:rPr>
      </w:pPr>
    </w:p>
    <w:p>
      <w:pPr>
        <w:jc w:val="center"/>
        <w:ind w:left="4820"/>
        <w:spacing w:after="0"/>
        <w:rPr>
          <w:sz w:val="20"/>
          <w:szCs w:val="20"/>
          <w:color w:val="auto"/>
        </w:rPr>
      </w:pPr>
      <w:r>
        <w:rPr>
          <w:rFonts w:ascii="Arial" w:cs="Arial" w:eastAsia="Arial" w:hAnsi="Arial"/>
          <w:sz w:val="18"/>
          <w:szCs w:val="18"/>
          <w:b w:val="1"/>
          <w:bCs w:val="1"/>
          <w:color w:val="auto"/>
        </w:rPr>
        <w:t>Justin Renz</w:t>
      </w:r>
    </w:p>
    <w:p>
      <w:pPr>
        <w:jc w:val="center"/>
        <w:ind w:left="482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4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9" w:name="page140"/>
    <w:bookmarkEnd w:id="139"/>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ind w:left="2160" w:right="2179" w:firstLine="62"/>
        <w:spacing w:after="0" w:line="271"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4" w:lineRule="exact"/>
        <w:rPr>
          <w:sz w:val="20"/>
          <w:szCs w:val="20"/>
          <w:color w:val="auto"/>
        </w:rPr>
      </w:pPr>
    </w:p>
    <w:p>
      <w:pPr>
        <w:jc w:val="both"/>
        <w:ind w:left="60" w:right="59" w:firstLine="324"/>
        <w:spacing w:after="0" w:line="241" w:lineRule="auto"/>
        <w:rPr>
          <w:sz w:val="20"/>
          <w:szCs w:val="20"/>
          <w:color w:val="auto"/>
        </w:rPr>
      </w:pPr>
      <w:r>
        <w:rPr>
          <w:rFonts w:ascii="Arial" w:cs="Arial" w:eastAsia="Arial" w:hAnsi="Arial"/>
          <w:sz w:val="18"/>
          <w:szCs w:val="18"/>
          <w:color w:val="auto"/>
        </w:rPr>
        <w:t>In connection with the Quarterly Report of Ardelyx, Inc. (the “Company”) on Form 10-Q for the period ending June 30, 2020, as filed with the Securities and Exchange Commission on the date hereof (the “Report”), Michael Raab, President and Chief Executive Officer of the Company, and Justin Renz, Chief Financial Officer of the Company, respectively, do each hereby certify, pursuant to 18 U.S.C. Section 1350, as adopted pursuant to Section 906 of the Sarbanes-Oxley Act of 2002, that:</w:t>
      </w:r>
    </w:p>
    <w:p>
      <w:pPr>
        <w:spacing w:after="0" w:line="189" w:lineRule="exact"/>
        <w:rPr>
          <w:sz w:val="20"/>
          <w:szCs w:val="20"/>
          <w:color w:val="auto"/>
        </w:rPr>
      </w:pPr>
    </w:p>
    <w:p>
      <w:pPr>
        <w:ind w:left="800" w:right="79" w:hanging="426"/>
        <w:spacing w:after="0" w:line="261" w:lineRule="auto"/>
        <w:tabs>
          <w:tab w:leader="none" w:pos="8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800" w:right="79" w:hanging="426"/>
        <w:spacing w:after="0" w:line="261" w:lineRule="auto"/>
        <w:tabs>
          <w:tab w:leader="none" w:pos="8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400" w:lineRule="exact"/>
        <w:rPr>
          <w:sz w:val="20"/>
          <w:szCs w:val="20"/>
          <w:color w:val="auto"/>
        </w:rPr>
      </w:pPr>
    </w:p>
    <w:p>
      <w:pPr>
        <w:ind w:left="60"/>
        <w:spacing w:after="0"/>
        <w:tabs>
          <w:tab w:leader="none" w:pos="4580" w:val="left"/>
          <w:tab w:leader="none" w:pos="632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6350</wp:posOffset>
            </wp:positionV>
            <wp:extent cx="25546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Michael Raab</w:t>
      </w:r>
    </w:p>
    <w:p>
      <w:pPr>
        <w:jc w:val="center"/>
        <w:ind w:left="4860"/>
        <w:spacing w:after="0" w:line="234"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(Principal Executive Officer)</w:t>
      </w:r>
    </w:p>
    <w:p>
      <w:pPr>
        <w:spacing w:after="0" w:line="385" w:lineRule="exact"/>
        <w:rPr>
          <w:sz w:val="20"/>
          <w:szCs w:val="20"/>
          <w:color w:val="auto"/>
        </w:rPr>
      </w:pPr>
    </w:p>
    <w:p>
      <w:pPr>
        <w:ind w:left="60"/>
        <w:spacing w:after="0"/>
        <w:tabs>
          <w:tab w:leader="none" w:pos="4580" w:val="left"/>
          <w:tab w:leader="none" w:pos="640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6350</wp:posOffset>
            </wp:positionV>
            <wp:extent cx="25546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Justin Renz</w:t>
      </w:r>
    </w:p>
    <w:p>
      <w:pPr>
        <w:jc w:val="center"/>
        <w:ind w:left="48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1)"/>
      <w:numFmt w:val="lowerRoman"/>
      <w:start w:val="1"/>
    </w:lvl>
  </w:abstractNum>
  <w:abstractNum w:abstractNumId="39">
    <w:nsid w:val="94211F2"/>
    <w:multiLevelType w:val="hybridMultilevel"/>
    <w:lvl w:ilvl="0">
      <w:lvlJc w:val="left"/>
      <w:lvlText w:val="(%1)"/>
      <w:numFmt w:val="lowerRoman"/>
      <w:start w:val="4"/>
    </w:lvl>
  </w:abstractNum>
  <w:abstractNum w:abstractNumId="40">
    <w:nsid w:val="885E1B"/>
    <w:multiLevelType w:val="hybridMultilevel"/>
    <w:lvl w:ilvl="0">
      <w:lvlJc w:val="left"/>
      <w:lvlText w:val="%1"/>
      <w:numFmt w:val="decimal"/>
      <w:start w:val="104"/>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1."/>
      <w:numFmt w:val="upperLetter"/>
      <w:start w:val="1"/>
    </w:lvl>
  </w:abstractNum>
  <w:abstractNum w:abstractNumId="43">
    <w:nsid w:val="1716703B"/>
    <w:multiLevelType w:val="hybridMultilevel"/>
    <w:lvl w:ilvl="0">
      <w:lvlJc w:val="left"/>
      <w:lvlText w:val="%1.."/>
      <w:numFmt w:val="upperLetter"/>
      <w:start w:val="5"/>
    </w:lvl>
  </w:abstractNum>
  <w:abstractNum w:abstractNumId="44">
    <w:nsid w:val="14E17E33"/>
    <w:multiLevelType w:val="hybridMultilevel"/>
    <w:lvl w:ilvl="0">
      <w:lvlJc w:val="left"/>
      <w:lvlText w:val="%1."/>
      <w:numFmt w:val="decimal"/>
      <w:start w:val="1"/>
    </w:lvl>
  </w:abstractNum>
  <w:abstractNum w:abstractNumId="45">
    <w:nsid w:val="3222E7CD"/>
    <w:multiLevelType w:val="hybridMultilevel"/>
    <w:lvl w:ilvl="0">
      <w:lvlJc w:val="left"/>
      <w:lvlText w:val="%1."/>
      <w:numFmt w:val="decimal"/>
      <w:start w:val="3"/>
    </w:lvl>
  </w:abstractNum>
  <w:abstractNum w:abstractNumId="46">
    <w:nsid w:val="74DE0EE3"/>
    <w:multiLevelType w:val="hybridMultilevel"/>
    <w:lvl w:ilvl="0">
      <w:lvlJc w:val="left"/>
      <w:lvlText w:val="(%1)"/>
      <w:numFmt w:val="lowerLetter"/>
      <w:start w:val="1"/>
    </w:lvl>
  </w:abstractNum>
  <w:abstractNum w:abstractNumId="47">
    <w:nsid w:val="68EBC550"/>
    <w:multiLevelType w:val="hybridMultilevel"/>
    <w:lvl w:ilvl="0">
      <w:lvlJc w:val="left"/>
      <w:lvlText w:val="%1."/>
      <w:numFmt w:val="decimal"/>
      <w:start w:val="4"/>
    </w:lvl>
  </w:abstractNum>
  <w:abstractNum w:abstractNumId="48">
    <w:nsid w:val="2DF6D648"/>
    <w:multiLevelType w:val="hybridMultilevel"/>
    <w:lvl w:ilvl="0">
      <w:lvlJc w:val="left"/>
      <w:lvlText w:val="(%1)"/>
      <w:numFmt w:val="lowerLetter"/>
      <w:start w:val="1"/>
    </w:lvl>
  </w:abstractNum>
  <w:abstractNum w:abstractNumId="49">
    <w:nsid w:val="46B7D447"/>
    <w:multiLevelType w:val="hybridMultilevel"/>
    <w:lvl w:ilvl="0">
      <w:lvlJc w:val="left"/>
      <w:lvlText w:val="(%1)"/>
      <w:numFmt w:val="lowerLetter"/>
      <w:start w:val="2"/>
    </w:lvl>
  </w:abstractNum>
  <w:abstractNum w:abstractNumId="50">
    <w:nsid w:val="4A2AC315"/>
    <w:multiLevelType w:val="hybridMultilevel"/>
    <w:lvl w:ilvl="0">
      <w:lvlJc w:val="left"/>
      <w:lvlText w:val="%1."/>
      <w:numFmt w:val="decimal"/>
      <w:start w:val="5"/>
    </w:lvl>
  </w:abstractNum>
  <w:abstractNum w:abstractNumId="51">
    <w:nsid w:val="39EE015C"/>
    <w:multiLevelType w:val="hybridMultilevel"/>
    <w:lvl w:ilvl="0">
      <w:lvlJc w:val="left"/>
      <w:lvlText w:val="%1."/>
      <w:numFmt w:val="decimal"/>
      <w:start w:val="7"/>
    </w:lvl>
    <w:lvl w:ilvl="1">
      <w:lvlJc w:val="left"/>
      <w:lvlText w:val="(%2)"/>
      <w:numFmt w:val="lowerLetter"/>
      <w:start w:val="1"/>
    </w:lvl>
  </w:abstractNum>
  <w:abstractNum w:abstractNumId="52">
    <w:nsid w:val="57FC4FBB"/>
    <w:multiLevelType w:val="hybridMultilevel"/>
    <w:lvl w:ilvl="0">
      <w:lvlJc w:val="left"/>
      <w:lvlText w:val="%1"/>
      <w:numFmt w:val="decimal"/>
      <w:start w:val="1"/>
    </w:lvl>
    <w:lvl w:ilvl="1">
      <w:lvlJc w:val="left"/>
      <w:lvlText w:val="(%2)"/>
      <w:numFmt w:val="lowerLetter"/>
      <w:start w:val="5"/>
    </w:lvl>
  </w:abstractNum>
  <w:abstractNum w:abstractNumId="53">
    <w:nsid w:val="CC1016F"/>
    <w:multiLevelType w:val="hybridMultilevel"/>
    <w:lvl w:ilvl="0">
      <w:lvlJc w:val="left"/>
      <w:lvlText w:val="%1."/>
      <w:numFmt w:val="decimal"/>
      <w:start w:val="8"/>
    </w:lvl>
    <w:lvl w:ilvl="1">
      <w:lvlJc w:val="left"/>
      <w:lvlText w:val="(%2)"/>
      <w:numFmt w:val="lowerLetter"/>
      <w:start w:val="1"/>
    </w:lvl>
  </w:abstractNum>
  <w:abstractNum w:abstractNumId="54">
    <w:nsid w:val="43F18422"/>
    <w:multiLevelType w:val="hybridMultilevel"/>
    <w:lvl w:ilvl="0">
      <w:lvlJc w:val="left"/>
      <w:lvlText w:val="%1"/>
      <w:numFmt w:val="decimal"/>
      <w:start w:val="1"/>
    </w:lvl>
    <w:lvl w:ilvl="1">
      <w:lvlJc w:val="left"/>
      <w:lvlText w:val="(%2)"/>
      <w:numFmt w:val="lowerLetter"/>
      <w:start w:val="2"/>
    </w:lvl>
  </w:abstractNum>
  <w:abstractNum w:abstractNumId="55">
    <w:nsid w:val="60EF0119"/>
    <w:multiLevelType w:val="hybridMultilevel"/>
    <w:lvl w:ilvl="0">
      <w:lvlJc w:val="left"/>
      <w:lvlText w:val="%1."/>
      <w:numFmt w:val="decimal"/>
      <w:start w:val="9"/>
    </w:lvl>
    <w:lvl w:ilvl="1">
      <w:lvlJc w:val="left"/>
      <w:lvlText w:val="(%2)"/>
      <w:numFmt w:val="lowerLetter"/>
      <w:start w:val="1"/>
    </w:lvl>
  </w:abstractNum>
  <w:abstractNum w:abstractNumId="56">
    <w:nsid w:val="26F324B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7">
    <w:nsid w:val="7F01579B"/>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58">
    <w:nsid w:val="49DA307D"/>
    <w:multiLevelType w:val="hybridMultilevel"/>
    <w:lvl w:ilvl="0">
      <w:lvlJc w:val="left"/>
      <w:lvlText w:val="%1"/>
      <w:numFmt w:val="lowerLetter"/>
      <w:start w:val="1"/>
    </w:lvl>
    <w:lvl w:ilvl="1">
      <w:lvlJc w:val="left"/>
      <w:lvlText w:val="(%2)"/>
      <w:numFmt w:val="lowerRoman"/>
      <w:start w:val="2"/>
    </w:lvl>
  </w:abstractNum>
  <w:abstractNum w:abstractNumId="59">
    <w:nsid w:val="7055A5F5"/>
    <w:multiLevelType w:val="hybridMultilevel"/>
    <w:lvl w:ilvl="0">
      <w:lvlJc w:val="left"/>
      <w:lvlText w:val="(%1)"/>
      <w:numFmt w:val="lowerLetter"/>
      <w:start w:val="2"/>
    </w:lvl>
    <w:lvl w:ilvl="1">
      <w:lvlJc w:val="left"/>
      <w:lvlText w:val="%2"/>
      <w:numFmt w:val="lowerRoman"/>
      <w:start w:val="1"/>
    </w:lvl>
  </w:abstractNum>
  <w:abstractNum w:abstractNumId="60">
    <w:nsid w:val="5FB8370B"/>
    <w:multiLevelType w:val="hybridMultilevel"/>
    <w:lvl w:ilvl="0">
      <w:lvlJc w:val="left"/>
      <w:lvlText w:val="(%1)"/>
      <w:numFmt w:val="lowerLetter"/>
      <w:start w:val="6"/>
    </w:lvl>
  </w:abstractNum>
  <w:abstractNum w:abstractNumId="61">
    <w:nsid w:val="50801EE1"/>
    <w:multiLevelType w:val="hybridMultilevel"/>
    <w:lvl w:ilvl="0">
      <w:lvlJc w:val="left"/>
      <w:lvlText w:val="%1."/>
      <w:numFmt w:val="upperLetter"/>
      <w:start w:val="1"/>
    </w:lvl>
  </w:abstractNum>
  <w:abstractNum w:abstractNumId="62">
    <w:nsid w:val="488AC1A"/>
    <w:multiLevelType w:val="hybridMultilevel"/>
    <w:lvl w:ilvl="0">
      <w:lvlJc w:val="left"/>
      <w:lvlText w:val="%1.."/>
      <w:numFmt w:val="upperLetter"/>
      <w:start w:val="5"/>
    </w:lvl>
  </w:abstractNum>
  <w:abstractNum w:abstractNumId="63">
    <w:nsid w:val="5FB8011C"/>
    <w:multiLevelType w:val="hybridMultilevel"/>
    <w:lvl w:ilvl="0">
      <w:lvlJc w:val="left"/>
      <w:lvlText w:val="%1."/>
      <w:numFmt w:val="decimal"/>
      <w:start w:val="1"/>
    </w:lvl>
  </w:abstractNum>
  <w:abstractNum w:abstractNumId="64">
    <w:nsid w:val="6AA78F7F"/>
    <w:multiLevelType w:val="hybridMultilevel"/>
    <w:lvl w:ilvl="0">
      <w:lvlJc w:val="left"/>
      <w:lvlText w:val="%1."/>
      <w:numFmt w:val="decimal"/>
      <w:start w:val="3"/>
    </w:lvl>
  </w:abstractNum>
  <w:abstractNum w:abstractNumId="65">
    <w:nsid w:val="7672BD23"/>
    <w:multiLevelType w:val="hybridMultilevel"/>
    <w:lvl w:ilvl="0">
      <w:lvlJc w:val="left"/>
      <w:lvlText w:val="(%1)"/>
      <w:numFmt w:val="lowerLetter"/>
      <w:start w:val="1"/>
    </w:lvl>
  </w:abstractNum>
  <w:abstractNum w:abstractNumId="66">
    <w:nsid w:val="6FC75AF8"/>
    <w:multiLevelType w:val="hybridMultilevel"/>
    <w:lvl w:ilvl="0">
      <w:lvlJc w:val="left"/>
      <w:lvlText w:val="%1."/>
      <w:numFmt w:val="decimal"/>
      <w:start w:val="4"/>
    </w:lvl>
  </w:abstractNum>
  <w:abstractNum w:abstractNumId="67">
    <w:nsid w:val="6A5F7029"/>
    <w:multiLevelType w:val="hybridMultilevel"/>
    <w:lvl w:ilvl="0">
      <w:lvlJc w:val="left"/>
      <w:lvlText w:val="(%1)"/>
      <w:numFmt w:val="lowerLetter"/>
      <w:start w:val="1"/>
    </w:lvl>
  </w:abstractNum>
  <w:abstractNum w:abstractNumId="68">
    <w:nsid w:val="7D5E18F8"/>
    <w:multiLevelType w:val="hybridMultilevel"/>
    <w:lvl w:ilvl="0">
      <w:lvlJc w:val="left"/>
      <w:lvlText w:val="(%1)"/>
      <w:numFmt w:val="lowerLetter"/>
      <w:start w:val="2"/>
    </w:lvl>
  </w:abstractNum>
  <w:abstractNum w:abstractNumId="69">
    <w:nsid w:val="5F3534A4"/>
    <w:multiLevelType w:val="hybridMultilevel"/>
    <w:lvl w:ilvl="0">
      <w:lvlJc w:val="left"/>
      <w:lvlText w:val="%1."/>
      <w:numFmt w:val="decimal"/>
      <w:start w:val="5"/>
    </w:lvl>
  </w:abstractNum>
  <w:abstractNum w:abstractNumId="70">
    <w:nsid w:val="73A1821B"/>
    <w:multiLevelType w:val="hybridMultilevel"/>
    <w:lvl w:ilvl="0">
      <w:lvlJc w:val="left"/>
      <w:lvlText w:val="%1."/>
      <w:numFmt w:val="decimal"/>
      <w:start w:val="7"/>
    </w:lvl>
    <w:lvl w:ilvl="1">
      <w:lvlJc w:val="left"/>
      <w:lvlText w:val="(%2)"/>
      <w:numFmt w:val="lowerLetter"/>
      <w:start w:val="1"/>
    </w:lvl>
  </w:abstractNum>
  <w:abstractNum w:abstractNumId="71">
    <w:nsid w:val="7DE67713"/>
    <w:multiLevelType w:val="hybridMultilevel"/>
    <w:lvl w:ilvl="0">
      <w:lvlJc w:val="left"/>
      <w:lvlText w:val="%1"/>
      <w:numFmt w:val="decimal"/>
      <w:start w:val="1"/>
    </w:lvl>
    <w:lvl w:ilvl="1">
      <w:lvlJc w:val="left"/>
      <w:lvlText w:val="(%2)"/>
      <w:numFmt w:val="lowerLetter"/>
      <w:start w:val="5"/>
    </w:lvl>
  </w:abstractNum>
  <w:abstractNum w:abstractNumId="72">
    <w:nsid w:val="555C55B5"/>
    <w:multiLevelType w:val="hybridMultilevel"/>
    <w:lvl w:ilvl="0">
      <w:lvlJc w:val="left"/>
      <w:lvlText w:val="%1."/>
      <w:numFmt w:val="decimal"/>
      <w:start w:val="8"/>
    </w:lvl>
    <w:lvl w:ilvl="1">
      <w:lvlJc w:val="left"/>
      <w:lvlText w:val="(%2)"/>
      <w:numFmt w:val="lowerLetter"/>
      <w:start w:val="1"/>
    </w:lvl>
  </w:abstractNum>
  <w:abstractNum w:abstractNumId="73">
    <w:nsid w:val="3FA62ACA"/>
    <w:multiLevelType w:val="hybridMultilevel"/>
    <w:lvl w:ilvl="0">
      <w:lvlJc w:val="left"/>
      <w:lvlText w:val="%1"/>
      <w:numFmt w:val="decimal"/>
      <w:start w:val="1"/>
    </w:lvl>
    <w:lvl w:ilvl="1">
      <w:lvlJc w:val="left"/>
      <w:lvlText w:val="(%2)"/>
      <w:numFmt w:val="lowerLetter"/>
      <w:start w:val="2"/>
    </w:lvl>
  </w:abstractNum>
  <w:abstractNum w:abstractNumId="74">
    <w:nsid w:val="14FCE74E"/>
    <w:multiLevelType w:val="hybridMultilevel"/>
    <w:lvl w:ilvl="0">
      <w:lvlJc w:val="left"/>
      <w:lvlText w:val="%1."/>
      <w:numFmt w:val="decimal"/>
      <w:start w:val="9"/>
    </w:lvl>
    <w:lvl w:ilvl="1">
      <w:lvlJc w:val="left"/>
      <w:lvlText w:val="(%2)"/>
      <w:numFmt w:val="lowerLetter"/>
      <w:start w:val="1"/>
    </w:lvl>
  </w:abstractNum>
  <w:abstractNum w:abstractNumId="75">
    <w:nsid w:val="6A3DD3E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6">
    <w:nsid w:val="71C91298"/>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77">
    <w:nsid w:val="9DAF632"/>
    <w:multiLevelType w:val="hybridMultilevel"/>
    <w:lvl w:ilvl="0">
      <w:lvlJc w:val="left"/>
      <w:lvlText w:val="%1"/>
      <w:numFmt w:val="lowerLetter"/>
      <w:start w:val="1"/>
    </w:lvl>
    <w:lvl w:ilvl="1">
      <w:lvlJc w:val="left"/>
      <w:lvlText w:val="(%2)"/>
      <w:numFmt w:val="lowerRoman"/>
      <w:start w:val="2"/>
    </w:lvl>
  </w:abstractNum>
  <w:abstractNum w:abstractNumId="78">
    <w:nsid w:val="53299938"/>
    <w:multiLevelType w:val="hybridMultilevel"/>
    <w:lvl w:ilvl="0">
      <w:lvlJc w:val="left"/>
      <w:lvlText w:val="(%1)"/>
      <w:numFmt w:val="lowerLetter"/>
      <w:start w:val="2"/>
    </w:lvl>
    <w:lvl w:ilvl="1">
      <w:lvlJc w:val="left"/>
      <w:lvlText w:val="%2"/>
      <w:numFmt w:val="lowerRoman"/>
      <w:start w:val="1"/>
    </w:lvl>
  </w:abstractNum>
  <w:abstractNum w:abstractNumId="79">
    <w:nsid w:val="1FBFE8E0"/>
    <w:multiLevelType w:val="hybridMultilevel"/>
    <w:lvl w:ilvl="0">
      <w:lvlJc w:val="left"/>
      <w:lvlText w:val="(%1)"/>
      <w:numFmt w:val="lowerLetter"/>
      <w:start w:val="6"/>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lowerLetter"/>
      <w:start w:val="1"/>
    </w:lvl>
  </w:abstractNum>
  <w:abstractNum w:abstractNumId="83">
    <w:nsid w:val="288F1A34"/>
    <w:multiLevelType w:val="hybridMultilevel"/>
    <w:lvl w:ilvl="0">
      <w:lvlJc w:val="left"/>
      <w:lvlText w:val="(%1)"/>
      <w:numFmt w:val="lowerLetter"/>
      <w:start w:val="1"/>
    </w:lvl>
  </w:abstractNum>
  <w:abstractNum w:abstractNumId="84">
    <w:nsid w:val="2A155DBC"/>
    <w:multiLevelType w:val="hybridMultilevel"/>
    <w:lvl w:ilvl="0">
      <w:lvlJc w:val="left"/>
      <w:lvlText w:val="(%1)"/>
      <w:numFmt w:val="lowerLetter"/>
      <w:start w:val="1"/>
    </w:lvl>
  </w:abstractNum>
  <w:abstractNum w:abstractNumId="85">
    <w:nsid w:val="1D9F6E5F"/>
    <w:multiLevelType w:val="hybridMultilevel"/>
    <w:lvl w:ilvl="0">
      <w:lvlJc w:val="left"/>
      <w:lvlText w:val="(%1)"/>
      <w:numFmt w:val="lowerLetter"/>
      <w:start w:val="1"/>
    </w:lvl>
  </w:abstractNum>
  <w:abstractNum w:abstractNumId="86">
    <w:nsid w:val="97E1B4E"/>
    <w:multiLevelType w:val="hybridMultilevel"/>
    <w:lvl w:ilvl="0">
      <w:lvlJc w:val="left"/>
      <w:lvlText w:val="%1."/>
      <w:numFmt w:val="decimal"/>
      <w:start w:val="2"/>
    </w:lvl>
  </w:abstractNum>
  <w:abstractNum w:abstractNumId="87">
    <w:nsid w:val="51088277"/>
    <w:multiLevelType w:val="hybridMultilevel"/>
    <w:lvl w:ilvl="0">
      <w:lvlJc w:val="left"/>
      <w:lvlText w:val="(%1)"/>
      <w:numFmt w:val="lowerLetter"/>
      <w:start w:val="1"/>
    </w:lvl>
  </w:abstractNum>
  <w:abstractNum w:abstractNumId="88">
    <w:nsid w:val="1CA0C5FA"/>
    <w:multiLevelType w:val="hybridMultilevel"/>
    <w:lvl w:ilvl="0">
      <w:lvlJc w:val="left"/>
      <w:lvlText w:val="%1."/>
      <w:numFmt w:val="decimal"/>
      <w:start w:val="3"/>
    </w:lvl>
  </w:abstractNum>
  <w:abstractNum w:abstractNumId="89">
    <w:nsid w:val="53584BCB"/>
    <w:multiLevelType w:val="hybridMultilevel"/>
    <w:lvl w:ilvl="0">
      <w:lvlJc w:val="left"/>
      <w:lvlText w:val="(%1)"/>
      <w:numFmt w:val="lowerLetter"/>
      <w:start w:val="1"/>
    </w:lvl>
  </w:abstractNum>
  <w:abstractNum w:abstractNumId="90">
    <w:nsid w:val="415E286C"/>
    <w:multiLevelType w:val="hybridMultilevel"/>
    <w:lvl w:ilvl="0">
      <w:lvlJc w:val="left"/>
      <w:lvlText w:val="(%1)"/>
      <w:numFmt w:val="lowerLetter"/>
      <w:start w:val="6"/>
    </w:lvl>
  </w:abstractNum>
  <w:abstractNum w:abstractNumId="91">
    <w:nsid w:val="7C58FD05"/>
    <w:multiLevelType w:val="hybridMultilevel"/>
    <w:lvl w:ilvl="0">
      <w:lvlJc w:val="left"/>
      <w:lvlText w:val="(%1)"/>
      <w:numFmt w:val="lowerLetter"/>
      <w:start w:val="1"/>
    </w:lvl>
  </w:abstractNum>
  <w:abstractNum w:abstractNumId="92">
    <w:nsid w:val="23D86AAC"/>
    <w:multiLevelType w:val="hybridMultilevel"/>
    <w:lvl w:ilvl="0">
      <w:lvlJc w:val="left"/>
      <w:lvlText w:val="%1"/>
      <w:numFmt w:val="decimal"/>
      <w:start w:val="1"/>
    </w:lvl>
    <w:lvl w:ilvl="1">
      <w:lvlJc w:val="left"/>
      <w:lvlText w:val="(%2)"/>
      <w:numFmt w:val="lowerLetter"/>
      <w:start w:val="4"/>
    </w:lvl>
  </w:abstractNum>
  <w:abstractNum w:abstractNumId="93">
    <w:nsid w:val="45E6D486"/>
    <w:multiLevelType w:val="hybridMultilevel"/>
    <w:lvl w:ilvl="0">
      <w:lvlJc w:val="left"/>
      <w:lvlText w:val="%1."/>
      <w:numFmt w:val="decimal"/>
      <w:start w:val="4"/>
    </w:lvl>
    <w:lvl w:ilvl="1">
      <w:lvlJc w:val="left"/>
      <w:lvlText w:val="%2"/>
      <w:numFmt w:val="lowerLetter"/>
      <w:start w:val="1"/>
    </w:lvl>
  </w:abstractNum>
  <w:abstractNum w:abstractNumId="94">
    <w:nsid w:val="5C10FE21"/>
    <w:multiLevelType w:val="hybridMultilevel"/>
    <w:lvl w:ilvl="0">
      <w:lvlJc w:val="left"/>
      <w:lvlText w:val="(%1)"/>
      <w:numFmt w:val="lowerLetter"/>
      <w:start w:val="1"/>
    </w:lvl>
  </w:abstractNum>
  <w:abstractNum w:abstractNumId="95">
    <w:nsid w:val="E7FFA2B"/>
    <w:multiLevelType w:val="hybridMultilevel"/>
    <w:lvl w:ilvl="0">
      <w:lvlJc w:val="left"/>
      <w:lvlText w:val="%1."/>
      <w:numFmt w:val="decimal"/>
      <w:start w:val="5"/>
    </w:lvl>
  </w:abstractNum>
  <w:abstractNum w:abstractNumId="96">
    <w:nsid w:val="3C5991AA"/>
    <w:multiLevelType w:val="hybridMultilevel"/>
    <w:lvl w:ilvl="0">
      <w:lvlJc w:val="left"/>
      <w:lvlText w:val="(%1)"/>
      <w:numFmt w:val="lowerLetter"/>
      <w:start w:val="1"/>
    </w:lvl>
  </w:abstractNum>
  <w:abstractNum w:abstractNumId="97">
    <w:nsid w:val="4BD8591A"/>
    <w:multiLevelType w:val="hybridMultilevel"/>
    <w:lvl w:ilvl="0">
      <w:lvlJc w:val="left"/>
      <w:lvlText w:val="(%1)"/>
      <w:numFmt w:val="lowerLetter"/>
      <w:start w:val="5"/>
    </w:lvl>
  </w:abstractNum>
  <w:abstractNum w:abstractNumId="98">
    <w:nsid w:val="78DF6A55"/>
    <w:multiLevelType w:val="hybridMultilevel"/>
    <w:lvl w:ilvl="0">
      <w:lvlJc w:val="left"/>
      <w:lvlText w:val="(%1)"/>
      <w:numFmt w:val="lowerLetter"/>
      <w:start w:val="1"/>
    </w:lvl>
  </w:abstractNum>
  <w:abstractNum w:abstractNumId="99">
    <w:nsid w:val="39B7AAA2"/>
    <w:multiLevelType w:val="hybridMultilevel"/>
    <w:lvl w:ilvl="0">
      <w:lvlJc w:val="left"/>
      <w:lvlText w:val="%1."/>
      <w:numFmt w:val="decimal"/>
      <w:start w:val="6"/>
    </w:lvl>
  </w:abstractNum>
  <w:abstractNum w:abstractNumId="100">
    <w:nsid w:val="2B0D8DBE"/>
    <w:multiLevelType w:val="hybridMultilevel"/>
    <w:lvl w:ilvl="0">
      <w:lvlJc w:val="left"/>
      <w:lvlText w:val="(%1)"/>
      <w:numFmt w:val="lowerLetter"/>
      <w:start w:val="1"/>
    </w:lvl>
    <w:lvl w:ilvl="1">
      <w:lvlJc w:val="left"/>
      <w:lvlText w:val="(%2)"/>
      <w:numFmt w:val="lowerRoman"/>
      <w:start w:val="1"/>
    </w:lvl>
  </w:abstractNum>
  <w:abstractNum w:abstractNumId="101">
    <w:nsid w:val="6C80EC70"/>
    <w:multiLevelType w:val="hybridMultilevel"/>
    <w:lvl w:ilvl="0">
      <w:lvlJc w:val="left"/>
      <w:lvlText w:val="(%1)"/>
      <w:numFmt w:val="lowerLetter"/>
      <w:start w:val="3"/>
    </w:lvl>
  </w:abstractNum>
  <w:abstractNum w:abstractNumId="102">
    <w:nsid w:val="379E21B5"/>
    <w:multiLevelType w:val="hybridMultilevel"/>
    <w:lvl w:ilvl="0">
      <w:lvlJc w:val="left"/>
      <w:lvlText w:val="(%1)"/>
      <w:numFmt w:val="lowerLetter"/>
      <w:start w:val="1"/>
    </w:lvl>
  </w:abstractNum>
  <w:abstractNum w:abstractNumId="103">
    <w:nsid w:val="69E373"/>
    <w:multiLevelType w:val="hybridMultilevel"/>
    <w:lvl w:ilvl="0">
      <w:lvlJc w:val="left"/>
      <w:lvlText w:val="(%1)"/>
      <w:numFmt w:val="lowerLetter"/>
      <w:start w:val="3"/>
    </w:lvl>
  </w:abstractNum>
  <w:abstractNum w:abstractNumId="104">
    <w:nsid w:val="2C27173B"/>
    <w:multiLevelType w:val="hybridMultilevel"/>
    <w:lvl w:ilvl="0">
      <w:lvlJc w:val="left"/>
      <w:lvlText w:val="%1."/>
      <w:numFmt w:val="decimal"/>
      <w:start w:val="7"/>
    </w:lvl>
  </w:abstractNum>
  <w:abstractNum w:abstractNumId="105">
    <w:nsid w:val="4C9B0904"/>
    <w:multiLevelType w:val="hybridMultilevel"/>
    <w:lvl w:ilvl="0">
      <w:lvlJc w:val="left"/>
      <w:lvlText w:val="(%1)"/>
      <w:numFmt w:val="lowerLetter"/>
      <w:start w:val="1"/>
    </w:lvl>
  </w:abstractNum>
  <w:abstractNum w:abstractNumId="106">
    <w:nsid w:val="6AA7B75C"/>
    <w:multiLevelType w:val="hybridMultilevel"/>
    <w:lvl w:ilvl="0">
      <w:lvlJc w:val="left"/>
      <w:lvlText w:val="(%1)"/>
      <w:numFmt w:val="lowerLetter"/>
      <w:start w:val="3"/>
    </w:lvl>
  </w:abstractNum>
  <w:abstractNum w:abstractNumId="107">
    <w:nsid w:val="1DF029D3"/>
    <w:multiLevelType w:val="hybridMultilevel"/>
    <w:lvl w:ilvl="0">
      <w:lvlJc w:val="left"/>
      <w:lvlText w:val="%1."/>
      <w:numFmt w:val="decimal"/>
      <w:start w:val="8"/>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1"/>
    </w:lvl>
  </w:abstractNum>
  <w:abstractNum w:abstractNumId="110">
    <w:nsid w:val="3DB012B3"/>
    <w:multiLevelType w:val="hybridMultilevel"/>
    <w:lvl w:ilvl="0">
      <w:lvlJc w:val="left"/>
      <w:lvlText w:val="%1."/>
      <w:numFmt w:val="decimal"/>
      <w:start w:val="9"/>
    </w:lvl>
  </w:abstractNum>
  <w:abstractNum w:abstractNumId="111">
    <w:nsid w:val="2708C9AF"/>
    <w:multiLevelType w:val="hybridMultilevel"/>
    <w:lvl w:ilvl="0">
      <w:lvlJc w:val="left"/>
      <w:lvlText w:val="(%1)"/>
      <w:numFmt w:val="lowerLetter"/>
      <w:start w:val="1"/>
    </w:lvl>
    <w:lvl w:ilvl="1">
      <w:lvlJc w:val="left"/>
      <w:lvlText w:val="(%2)"/>
      <w:numFmt w:val="lowerRoman"/>
      <w:start w:val="1"/>
    </w:lvl>
  </w:abstractNum>
  <w:abstractNum w:abstractNumId="112">
    <w:nsid w:val="5B25ACE2"/>
    <w:multiLevelType w:val="hybridMultilevel"/>
    <w:lvl w:ilvl="0">
      <w:lvlJc w:val="left"/>
      <w:lvlText w:val="(%1)"/>
      <w:numFmt w:val="lowerLetter"/>
      <w:start w:val="3"/>
    </w:lvl>
  </w:abstractNum>
  <w:abstractNum w:abstractNumId="113">
    <w:nsid w:val="175DFCF0"/>
    <w:multiLevelType w:val="hybridMultilevel"/>
    <w:lvl w:ilvl="0">
      <w:lvlJc w:val="left"/>
      <w:lvlText w:val="(%1)"/>
      <w:numFmt w:val="lowerLetter"/>
      <w:start w:val="1"/>
    </w:lvl>
  </w:abstractNum>
  <w:abstractNum w:abstractNumId="114">
    <w:nsid w:val="4F97E3E4"/>
    <w:multiLevelType w:val="hybridMultilevel"/>
    <w:lvl w:ilvl="0">
      <w:lvlJc w:val="left"/>
      <w:lvlText w:val="(%1)"/>
      <w:numFmt w:val="lowerLetter"/>
      <w:start w:val="1"/>
    </w:lvl>
  </w:abstractNum>
  <w:abstractNum w:abstractNumId="115">
    <w:nsid w:val="53B0A9E"/>
    <w:multiLevelType w:val="hybridMultilevel"/>
    <w:lvl w:ilvl="0">
      <w:lvlJc w:val="left"/>
      <w:lvlText w:val="(%1)"/>
      <w:numFmt w:val="lowerLetter"/>
      <w:start w:val="2"/>
    </w:lvl>
  </w:abstractNum>
  <w:abstractNum w:abstractNumId="116">
    <w:nsid w:val="34FD6B4F"/>
    <w:multiLevelType w:val="hybridMultilevel"/>
    <w:lvl w:ilvl="0">
      <w:lvlJc w:val="left"/>
      <w:lvlText w:val="%1."/>
      <w:numFmt w:val="decimal"/>
      <w:start w:val="10"/>
    </w:lvl>
  </w:abstractNum>
  <w:abstractNum w:abstractNumId="117">
    <w:nsid w:val="5915FF32"/>
    <w:multiLevelType w:val="hybridMultilevel"/>
    <w:lvl w:ilvl="0">
      <w:lvlJc w:val="left"/>
      <w:lvlText w:val="(%1)"/>
      <w:numFmt w:val="lowerLetter"/>
      <w:start w:val="1"/>
    </w:lvl>
    <w:lvl w:ilvl="1">
      <w:lvlJc w:val="left"/>
      <w:lvlText w:val="(%2)"/>
      <w:numFmt w:val="lowerRoman"/>
      <w:start w:val="1"/>
    </w:lvl>
  </w:abstractNum>
  <w:abstractNum w:abstractNumId="118">
    <w:nsid w:val="56438D15"/>
    <w:multiLevelType w:val="hybridMultilevel"/>
    <w:lvl w:ilvl="0">
      <w:lvlJc w:val="left"/>
      <w:lvlText w:val="(%1)"/>
      <w:numFmt w:val="lowerLetter"/>
      <w:start w:val="2"/>
    </w:lvl>
  </w:abstractNum>
  <w:abstractNum w:abstractNumId="119">
    <w:nsid w:val="519E3149"/>
    <w:multiLevelType w:val="hybridMultilevel"/>
    <w:lvl w:ilvl="0">
      <w:lvlJc w:val="left"/>
      <w:lvlText w:val="(%1)"/>
      <w:numFmt w:val="lowerLetter"/>
      <w:start w:val="3"/>
    </w:lvl>
  </w:abstractNum>
  <w:abstractNum w:abstractNumId="120">
    <w:nsid w:val="2C6E4AFD"/>
    <w:multiLevelType w:val="hybridMultilevel"/>
    <w:lvl w:ilvl="0">
      <w:lvlJc w:val="left"/>
      <w:lvlText w:val="%1."/>
      <w:numFmt w:val="decimal"/>
      <w:start w:val="11"/>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lowerLetter"/>
      <w:start w:val="3"/>
    </w:lvl>
  </w:abstractNum>
  <w:abstractNum w:abstractNumId="123">
    <w:nsid w:val="5046B5A9"/>
    <w:multiLevelType w:val="hybridMultilevel"/>
    <w:lvl w:ilvl="0">
      <w:lvlJc w:val="left"/>
      <w:lvlText w:val="%1."/>
      <w:numFmt w:val="decimal"/>
      <w:start w:val="12"/>
    </w:lvl>
  </w:abstractNum>
  <w:abstractNum w:abstractNumId="124">
    <w:nsid w:val="5D888A08"/>
    <w:multiLevelType w:val="hybridMultilevel"/>
    <w:lvl w:ilvl="0">
      <w:lvlJc w:val="left"/>
      <w:lvlText w:val="(%1)"/>
      <w:numFmt w:val="lowerLetter"/>
      <w:start w:val="1"/>
    </w:lvl>
  </w:abstractNum>
  <w:abstractNum w:abstractNumId="125">
    <w:nsid w:val="2A082C70"/>
    <w:multiLevelType w:val="hybridMultilevel"/>
    <w:lvl w:ilvl="0">
      <w:lvlJc w:val="left"/>
      <w:lvlText w:val="%1."/>
      <w:numFmt w:val="decimal"/>
      <w:start w:val="13"/>
    </w:lvl>
  </w:abstractNum>
  <w:abstractNum w:abstractNumId="126">
    <w:nsid w:val="5EC6AFD4"/>
    <w:multiLevelType w:val="hybridMultilevel"/>
    <w:lvl w:ilvl="0">
      <w:lvlJc w:val="left"/>
      <w:lvlText w:val="(%1)"/>
      <w:numFmt w:val="lowerLetter"/>
      <w:start w:val="1"/>
    </w:lvl>
  </w:abstractNum>
  <w:abstractNum w:abstractNumId="127">
    <w:nsid w:val="19E21BB2"/>
    <w:multiLevelType w:val="hybridMultilevel"/>
    <w:lvl w:ilvl="0">
      <w:lvlJc w:val="left"/>
      <w:lvlText w:val="(%1)"/>
      <w:numFmt w:val="lowerLetter"/>
      <w:start w:val="3"/>
    </w:lvl>
  </w:abstractNum>
  <w:abstractNum w:abstractNumId="128">
    <w:nsid w:val="75E0858A"/>
    <w:multiLevelType w:val="hybridMultilevel"/>
    <w:lvl w:ilvl="0">
      <w:lvlJc w:val="left"/>
      <w:lvlText w:val="(%1)"/>
      <w:numFmt w:val="lowerLetter"/>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2020-08-06T15:37:00Z</dcterms:created>
  <dcterms:modified xsi:type="dcterms:W3CDTF">2020-08-06T15:37:00Z</dcterms:modified>
</cp:coreProperties>
</file>