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460" w:right="460" w:hanging="452"/>
        <w:spacing w:after="0" w:line="237"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8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2017</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2960"/>
        <w:spacing w:after="0"/>
        <w:tabs>
          <w:tab w:leader="none" w:pos="72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4018280</wp:posOffset>
            </wp:positionH>
            <wp:positionV relativeFrom="paragraph">
              <wp:posOffset>-7620</wp:posOffset>
            </wp:positionV>
            <wp:extent cx="13633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001-36485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ARDELYX,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400" w:type="dxa"/>
        <w:tblCellMar>
          <w:top w:w="0" w:type="dxa"/>
          <w:left w:w="0" w:type="dxa"/>
          <w:bottom w:w="0" w:type="dxa"/>
          <w:right w:w="0" w:type="dxa"/>
        </w:tblCellMar>
      </w:tblPr>
      <w:tr>
        <w:trPr>
          <w:trHeight w:val="212"/>
        </w:trPr>
        <w:tc>
          <w:tcPr>
            <w:tcW w:w="4620" w:type="dxa"/>
            <w:vAlign w:val="bottom"/>
          </w:tcPr>
          <w:p>
            <w:pPr>
              <w:jc w:val="center"/>
              <w:ind w:right="1562"/>
              <w:spacing w:after="0"/>
              <w:rPr>
                <w:sz w:val="20"/>
                <w:szCs w:val="20"/>
                <w:color w:val="auto"/>
              </w:rPr>
            </w:pPr>
            <w:r>
              <w:rPr>
                <w:rFonts w:ascii="Arial" w:cs="Arial" w:eastAsia="Arial" w:hAnsi="Arial"/>
                <w:sz w:val="18"/>
                <w:szCs w:val="18"/>
                <w:b w:val="1"/>
                <w:bCs w:val="1"/>
                <w:color w:val="auto"/>
                <w:w w:val="98"/>
              </w:rPr>
              <w:t>DELAWARE</w:t>
            </w:r>
          </w:p>
        </w:tc>
        <w:tc>
          <w:tcPr>
            <w:tcW w:w="3600" w:type="dxa"/>
            <w:vAlign w:val="bottom"/>
          </w:tcPr>
          <w:p>
            <w:pPr>
              <w:jc w:val="center"/>
              <w:ind w:left="1582"/>
              <w:spacing w:after="0"/>
              <w:rPr>
                <w:sz w:val="20"/>
                <w:szCs w:val="20"/>
                <w:color w:val="auto"/>
              </w:rPr>
            </w:pPr>
            <w:r>
              <w:rPr>
                <w:rFonts w:ascii="Arial" w:cs="Arial" w:eastAsia="Arial" w:hAnsi="Arial"/>
                <w:sz w:val="18"/>
                <w:szCs w:val="18"/>
                <w:b w:val="1"/>
                <w:bCs w:val="1"/>
                <w:color w:val="auto"/>
                <w:w w:val="89"/>
              </w:rPr>
              <w:t>26-1303944</w:t>
            </w:r>
          </w:p>
        </w:tc>
      </w:tr>
      <w:tr>
        <w:trPr>
          <w:trHeight w:val="149"/>
        </w:trPr>
        <w:tc>
          <w:tcPr>
            <w:tcW w:w="4620" w:type="dxa"/>
            <w:vAlign w:val="bottom"/>
          </w:tcPr>
          <w:p>
            <w:pPr>
              <w:jc w:val="center"/>
              <w:ind w:right="1562"/>
              <w:spacing w:after="0" w:line="149" w:lineRule="exact"/>
              <w:rPr>
                <w:sz w:val="20"/>
                <w:szCs w:val="20"/>
                <w:color w:val="auto"/>
              </w:rPr>
            </w:pPr>
            <w:r>
              <w:rPr>
                <w:rFonts w:ascii="Arial" w:cs="Arial" w:eastAsia="Arial" w:hAnsi="Arial"/>
                <w:sz w:val="14"/>
                <w:szCs w:val="14"/>
                <w:b w:val="1"/>
                <w:bCs w:val="1"/>
                <w:color w:val="auto"/>
              </w:rPr>
              <w:t>(STATE OR OTHER JURISDICTION</w:t>
            </w:r>
          </w:p>
        </w:tc>
        <w:tc>
          <w:tcPr>
            <w:tcW w:w="3600" w:type="dxa"/>
            <w:vAlign w:val="bottom"/>
          </w:tcPr>
          <w:p>
            <w:pPr>
              <w:jc w:val="center"/>
              <w:ind w:left="1582"/>
              <w:spacing w:after="0" w:line="149" w:lineRule="exact"/>
              <w:rPr>
                <w:sz w:val="20"/>
                <w:szCs w:val="20"/>
                <w:color w:val="auto"/>
              </w:rPr>
            </w:pPr>
            <w:r>
              <w:rPr>
                <w:rFonts w:ascii="Arial" w:cs="Arial" w:eastAsia="Arial" w:hAnsi="Arial"/>
                <w:sz w:val="14"/>
                <w:szCs w:val="14"/>
                <w:b w:val="1"/>
                <w:bCs w:val="1"/>
                <w:color w:val="auto"/>
              </w:rPr>
              <w:t>(I.R.S. EMPLOYER</w:t>
            </w:r>
          </w:p>
        </w:tc>
      </w:tr>
      <w:tr>
        <w:trPr>
          <w:trHeight w:val="186"/>
        </w:trPr>
        <w:tc>
          <w:tcPr>
            <w:tcW w:w="4620" w:type="dxa"/>
            <w:vAlign w:val="bottom"/>
          </w:tcPr>
          <w:p>
            <w:pPr>
              <w:jc w:val="center"/>
              <w:ind w:right="1562"/>
              <w:spacing w:after="0"/>
              <w:rPr>
                <w:sz w:val="20"/>
                <w:szCs w:val="20"/>
                <w:color w:val="auto"/>
              </w:rPr>
            </w:pPr>
            <w:r>
              <w:rPr>
                <w:rFonts w:ascii="Arial" w:cs="Arial" w:eastAsia="Arial" w:hAnsi="Arial"/>
                <w:sz w:val="14"/>
                <w:szCs w:val="14"/>
                <w:b w:val="1"/>
                <w:bCs w:val="1"/>
                <w:color w:val="auto"/>
              </w:rPr>
              <w:t>OF INCORPORATION OR ORGANIZATION)</w:t>
            </w:r>
          </w:p>
        </w:tc>
        <w:tc>
          <w:tcPr>
            <w:tcW w:w="3600" w:type="dxa"/>
            <w:vAlign w:val="bottom"/>
          </w:tcPr>
          <w:p>
            <w:pPr>
              <w:jc w:val="center"/>
              <w:ind w:left="1582"/>
              <w:spacing w:after="0"/>
              <w:rPr>
                <w:sz w:val="20"/>
                <w:szCs w:val="20"/>
                <w:color w:val="auto"/>
              </w:rPr>
            </w:pPr>
            <w:r>
              <w:rPr>
                <w:rFonts w:ascii="Arial" w:cs="Arial" w:eastAsia="Arial" w:hAnsi="Arial"/>
                <w:sz w:val="14"/>
                <w:szCs w:val="14"/>
                <w:b w:val="1"/>
                <w:bCs w:val="1"/>
                <w:color w:val="auto"/>
              </w:rPr>
              <w:t>IDENTIFICATION NUMBER)</w:t>
            </w:r>
          </w:p>
        </w:tc>
      </w:tr>
    </w:tbl>
    <w:p>
      <w:pPr>
        <w:spacing w:after="0" w:line="196"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34175 Ardenwood Boulevard, Suite 200</w:t>
      </w:r>
    </w:p>
    <w:p>
      <w:pPr>
        <w:spacing w:after="0" w:line="27" w:lineRule="exact"/>
        <w:rPr>
          <w:sz w:val="24"/>
          <w:szCs w:val="24"/>
          <w:color w:val="auto"/>
        </w:rPr>
      </w:pPr>
    </w:p>
    <w:p>
      <w:pPr>
        <w:ind w:left="4700"/>
        <w:spacing w:after="0"/>
        <w:rPr>
          <w:sz w:val="20"/>
          <w:szCs w:val="20"/>
          <w:color w:val="auto"/>
        </w:rPr>
      </w:pPr>
      <w:r>
        <w:rPr>
          <w:rFonts w:ascii="Arial" w:cs="Arial" w:eastAsia="Arial" w:hAnsi="Arial"/>
          <w:sz w:val="18"/>
          <w:szCs w:val="18"/>
          <w:b w:val="1"/>
          <w:bCs w:val="1"/>
          <w:color w:val="auto"/>
        </w:rPr>
        <w:t>Fremont, California 94555</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 INCLUDING ZIPCODE)</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(510) 745-1700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right="20"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220"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60" w:firstLine="456"/>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12b-2 of the Exchange Act.</w:t>
      </w:r>
    </w:p>
    <w:p>
      <w:pPr>
        <w:spacing w:after="0" w:line="176"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1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52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3640" w:type="dxa"/>
            <w:vAlign w:val="bottom"/>
          </w:tcPr>
          <w:p>
            <w:pPr>
              <w:ind w:left="146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180" w:type="dxa"/>
            <w:vAlign w:val="bottom"/>
          </w:tcPr>
          <w:p>
            <w:pPr>
              <w:spacing w:after="0"/>
              <w:rPr>
                <w:sz w:val="20"/>
                <w:szCs w:val="20"/>
                <w:color w:val="auto"/>
              </w:rPr>
            </w:pPr>
            <w:r>
              <w:rPr>
                <w:rFonts w:ascii="Arial" w:cs="Arial" w:eastAsia="Arial" w:hAnsi="Arial"/>
                <w:sz w:val="18"/>
                <w:szCs w:val="18"/>
                <w:color w:val="auto"/>
              </w:rPr>
              <w:t>Non-accelerated filer</w:t>
            </w:r>
          </w:p>
        </w:tc>
        <w:tc>
          <w:tcPr>
            <w:tcW w:w="5220" w:type="dxa"/>
            <w:vAlign w:val="bottom"/>
          </w:tcPr>
          <w:p>
            <w:pPr>
              <w:ind w:left="2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640" w:type="dxa"/>
            <w:vAlign w:val="bottom"/>
          </w:tcPr>
          <w:p>
            <w:pPr>
              <w:ind w:left="146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18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52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3640" w:type="dxa"/>
            <w:vAlign w:val="bottom"/>
          </w:tcPr>
          <w:p>
            <w:pPr>
              <w:spacing w:after="0"/>
              <w:rPr>
                <w:sz w:val="24"/>
                <w:szCs w:val="24"/>
                <w:color w:val="auto"/>
              </w:rPr>
            </w:pPr>
          </w:p>
        </w:tc>
        <w:tc>
          <w:tcPr>
            <w:tcW w:w="380" w:type="dxa"/>
            <w:vAlign w:val="bottom"/>
          </w:tcPr>
          <w:p>
            <w:pPr>
              <w:spacing w:after="0"/>
              <w:rPr>
                <w:sz w:val="24"/>
                <w:szCs w:val="24"/>
                <w:color w:val="auto"/>
              </w:rPr>
            </w:pPr>
          </w:p>
        </w:tc>
      </w:tr>
    </w:tbl>
    <w:p>
      <w:pPr>
        <w:spacing w:after="0" w:line="182" w:lineRule="exact"/>
        <w:rPr>
          <w:sz w:val="24"/>
          <w:szCs w:val="24"/>
          <w:color w:val="auto"/>
        </w:rPr>
      </w:pPr>
    </w:p>
    <w:p>
      <w:pPr>
        <w:ind w:right="220" w:firstLine="456"/>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460"/>
        <w:spacing w:after="0" w:line="207" w:lineRule="exact"/>
        <w:tabs>
          <w:tab w:leader="none" w:pos="8780" w:val="left"/>
          <w:tab w:leader="none" w:pos="948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The number of issued and outstanding shares of the registrant’s Common Stock, $0.0001 par value per share, as of November 1, 2017, was 47,534,979.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218440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285"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Table of Contents</w:t>
      </w: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ARDELYX, INC.</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20" w:type="dxa"/>
            <w:vAlign w:val="bottom"/>
            <w:gridSpan w:val="11"/>
            <w:vMerge w:val="restart"/>
          </w:tcPr>
          <w:p>
            <w:pPr>
              <w:jc w:val="center"/>
              <w:ind w:right="3760"/>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PAGE</w:t>
            </w:r>
          </w:p>
        </w:tc>
        <w:tc>
          <w:tcPr>
            <w:tcW w:w="0" w:type="dxa"/>
            <w:vAlign w:val="bottom"/>
          </w:tcPr>
          <w:p>
            <w:pPr>
              <w:spacing w:after="0"/>
              <w:rPr>
                <w:sz w:val="1"/>
                <w:szCs w:val="1"/>
                <w:color w:val="auto"/>
              </w:rPr>
            </w:pPr>
          </w:p>
        </w:tc>
      </w:tr>
      <w:tr>
        <w:trPr>
          <w:trHeight w:val="156"/>
        </w:trPr>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20" w:type="dxa"/>
            <w:vAlign w:val="bottom"/>
            <w:gridSpan w:val="11"/>
            <w:vMerge w:val="continue"/>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396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Item 1. Condensed Consolidated Financial Statements:</w:t>
              </w:r>
            </w:hyperlink>
          </w:p>
        </w:tc>
        <w:tc>
          <w:tcPr>
            <w:tcW w:w="200" w:type="dxa"/>
            <w:vAlign w:val="bottom"/>
          </w:tcPr>
          <w:p>
            <w:pPr>
              <w:spacing w:after="0"/>
              <w:rPr>
                <w:sz w:val="24"/>
                <w:szCs w:val="24"/>
                <w:color w:val="auto"/>
              </w:rPr>
            </w:pPr>
          </w:p>
        </w:tc>
        <w:tc>
          <w:tcPr>
            <w:tcW w:w="3060" w:type="dxa"/>
            <w:vAlign w:val="bottom"/>
            <w:tcBorders>
              <w:top w:val="single" w:sz="8" w:color="0000EE"/>
            </w:tcBorders>
            <w:gridSpan w:val="7"/>
          </w:tcPr>
          <w:p>
            <w:pPr>
              <w:spacing w:after="0"/>
              <w:rPr>
                <w:sz w:val="24"/>
                <w:szCs w:val="24"/>
                <w:color w:val="auto"/>
              </w:rPr>
            </w:pPr>
          </w:p>
        </w:tc>
        <w:tc>
          <w:tcPr>
            <w:tcW w:w="3760" w:type="dxa"/>
            <w:vAlign w:val="bottom"/>
            <w:gridSpan w:val="4"/>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10600" w:type="dxa"/>
            <w:vAlign w:val="bottom"/>
            <w:gridSpan w:val="22"/>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as of September 30, 2017 (unaudited) and December 31, 2016</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20" w:type="dxa"/>
            <w:vAlign w:val="bottom"/>
            <w:gridSpan w:val="3"/>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10600" w:type="dxa"/>
            <w:vAlign w:val="bottom"/>
            <w:gridSpan w:val="22"/>
          </w:tcPr>
          <w:p>
            <w:pPr>
              <w:spacing w:after="0" w:line="196" w:lineRule="exact"/>
              <w:rPr>
                <w:rFonts w:ascii="Arial" w:cs="Arial" w:eastAsia="Arial" w:hAnsi="Arial"/>
                <w:sz w:val="18"/>
                <w:szCs w:val="18"/>
                <w:color w:val="0000EE"/>
                <w:w w:val="94"/>
              </w:rPr>
            </w:pPr>
            <w:hyperlink w:anchor="page4">
              <w:r>
                <w:rPr>
                  <w:rFonts w:ascii="Arial" w:cs="Arial" w:eastAsia="Arial" w:hAnsi="Arial"/>
                  <w:sz w:val="18"/>
                  <w:szCs w:val="18"/>
                  <w:color w:val="0000EE"/>
                  <w:w w:val="94"/>
                </w:rPr>
                <w:t>Condensed Consolidated Statements of Operations and Comprehensive Loss for the three and nine months ended September 30, 2017 and</w:t>
              </w:r>
            </w:hyperlink>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978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2016 (unaudited)</w:t>
              </w:r>
            </w:hyperlink>
          </w:p>
        </w:tc>
        <w:tc>
          <w:tcPr>
            <w:tcW w:w="66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10600" w:type="dxa"/>
            <w:vAlign w:val="bottom"/>
            <w:gridSpan w:val="22"/>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Cash Flows for the nine months ended September 30, 2017 and 2016 (unaudited)</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870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Notes to Condensed Consolidated Financial Statements (unaudited)</w:t>
              </w:r>
            </w:hyperlink>
          </w:p>
        </w:tc>
        <w:tc>
          <w:tcPr>
            <w:tcW w:w="1900" w:type="dxa"/>
            <w:vAlign w:val="bottom"/>
            <w:gridSpan w:val="2"/>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20" w:type="dxa"/>
            <w:vAlign w:val="bottom"/>
            <w:gridSpan w:val="3"/>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90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80" w:type="dxa"/>
            <w:vAlign w:val="bottom"/>
            <w:gridSpan w:val="23"/>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Item 2. Management’s Discussion and Analysis of Financial Condition and Results of Operations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6"/>
        </w:trPr>
        <w:tc>
          <w:tcPr>
            <w:tcW w:w="494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2"/>
              </w:rPr>
            </w:pPr>
            <w:hyperlink w:anchor="page18">
              <w:r>
                <w:rPr>
                  <w:rFonts w:ascii="Arial" w:cs="Arial" w:eastAsia="Arial" w:hAnsi="Arial"/>
                  <w:sz w:val="18"/>
                  <w:szCs w:val="18"/>
                  <w:color w:val="0000EE"/>
                  <w:w w:val="92"/>
                </w:rPr>
                <w:t>Item 3. Quantitative and Qualitative Disclosures About Market Risk</w:t>
              </w:r>
            </w:hyperlink>
          </w:p>
        </w:tc>
        <w:tc>
          <w:tcPr>
            <w:tcW w:w="2120" w:type="dxa"/>
            <w:vAlign w:val="bottom"/>
            <w:tcBorders>
              <w:top w:val="single" w:sz="8" w:color="0000EE"/>
            </w:tcBorders>
            <w:gridSpan w:val="2"/>
          </w:tcPr>
          <w:p>
            <w:pPr>
              <w:spacing w:after="0"/>
              <w:rPr>
                <w:sz w:val="17"/>
                <w:szCs w:val="17"/>
                <w:color w:val="auto"/>
              </w:rPr>
            </w:pPr>
          </w:p>
        </w:tc>
        <w:tc>
          <w:tcPr>
            <w:tcW w:w="3920" w:type="dxa"/>
            <w:vAlign w:val="bottom"/>
            <w:gridSpan w:val="6"/>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10980" w:type="dxa"/>
            <w:vAlign w:val="bottom"/>
            <w:gridSpan w:val="23"/>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Item 4. Controls and Procedures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04"/>
        </w:trPr>
        <w:tc>
          <w:tcPr>
            <w:tcW w:w="3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80" w:type="dxa"/>
            <w:vAlign w:val="bottom"/>
            <w:tcBorders>
              <w:bottom w:val="single" w:sz="8" w:color="0000EE"/>
            </w:tcBorders>
            <w:gridSpan w:val="5"/>
          </w:tcPr>
          <w:p>
            <w:pPr>
              <w:jc w:val="center"/>
              <w:spacing w:after="0"/>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PART II. OTHER INFORMATION</w:t>
              </w:r>
            </w:hyperlink>
          </w:p>
        </w:tc>
        <w:tc>
          <w:tcPr>
            <w:tcW w:w="3900" w:type="dxa"/>
            <w:vAlign w:val="bottom"/>
            <w:gridSpan w:val="5"/>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90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19">
              <w:r>
                <w:rPr>
                  <w:rFonts w:ascii="Arial" w:cs="Arial" w:eastAsia="Arial" w:hAnsi="Arial"/>
                  <w:sz w:val="18"/>
                  <w:szCs w:val="18"/>
                  <w:color w:val="0000EE"/>
                  <w:w w:val="89"/>
                </w:rPr>
                <w:t>Item 1. Legal Proceedings</w:t>
              </w:r>
            </w:hyperlink>
          </w:p>
        </w:tc>
        <w:tc>
          <w:tcPr>
            <w:tcW w:w="9080" w:type="dxa"/>
            <w:vAlign w:val="bottom"/>
            <w:gridSpan w:val="15"/>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160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w:anchor="page19">
              <w:r>
                <w:rPr>
                  <w:rFonts w:ascii="Arial" w:cs="Arial" w:eastAsia="Arial" w:hAnsi="Arial"/>
                  <w:sz w:val="18"/>
                  <w:szCs w:val="18"/>
                  <w:color w:val="0000EE"/>
                  <w:w w:val="91"/>
                </w:rPr>
                <w:t>Item 1A. Risk Factors</w:t>
              </w:r>
            </w:hyperlink>
          </w:p>
        </w:tc>
        <w:tc>
          <w:tcPr>
            <w:tcW w:w="9380" w:type="dxa"/>
            <w:vAlign w:val="bottom"/>
            <w:gridSpan w:val="18"/>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492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46">
              <w:r>
                <w:rPr>
                  <w:rFonts w:ascii="Arial" w:cs="Arial" w:eastAsia="Arial" w:hAnsi="Arial"/>
                  <w:sz w:val="18"/>
                  <w:szCs w:val="18"/>
                  <w:color w:val="0000EE"/>
                  <w:w w:val="89"/>
                </w:rPr>
                <w:t>Item 2. Unregistered Sales of Equity Securities and Use of Proceeds</w:t>
              </w:r>
            </w:hyperlink>
          </w:p>
        </w:tc>
        <w:tc>
          <w:tcPr>
            <w:tcW w:w="6060" w:type="dxa"/>
            <w:vAlign w:val="bottom"/>
            <w:gridSpan w:val="9"/>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96"/>
        </w:trPr>
        <w:tc>
          <w:tcPr>
            <w:tcW w:w="10980" w:type="dxa"/>
            <w:vAlign w:val="bottom"/>
            <w:gridSpan w:val="23"/>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Item 3. Defaults Upon Senior Securities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96"/>
        </w:trPr>
        <w:tc>
          <w:tcPr>
            <w:tcW w:w="234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1"/>
              </w:rPr>
            </w:pPr>
            <w:hyperlink w:anchor="page46">
              <w:r>
                <w:rPr>
                  <w:rFonts w:ascii="Arial" w:cs="Arial" w:eastAsia="Arial" w:hAnsi="Arial"/>
                  <w:sz w:val="18"/>
                  <w:szCs w:val="18"/>
                  <w:color w:val="0000EE"/>
                  <w:w w:val="91"/>
                </w:rPr>
                <w:t>Item 4. Mine Safety Disclosures</w:t>
              </w:r>
            </w:hyperlink>
          </w:p>
        </w:tc>
        <w:tc>
          <w:tcPr>
            <w:tcW w:w="540" w:type="dxa"/>
            <w:vAlign w:val="bottom"/>
            <w:tcBorders>
              <w:top w:val="single" w:sz="8" w:color="0000EE"/>
            </w:tcBorders>
          </w:tcPr>
          <w:p>
            <w:pPr>
              <w:spacing w:after="0"/>
              <w:rPr>
                <w:sz w:val="17"/>
                <w:szCs w:val="17"/>
                <w:color w:val="auto"/>
              </w:rPr>
            </w:pPr>
          </w:p>
        </w:tc>
        <w:tc>
          <w:tcPr>
            <w:tcW w:w="8100" w:type="dxa"/>
            <w:vAlign w:val="bottom"/>
            <w:gridSpan w:val="13"/>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96"/>
        </w:trPr>
        <w:tc>
          <w:tcPr>
            <w:tcW w:w="188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w:anchor="page46">
              <w:r>
                <w:rPr>
                  <w:rFonts w:ascii="Arial" w:cs="Arial" w:eastAsia="Arial" w:hAnsi="Arial"/>
                  <w:sz w:val="18"/>
                  <w:szCs w:val="18"/>
                  <w:color w:val="0000EE"/>
                  <w:w w:val="92"/>
                </w:rPr>
                <w:t>Item 5. Other Information</w:t>
              </w:r>
            </w:hyperlink>
          </w:p>
        </w:tc>
        <w:tc>
          <w:tcPr>
            <w:tcW w:w="9100" w:type="dxa"/>
            <w:vAlign w:val="bottom"/>
            <w:gridSpan w:val="16"/>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96"/>
        </w:trPr>
        <w:tc>
          <w:tcPr>
            <w:tcW w:w="10980" w:type="dxa"/>
            <w:vAlign w:val="bottom"/>
            <w:gridSpan w:val="23"/>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Item 6. Exhibits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96"/>
        </w:trPr>
        <w:tc>
          <w:tcPr>
            <w:tcW w:w="116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Signatures</w:t>
              </w:r>
            </w:hyperlink>
          </w:p>
        </w:tc>
        <w:tc>
          <w:tcPr>
            <w:tcW w:w="9820" w:type="dxa"/>
            <w:vAlign w:val="bottom"/>
            <w:gridSpan w:val="19"/>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385"/>
        </w:trPr>
        <w:tc>
          <w:tcPr>
            <w:tcW w:w="760" w:type="dxa"/>
            <w:vAlign w:val="bottom"/>
            <w:tcBorders>
              <w:top w:val="single" w:sz="8" w:color="0000EE"/>
            </w:tcBorders>
            <w:gridSpan w:val="3"/>
          </w:tcPr>
          <w:p>
            <w:pPr>
              <w:spacing w:after="0"/>
              <w:rPr>
                <w:sz w:val="24"/>
                <w:szCs w:val="24"/>
                <w:color w:val="auto"/>
              </w:rPr>
            </w:pPr>
          </w:p>
        </w:tc>
        <w:tc>
          <w:tcPr>
            <w:tcW w:w="6300" w:type="dxa"/>
            <w:vAlign w:val="bottom"/>
            <w:gridSpan w:val="14"/>
          </w:tcPr>
          <w:p>
            <w:pPr>
              <w:jc w:val="right"/>
              <w:ind w:right="130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60" w:type="dxa"/>
            <w:vAlign w:val="bottom"/>
            <w:gridSpan w:val="3"/>
          </w:tcPr>
          <w:p>
            <w:pPr>
              <w:spacing w:after="0"/>
              <w:rPr>
                <w:sz w:val="20"/>
                <w:szCs w:val="20"/>
                <w:color w:val="auto"/>
              </w:rPr>
            </w:pPr>
            <w:r>
              <w:rPr>
                <w:rFonts w:ascii="Arial" w:cs="Arial" w:eastAsia="Arial" w:hAnsi="Arial"/>
                <w:sz w:val="18"/>
                <w:szCs w:val="18"/>
                <w:b w:val="1"/>
                <w:bCs w:val="1"/>
                <w:color w:val="auto"/>
              </w:rPr>
              <w:t>PART I. FINANCIAL INFORMATION</w:t>
            </w: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70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8360" w:type="dxa"/>
            <w:vAlign w:val="bottom"/>
          </w:tcPr>
          <w:p>
            <w:pPr>
              <w:ind w:left="340"/>
              <w:spacing w:after="0"/>
              <w:rPr>
                <w:sz w:val="20"/>
                <w:szCs w:val="20"/>
                <w:color w:val="auto"/>
              </w:rPr>
            </w:pPr>
            <w:r>
              <w:rPr>
                <w:rFonts w:ascii="Arial" w:cs="Arial" w:eastAsia="Arial" w:hAnsi="Arial"/>
                <w:sz w:val="18"/>
                <w:szCs w:val="18"/>
                <w:b w:val="1"/>
                <w:bCs w:val="1"/>
                <w:color w:val="auto"/>
              </w:rPr>
              <w:t>CONDENSED CONSOLIDATED FINANCIAL STATEMENTS</w:t>
            </w: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360" w:type="dxa"/>
            <w:vAlign w:val="bottom"/>
          </w:tcPr>
          <w:p>
            <w:pPr>
              <w:jc w:val="center"/>
              <w:ind w:left="1570"/>
              <w:spacing w:after="0"/>
              <w:rPr>
                <w:sz w:val="20"/>
                <w:szCs w:val="20"/>
                <w:color w:val="auto"/>
              </w:rPr>
            </w:pPr>
            <w:r>
              <w:rPr>
                <w:rFonts w:ascii="Arial" w:cs="Arial" w:eastAsia="Arial" w:hAnsi="Arial"/>
                <w:sz w:val="18"/>
                <w:szCs w:val="18"/>
                <w:b w:val="1"/>
                <w:bCs w:val="1"/>
                <w:color w:val="auto"/>
              </w:rPr>
              <w:t>ARDELYX, INC.</w:t>
            </w: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360" w:type="dxa"/>
            <w:vAlign w:val="bottom"/>
          </w:tcPr>
          <w:p>
            <w:pPr>
              <w:jc w:val="center"/>
              <w:ind w:left="157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360" w:type="dxa"/>
            <w:vAlign w:val="bottom"/>
          </w:tcPr>
          <w:p>
            <w:pPr>
              <w:jc w:val="center"/>
              <w:ind w:left="1570"/>
              <w:spacing w:after="0"/>
              <w:rPr>
                <w:sz w:val="20"/>
                <w:szCs w:val="20"/>
                <w:color w:val="auto"/>
              </w:rPr>
            </w:pPr>
            <w:r>
              <w:rPr>
                <w:rFonts w:ascii="Arial" w:cs="Arial" w:eastAsia="Arial" w:hAnsi="Arial"/>
                <w:sz w:val="18"/>
                <w:szCs w:val="18"/>
                <w:b w:val="1"/>
                <w:bCs w:val="1"/>
                <w:color w:val="auto"/>
                <w:w w:val="88"/>
              </w:rPr>
              <w:t>(in thousands, except share and per share amounts)</w:t>
            </w: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360" w:type="dxa"/>
            <w:vAlign w:val="bottom"/>
          </w:tcPr>
          <w:p>
            <w:pPr>
              <w:spacing w:after="0"/>
              <w:rPr>
                <w:sz w:val="24"/>
                <w:szCs w:val="24"/>
                <w:color w:val="auto"/>
              </w:rPr>
            </w:pPr>
          </w:p>
        </w:tc>
        <w:tc>
          <w:tcPr>
            <w:tcW w:w="1420" w:type="dxa"/>
            <w:vAlign w:val="bottom"/>
            <w:gridSpan w:val="4"/>
          </w:tcPr>
          <w:p>
            <w:pPr>
              <w:spacing w:after="0"/>
              <w:rPr>
                <w:sz w:val="20"/>
                <w:szCs w:val="20"/>
                <w:color w:val="auto"/>
              </w:rPr>
            </w:pPr>
            <w:r>
              <w:rPr>
                <w:rFonts w:ascii="Arial" w:cs="Arial" w:eastAsia="Arial" w:hAnsi="Arial"/>
                <w:sz w:val="14"/>
                <w:szCs w:val="14"/>
                <w:b w:val="1"/>
                <w:bCs w:val="1"/>
                <w:color w:val="auto"/>
              </w:rPr>
              <w:t>September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3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360" w:type="dxa"/>
            <w:vAlign w:val="bottom"/>
          </w:tcPr>
          <w:p>
            <w:pPr>
              <w:spacing w:after="0"/>
              <w:rPr>
                <w:sz w:val="12"/>
                <w:szCs w:val="12"/>
                <w:color w:val="auto"/>
              </w:rPr>
            </w:pPr>
          </w:p>
        </w:tc>
        <w:tc>
          <w:tcPr>
            <w:tcW w:w="8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(Unaudited)</w:t>
            </w:r>
          </w:p>
        </w:tc>
        <w:tc>
          <w:tcPr>
            <w:tcW w:w="54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ind w:right="252"/>
              <w:spacing w:after="0" w:line="142" w:lineRule="exact"/>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59,454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ind w:left="340"/>
              <w:spacing w:after="0"/>
              <w:rPr>
                <w:sz w:val="20"/>
                <w:szCs w:val="20"/>
                <w:color w:val="auto"/>
              </w:rPr>
            </w:pPr>
            <w:r>
              <w:rPr>
                <w:rFonts w:ascii="Arial" w:cs="Arial" w:eastAsia="Arial" w:hAnsi="Arial"/>
                <w:sz w:val="18"/>
                <w:szCs w:val="18"/>
                <w:color w:val="auto"/>
              </w:rPr>
              <w:t>Short-term investments</w:t>
            </w:r>
          </w:p>
        </w:tc>
        <w:tc>
          <w:tcPr>
            <w:tcW w:w="160" w:type="dxa"/>
            <w:vAlign w:val="bottom"/>
          </w:tcPr>
          <w:p>
            <w:pPr>
              <w:spacing w:after="0"/>
              <w:rPr>
                <w:sz w:val="18"/>
                <w:szCs w:val="18"/>
                <w:color w:val="auto"/>
              </w:rPr>
            </w:pPr>
          </w:p>
        </w:tc>
        <w:tc>
          <w:tcPr>
            <w:tcW w:w="1260" w:type="dxa"/>
            <w:vAlign w:val="bottom"/>
            <w:gridSpan w:val="3"/>
          </w:tcPr>
          <w:p>
            <w:pPr>
              <w:jc w:val="right"/>
              <w:ind w:right="540"/>
              <w:spacing w:after="0"/>
              <w:rPr>
                <w:sz w:val="20"/>
                <w:szCs w:val="20"/>
                <w:color w:val="auto"/>
              </w:rPr>
            </w:pPr>
            <w:r>
              <w:rPr>
                <w:rFonts w:ascii="Arial" w:cs="Arial" w:eastAsia="Arial" w:hAnsi="Arial"/>
                <w:sz w:val="18"/>
                <w:szCs w:val="18"/>
                <w:color w:val="auto"/>
              </w:rPr>
              <w:t>69,834</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126,225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4,342</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36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1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133,630</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203,992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8,622</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w:t>
            </w:r>
          </w:p>
        </w:tc>
        <w:tc>
          <w:tcPr>
            <w:tcW w:w="540" w:type="dxa"/>
            <w:vAlign w:val="bottom"/>
            <w:gridSpan w:val="2"/>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143,105</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213,131</w:t>
            </w:r>
          </w:p>
        </w:tc>
        <w:tc>
          <w:tcPr>
            <w:tcW w:w="0" w:type="dxa"/>
            <w:vAlign w:val="bottom"/>
          </w:tcPr>
          <w:p>
            <w:pPr>
              <w:spacing w:after="0"/>
              <w:rPr>
                <w:sz w:val="1"/>
                <w:szCs w:val="1"/>
                <w:color w:val="auto"/>
              </w:rPr>
            </w:pPr>
          </w:p>
        </w:tc>
      </w:tr>
      <w:tr>
        <w:trPr>
          <w:trHeight w:val="20"/>
        </w:trPr>
        <w:tc>
          <w:tcPr>
            <w:tcW w:w="90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6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ind w:left="340"/>
              <w:spacing w:after="0"/>
              <w:rPr>
                <w:sz w:val="20"/>
                <w:szCs w:val="20"/>
                <w:color w:val="auto"/>
              </w:rPr>
            </w:pPr>
            <w:r>
              <w:rPr>
                <w:rFonts w:ascii="Arial" w:cs="Arial" w:eastAsia="Arial" w:hAnsi="Arial"/>
                <w:sz w:val="18"/>
                <w:szCs w:val="18"/>
                <w:color w:val="auto"/>
              </w:rPr>
              <w:t>Accounts payable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1,723</w:t>
            </w:r>
          </w:p>
        </w:tc>
        <w:tc>
          <w:tcPr>
            <w:tcW w:w="5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Accrued compensation and benefits</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2,722</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40" w:type="dxa"/>
            <w:vAlign w:val="bottom"/>
            <w:gridSpan w:val="2"/>
          </w:tcPr>
          <w:p>
            <w:pPr>
              <w:ind w:left="340"/>
              <w:spacing w:after="0"/>
              <w:rPr>
                <w:sz w:val="20"/>
                <w:szCs w:val="20"/>
                <w:color w:val="auto"/>
              </w:rPr>
            </w:pPr>
            <w:r>
              <w:rPr>
                <w:rFonts w:ascii="Arial" w:cs="Arial" w:eastAsia="Arial" w:hAnsi="Arial"/>
                <w:sz w:val="18"/>
                <w:szCs w:val="18"/>
                <w:color w:val="auto"/>
              </w:rPr>
              <w:t>Accrued and other liabilities</w:t>
            </w: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11,282</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16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15,727</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rPr>
              <w:t>Other long-term liabilities</w:t>
            </w: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w:t>
            </w:r>
          </w:p>
        </w:tc>
        <w:tc>
          <w:tcPr>
            <w:tcW w:w="540" w:type="dxa"/>
            <w:vAlign w:val="bottom"/>
            <w:gridSpan w:val="2"/>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16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16,468</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19,980</w:t>
            </w:r>
          </w:p>
        </w:tc>
        <w:tc>
          <w:tcPr>
            <w:tcW w:w="0" w:type="dxa"/>
            <w:vAlign w:val="bottom"/>
          </w:tcPr>
          <w:p>
            <w:pPr>
              <w:spacing w:after="0"/>
              <w:rPr>
                <w:sz w:val="1"/>
                <w:szCs w:val="1"/>
                <w:color w:val="auto"/>
              </w:rPr>
            </w:pPr>
          </w:p>
        </w:tc>
      </w:tr>
      <w:tr>
        <w:trPr>
          <w:trHeight w:val="223"/>
        </w:trPr>
        <w:tc>
          <w:tcPr>
            <w:tcW w:w="9060" w:type="dxa"/>
            <w:vAlign w:val="bottom"/>
            <w:gridSpan w:val="3"/>
          </w:tcPr>
          <w:p>
            <w:pPr>
              <w:spacing w:after="0"/>
              <w:rPr>
                <w:sz w:val="20"/>
                <w:szCs w:val="20"/>
                <w:color w:val="auto"/>
              </w:rPr>
            </w:pPr>
            <w:r>
              <w:rPr>
                <w:rFonts w:ascii="Arial" w:cs="Arial" w:eastAsia="Arial" w:hAnsi="Arial"/>
                <w:sz w:val="18"/>
                <w:szCs w:val="18"/>
                <w:color w:val="auto"/>
              </w:rPr>
              <w:t>Commitments and contingencies (Note 9)</w:t>
            </w:r>
          </w:p>
        </w:tc>
        <w:tc>
          <w:tcPr>
            <w:tcW w:w="1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40" w:type="dxa"/>
            <w:vAlign w:val="bottom"/>
            <w:gridSpan w:val="2"/>
          </w:tcPr>
          <w:p>
            <w:pPr>
              <w:ind w:left="340"/>
              <w:spacing w:after="0" w:line="201" w:lineRule="exact"/>
              <w:rPr>
                <w:sz w:val="20"/>
                <w:szCs w:val="20"/>
                <w:color w:val="auto"/>
              </w:rPr>
            </w:pPr>
            <w:r>
              <w:rPr>
                <w:rFonts w:ascii="Arial" w:cs="Arial" w:eastAsia="Arial" w:hAnsi="Arial"/>
                <w:sz w:val="18"/>
                <w:szCs w:val="18"/>
                <w:color w:val="auto"/>
              </w:rPr>
              <w:t>Preferred stock, $0.0001 par value; 5,000,000 shares authorized; no shares issued and outstanding as of</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40" w:type="dxa"/>
            <w:vAlign w:val="bottom"/>
            <w:gridSpan w:val="2"/>
          </w:tcPr>
          <w:p>
            <w:pPr>
              <w:ind w:left="520"/>
              <w:spacing w:after="0"/>
              <w:rPr>
                <w:sz w:val="20"/>
                <w:szCs w:val="20"/>
                <w:color w:val="auto"/>
              </w:rPr>
            </w:pPr>
            <w:r>
              <w:rPr>
                <w:rFonts w:ascii="Arial" w:cs="Arial" w:eastAsia="Arial" w:hAnsi="Arial"/>
                <w:sz w:val="18"/>
                <w:szCs w:val="18"/>
                <w:color w:val="auto"/>
              </w:rPr>
              <w:t>September 30, 2017 and December 31, 2016.</w:t>
            </w:r>
          </w:p>
        </w:tc>
        <w:tc>
          <w:tcPr>
            <w:tcW w:w="160" w:type="dxa"/>
            <w:vAlign w:val="bottom"/>
          </w:tcPr>
          <w:p>
            <w:pPr>
              <w:spacing w:after="0"/>
              <w:rPr>
                <w:sz w:val="20"/>
                <w:szCs w:val="20"/>
                <w:color w:val="auto"/>
              </w:rPr>
            </w:pPr>
          </w:p>
        </w:tc>
        <w:tc>
          <w:tcPr>
            <w:tcW w:w="126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4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w w:val="95"/>
              </w:rPr>
              <w:t>Common stock, $0.0001 par value; 300,000,000 shares authorized; 47,503,970 and 47,309,422 shares issued and</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outstanding as of September 30, 2017 and December 31, 2016, respectively.</w:t>
            </w:r>
          </w:p>
        </w:tc>
        <w:tc>
          <w:tcPr>
            <w:tcW w:w="160" w:type="dxa"/>
            <w:vAlign w:val="bottom"/>
            <w:shd w:val="clear" w:color="auto" w:fill="CCEEFF"/>
          </w:tcPr>
          <w:p>
            <w:pPr>
              <w:spacing w:after="0"/>
              <w:rPr>
                <w:sz w:val="20"/>
                <w:szCs w:val="20"/>
                <w:color w:val="auto"/>
              </w:rPr>
            </w:pPr>
          </w:p>
        </w:tc>
        <w:tc>
          <w:tcPr>
            <w:tcW w:w="12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ind w:left="34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414,970</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407,092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Accumulated deficit</w:t>
            </w:r>
          </w:p>
        </w:tc>
        <w:tc>
          <w:tcPr>
            <w:tcW w:w="16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98"/>
              </w:rPr>
              <w:t>(288,328)</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(213,875)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40" w:type="dxa"/>
            <w:vAlign w:val="bottom"/>
            <w:gridSpan w:val="2"/>
          </w:tcPr>
          <w:p>
            <w:pPr>
              <w:ind w:left="34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Pr>
          <w:p>
            <w:pPr>
              <w:spacing w:after="0"/>
              <w:rPr>
                <w:sz w:val="19"/>
                <w:szCs w:val="19"/>
                <w:color w:val="auto"/>
              </w:rPr>
            </w:pPr>
          </w:p>
        </w:tc>
        <w:tc>
          <w:tcPr>
            <w:tcW w:w="1260" w:type="dxa"/>
            <w:vAlign w:val="bottom"/>
            <w:gridSpan w:val="3"/>
          </w:tcPr>
          <w:p>
            <w:pPr>
              <w:jc w:val="right"/>
              <w:ind w:right="480"/>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126,637</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193,151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060" w:type="dxa"/>
            <w:vAlign w:val="bottom"/>
            <w:gridSpan w:val="3"/>
          </w:tcPr>
          <w:p>
            <w:pPr>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143,105</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213,131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460" w:right="140" w:hanging="452"/>
        <w:spacing w:after="0" w:line="277" w:lineRule="auto"/>
        <w:tabs>
          <w:tab w:leader="none" w:pos="460" w:val="left"/>
        </w:tabs>
        <w:numPr>
          <w:ilvl w:val="0"/>
          <w:numId w:val="3"/>
        </w:numPr>
        <w:rPr>
          <w:rFonts w:ascii="Arial" w:cs="Arial" w:eastAsia="Arial" w:hAnsi="Arial"/>
          <w:sz w:val="15"/>
          <w:szCs w:val="15"/>
          <w:color w:val="auto"/>
        </w:rPr>
      </w:pPr>
      <w:r>
        <w:rPr>
          <w:rFonts w:ascii="Arial" w:cs="Arial" w:eastAsia="Arial" w:hAnsi="Arial"/>
          <w:sz w:val="18"/>
          <w:szCs w:val="18"/>
          <w:color w:val="auto"/>
        </w:rPr>
        <w:t>Derived from the audited consolidated financial statements included in the Company’s Annual Report on Form 10-K for the year ended December 31, 2016.</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ARDELYX,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6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94"/>
              </w:rPr>
              <w:t>Three Months Ended September 30,</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4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93"/>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40" w:type="dxa"/>
            <w:vAlign w:val="bottom"/>
            <w:tcBorders>
              <w:bottom w:val="single" w:sz="8" w:color="CCEEFF"/>
            </w:tcBorders>
          </w:tcPr>
          <w:p>
            <w:pPr>
              <w:spacing w:after="0"/>
              <w:rPr>
                <w:sz w:val="12"/>
                <w:szCs w:val="12"/>
                <w:color w:val="auto"/>
              </w:rPr>
            </w:pPr>
          </w:p>
        </w:tc>
        <w:tc>
          <w:tcPr>
            <w:tcW w:w="6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2017</w:t>
            </w:r>
          </w:p>
        </w:tc>
        <w:tc>
          <w:tcPr>
            <w:tcW w:w="46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rPr>
              <w:t>15,365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24,863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58,325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67,951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5,860</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4,337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17,752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13,469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40" w:type="dxa"/>
            <w:vAlign w:val="bottom"/>
          </w:tcPr>
          <w:p>
            <w:pPr>
              <w:ind w:left="700"/>
              <w:spacing w:after="0"/>
              <w:rPr>
                <w:sz w:val="20"/>
                <w:szCs w:val="20"/>
                <w:color w:val="auto"/>
              </w:rPr>
            </w:pPr>
            <w:r>
              <w:rPr>
                <w:rFonts w:ascii="Arial" w:cs="Arial" w:eastAsia="Arial" w:hAnsi="Arial"/>
                <w:sz w:val="18"/>
                <w:szCs w:val="18"/>
                <w:color w:val="auto"/>
              </w:rPr>
              <w:t>Total operating expenses</w:t>
            </w:r>
          </w:p>
        </w:tc>
        <w:tc>
          <w:tcPr>
            <w:tcW w:w="6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21,225</w:t>
            </w:r>
          </w:p>
        </w:tc>
        <w:tc>
          <w:tcPr>
            <w:tcW w:w="4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29,200</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76,077</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81,420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from operations</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(21,225)</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(29,200)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(76,077)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340"/>
              <w:spacing w:after="0"/>
              <w:rPr>
                <w:sz w:val="20"/>
                <w:szCs w:val="20"/>
                <w:color w:val="auto"/>
              </w:rPr>
            </w:pPr>
            <w:r>
              <w:rPr>
                <w:rFonts w:ascii="Arial" w:cs="Arial" w:eastAsia="Arial" w:hAnsi="Arial"/>
                <w:sz w:val="18"/>
                <w:szCs w:val="18"/>
                <w:color w:val="auto"/>
              </w:rPr>
              <w:t>Other income, net</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501</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169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1,624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Loss before provision for income taxes</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(20,724)</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(29,031)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(74,453)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(81,113)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6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(20,724)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(29,031)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(74,453)</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(81,113)</w:t>
            </w: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spacing w:after="0"/>
              <w:rPr>
                <w:sz w:val="20"/>
                <w:szCs w:val="20"/>
                <w:color w:val="auto"/>
              </w:rPr>
            </w:pPr>
            <w:r>
              <w:rPr>
                <w:rFonts w:ascii="Arial" w:cs="Arial" w:eastAsia="Arial" w:hAnsi="Arial"/>
                <w:sz w:val="18"/>
                <w:szCs w:val="18"/>
                <w:color w:val="auto"/>
              </w:rPr>
              <w:t>Net loss per common share – basic and diluted</w:t>
            </w: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60" w:type="dxa"/>
            <w:vAlign w:val="bottom"/>
            <w:gridSpan w:val="2"/>
            <w:vMerge w:val="continue"/>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(0.44)</w:t>
            </w:r>
          </w:p>
        </w:tc>
        <w:tc>
          <w:tcPr>
            <w:tcW w:w="4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computing net loss per share – basic and diluted</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7"/>
              </w:rPr>
              <w:t>47,464,310</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44,935,126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47,404,039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37,706,045</w:t>
            </w: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Comprehensive Loss:</w:t>
            </w: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60" w:type="dxa"/>
            <w:vAlign w:val="bottom"/>
            <w:gridSpan w:val="2"/>
            <w:vMerge w:val="continue"/>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52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(20,724)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(29,031)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(74,453)</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Unrealized gain (loss) on available-for-sale securities, net of tax</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(20,694)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(29,056)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(74,392)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(81,138)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ARDELYX,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p>
      <w:pPr>
        <w:jc w:val="center"/>
        <w:ind w:left="9500"/>
        <w:spacing w:after="0"/>
        <w:rPr>
          <w:sz w:val="20"/>
          <w:szCs w:val="20"/>
          <w:color w:val="auto"/>
        </w:rPr>
      </w:pPr>
      <w:r>
        <w:rPr>
          <w:rFonts w:ascii="Arial" w:cs="Arial" w:eastAsia="Arial" w:hAnsi="Arial"/>
          <w:sz w:val="14"/>
          <w:szCs w:val="14"/>
          <w:b w:val="1"/>
          <w:bCs w:val="1"/>
          <w:color w:val="auto"/>
        </w:rPr>
        <w:t>Nine Months Ended</w:t>
      </w:r>
    </w:p>
    <w:p>
      <w:pPr>
        <w:jc w:val="center"/>
        <w:ind w:left="950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96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tcPr>
          <w:p>
            <w:pPr>
              <w:ind w:left="340"/>
              <w:spacing w:after="0"/>
              <w:rPr>
                <w:sz w:val="20"/>
                <w:szCs w:val="20"/>
                <w:color w:val="auto"/>
              </w:rPr>
            </w:pPr>
            <w:r>
              <w:rPr>
                <w:rFonts w:ascii="Arial" w:cs="Arial" w:eastAsia="Arial" w:hAnsi="Arial"/>
                <w:sz w:val="18"/>
                <w:szCs w:val="18"/>
                <w:color w:val="auto"/>
              </w:rPr>
              <w:t>Net loss</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3"/>
          </w:tcPr>
          <w:p>
            <w:pPr>
              <w:jc w:val="right"/>
              <w:ind w:right="260"/>
              <w:spacing w:after="0"/>
              <w:rPr>
                <w:sz w:val="20"/>
                <w:szCs w:val="20"/>
                <w:color w:val="auto"/>
              </w:rPr>
            </w:pPr>
            <w:r>
              <w:rPr>
                <w:rFonts w:ascii="Arial" w:cs="Arial" w:eastAsia="Arial" w:hAnsi="Arial"/>
                <w:sz w:val="18"/>
                <w:szCs w:val="18"/>
                <w:color w:val="auto"/>
                <w:w w:val="95"/>
              </w:rPr>
              <w:t>(74,453)</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 (81,113)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tcPr>
          <w:p>
            <w:pPr>
              <w:ind w:left="700"/>
              <w:spacing w:after="0"/>
              <w:rPr>
                <w:sz w:val="20"/>
                <w:szCs w:val="20"/>
                <w:color w:val="auto"/>
              </w:rPr>
            </w:pPr>
            <w:r>
              <w:rPr>
                <w:rFonts w:ascii="Arial" w:cs="Arial" w:eastAsia="Arial" w:hAnsi="Arial"/>
                <w:sz w:val="18"/>
                <w:szCs w:val="18"/>
                <w:color w:val="auto"/>
              </w:rPr>
              <w:t>Depreciation expense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1,965</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Amortization of deferred financing costs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360</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tcPr>
          <w:p>
            <w:pPr>
              <w:ind w:left="700"/>
              <w:spacing w:after="0"/>
              <w:rPr>
                <w:sz w:val="20"/>
                <w:szCs w:val="20"/>
                <w:color w:val="auto"/>
              </w:rPr>
            </w:pPr>
            <w:r>
              <w:rPr>
                <w:rFonts w:ascii="Arial" w:cs="Arial" w:eastAsia="Arial" w:hAnsi="Arial"/>
                <w:sz w:val="18"/>
                <w:szCs w:val="18"/>
                <w:color w:val="auto"/>
              </w:rPr>
              <w:t>Amortization of deferred compensation for services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142</w:t>
            </w:r>
          </w:p>
        </w:tc>
        <w:tc>
          <w:tcPr>
            <w:tcW w:w="3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Amortization of premium on investment securities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tcPr>
          <w:p>
            <w:pPr>
              <w:ind w:left="700"/>
              <w:spacing w:after="0"/>
              <w:rPr>
                <w:sz w:val="20"/>
                <w:szCs w:val="20"/>
                <w:color w:val="auto"/>
              </w:rPr>
            </w:pPr>
            <w:r>
              <w:rPr>
                <w:rFonts w:ascii="Arial" w:cs="Arial" w:eastAsia="Arial" w:hAnsi="Arial"/>
                <w:sz w:val="18"/>
                <w:szCs w:val="18"/>
                <w:color w:val="auto"/>
              </w:rPr>
              <w:t>Stock-based compensation</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7,001</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3,767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Issuance of common stock for services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202</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tcPr>
          <w:p>
            <w:pPr>
              <w:ind w:left="700"/>
              <w:spacing w:after="0"/>
              <w:rPr>
                <w:sz w:val="20"/>
                <w:szCs w:val="20"/>
                <w:color w:val="auto"/>
              </w:rPr>
            </w:pPr>
            <w:r>
              <w:rPr>
                <w:rFonts w:ascii="Arial" w:cs="Arial" w:eastAsia="Arial" w:hAnsi="Arial"/>
                <w:sz w:val="18"/>
                <w:szCs w:val="18"/>
                <w:color w:val="auto"/>
              </w:rPr>
              <w:t>Changes in operating assets and liabilities: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Prepaid expenses and other assets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(2,380)</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tcPr>
          <w:p>
            <w:pPr>
              <w:ind w:left="1060"/>
              <w:spacing w:after="0"/>
              <w:rPr>
                <w:sz w:val="20"/>
                <w:szCs w:val="20"/>
                <w:color w:val="auto"/>
              </w:rPr>
            </w:pPr>
            <w:r>
              <w:rPr>
                <w:rFonts w:ascii="Arial" w:cs="Arial" w:eastAsia="Arial" w:hAnsi="Arial"/>
                <w:sz w:val="18"/>
                <w:szCs w:val="18"/>
                <w:color w:val="auto"/>
              </w:rPr>
              <w:t>Accounts payable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gridSpan w:val="3"/>
          </w:tcPr>
          <w:p>
            <w:pPr>
              <w:jc w:val="right"/>
              <w:ind w:right="260"/>
              <w:spacing w:after="0"/>
              <w:rPr>
                <w:sz w:val="20"/>
                <w:szCs w:val="20"/>
                <w:color w:val="auto"/>
              </w:rPr>
            </w:pPr>
            <w:r>
              <w:rPr>
                <w:rFonts w:ascii="Arial" w:cs="Arial" w:eastAsia="Arial" w:hAnsi="Arial"/>
                <w:sz w:val="18"/>
                <w:szCs w:val="18"/>
                <w:color w:val="auto"/>
              </w:rPr>
              <w:t>(3,182)</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2,678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Accrued compensation and benefits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(439)</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00" w:type="dxa"/>
            <w:vAlign w:val="bottom"/>
          </w:tcPr>
          <w:p>
            <w:pPr>
              <w:ind w:left="1060"/>
              <w:spacing w:after="0"/>
              <w:rPr>
                <w:sz w:val="20"/>
                <w:szCs w:val="20"/>
                <w:color w:val="auto"/>
              </w:rPr>
            </w:pPr>
            <w:r>
              <w:rPr>
                <w:rFonts w:ascii="Arial" w:cs="Arial" w:eastAsia="Arial" w:hAnsi="Arial"/>
                <w:sz w:val="18"/>
                <w:szCs w:val="18"/>
                <w:color w:val="auto"/>
              </w:rPr>
              <w:t>Accrued and other liabilities</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839</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w w:val="95"/>
              </w:rPr>
              <w:t>(69,888)</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(65,786)</w:t>
            </w:r>
          </w:p>
        </w:tc>
        <w:tc>
          <w:tcPr>
            <w:tcW w:w="0" w:type="dxa"/>
            <w:vAlign w:val="bottom"/>
          </w:tcPr>
          <w:p>
            <w:pPr>
              <w:spacing w:after="0"/>
              <w:rPr>
                <w:sz w:val="1"/>
                <w:szCs w:val="1"/>
                <w:color w:val="auto"/>
              </w:rPr>
            </w:pPr>
          </w:p>
        </w:tc>
      </w:tr>
      <w:tr>
        <w:trPr>
          <w:trHeight w:val="223"/>
        </w:trPr>
        <w:tc>
          <w:tcPr>
            <w:tcW w:w="9620" w:type="dxa"/>
            <w:vAlign w:val="bottom"/>
            <w:gridSpan w:val="2"/>
          </w:tcPr>
          <w:p>
            <w:pPr>
              <w:spacing w:after="0"/>
              <w:rPr>
                <w:sz w:val="20"/>
                <w:szCs w:val="20"/>
                <w:color w:val="auto"/>
              </w:rPr>
            </w:pPr>
            <w:r>
              <w:rPr>
                <w:rFonts w:ascii="Arial" w:cs="Arial" w:eastAsia="Arial" w:hAnsi="Arial"/>
                <w:sz w:val="18"/>
                <w:szCs w:val="18"/>
                <w:b w:val="1"/>
                <w:bCs w:val="1"/>
                <w:color w:val="auto"/>
              </w:rPr>
              <w:t>Investing activities</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maturities of investments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109,923</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tcPr>
          <w:p>
            <w:pPr>
              <w:ind w:left="340"/>
              <w:spacing w:after="0"/>
              <w:rPr>
                <w:sz w:val="20"/>
                <w:szCs w:val="20"/>
                <w:color w:val="auto"/>
              </w:rPr>
            </w:pPr>
            <w:r>
              <w:rPr>
                <w:rFonts w:ascii="Arial" w:cs="Arial" w:eastAsia="Arial" w:hAnsi="Arial"/>
                <w:sz w:val="18"/>
                <w:szCs w:val="18"/>
                <w:color w:val="auto"/>
              </w:rPr>
              <w:t>Sales and redemptions of investments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16,857</w:t>
            </w:r>
          </w:p>
        </w:tc>
        <w:tc>
          <w:tcPr>
            <w:tcW w:w="3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Purchases of investments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w w:val="95"/>
              </w:rPr>
              <w:t>(70,384)</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tcPr>
          <w:p>
            <w:pPr>
              <w:ind w:left="340"/>
              <w:spacing w:after="0"/>
              <w:rPr>
                <w:sz w:val="20"/>
                <w:szCs w:val="20"/>
                <w:color w:val="auto"/>
              </w:rPr>
            </w:pPr>
            <w:r>
              <w:rPr>
                <w:rFonts w:ascii="Arial" w:cs="Arial" w:eastAsia="Arial" w:hAnsi="Arial"/>
                <w:sz w:val="18"/>
                <w:szCs w:val="18"/>
                <w:color w:val="auto"/>
              </w:rPr>
              <w:t>Purchases of property and equipment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gridSpan w:val="3"/>
          </w:tcPr>
          <w:p>
            <w:pPr>
              <w:jc w:val="right"/>
              <w:ind w:right="260"/>
              <w:spacing w:after="0"/>
              <w:rPr>
                <w:sz w:val="20"/>
                <w:szCs w:val="20"/>
                <w:color w:val="auto"/>
              </w:rPr>
            </w:pPr>
            <w:r>
              <w:rPr>
                <w:rFonts w:ascii="Arial" w:cs="Arial" w:eastAsia="Arial" w:hAnsi="Arial"/>
                <w:sz w:val="18"/>
                <w:szCs w:val="18"/>
                <w:color w:val="auto"/>
              </w:rPr>
              <w:t>(2,327)</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(2,108)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investing activities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54,069</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(71,848)</w:t>
            </w:r>
          </w:p>
        </w:tc>
        <w:tc>
          <w:tcPr>
            <w:tcW w:w="0" w:type="dxa"/>
            <w:vAlign w:val="bottom"/>
          </w:tcPr>
          <w:p>
            <w:pPr>
              <w:spacing w:after="0"/>
              <w:rPr>
                <w:sz w:val="1"/>
                <w:szCs w:val="1"/>
                <w:color w:val="auto"/>
              </w:rPr>
            </w:pPr>
          </w:p>
        </w:tc>
      </w:tr>
      <w:tr>
        <w:trPr>
          <w:trHeight w:val="223"/>
        </w:trPr>
        <w:tc>
          <w:tcPr>
            <w:tcW w:w="9620" w:type="dxa"/>
            <w:vAlign w:val="bottom"/>
            <w:gridSpan w:val="2"/>
          </w:tcPr>
          <w:p>
            <w:pPr>
              <w:spacing w:after="0"/>
              <w:rPr>
                <w:sz w:val="20"/>
                <w:szCs w:val="20"/>
                <w:color w:val="auto"/>
              </w:rPr>
            </w:pPr>
            <w:r>
              <w:rPr>
                <w:rFonts w:ascii="Arial" w:cs="Arial" w:eastAsia="Arial" w:hAnsi="Arial"/>
                <w:sz w:val="18"/>
                <w:szCs w:val="18"/>
                <w:b w:val="1"/>
                <w:bCs w:val="1"/>
                <w:color w:val="auto"/>
              </w:rPr>
              <w:t>Financing activities</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issuance of common stock, net of issuance costs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190,574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00" w:type="dxa"/>
            <w:vAlign w:val="bottom"/>
          </w:tcPr>
          <w:p>
            <w:pPr>
              <w:ind w:left="340"/>
              <w:spacing w:after="0"/>
              <w:rPr>
                <w:sz w:val="20"/>
                <w:szCs w:val="20"/>
                <w:color w:val="auto"/>
              </w:rPr>
            </w:pPr>
            <w:r>
              <w:rPr>
                <w:rFonts w:ascii="Arial" w:cs="Arial" w:eastAsia="Arial" w:hAnsi="Arial"/>
                <w:sz w:val="18"/>
                <w:szCs w:val="18"/>
                <w:color w:val="auto"/>
              </w:rPr>
              <w:t>Proceeds from issuance of common stock under stock plans</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675</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190,990</w:t>
            </w:r>
          </w:p>
        </w:tc>
        <w:tc>
          <w:tcPr>
            <w:tcW w:w="0" w:type="dxa"/>
            <w:vAlign w:val="bottom"/>
          </w:tcPr>
          <w:p>
            <w:pPr>
              <w:spacing w:after="0"/>
              <w:rPr>
                <w:sz w:val="1"/>
                <w:szCs w:val="1"/>
                <w:color w:val="auto"/>
              </w:rPr>
            </w:pPr>
          </w:p>
        </w:tc>
      </w:tr>
      <w:tr>
        <w:trPr>
          <w:trHeight w:val="223"/>
        </w:trPr>
        <w:tc>
          <w:tcPr>
            <w:tcW w:w="9620" w:type="dxa"/>
            <w:vAlign w:val="bottom"/>
            <w:gridSpan w:val="2"/>
          </w:tcPr>
          <w:p>
            <w:pPr>
              <w:spacing w:after="0"/>
              <w:rPr>
                <w:sz w:val="20"/>
                <w:szCs w:val="20"/>
                <w:color w:val="auto"/>
              </w:rPr>
            </w:pPr>
            <w:r>
              <w:rPr>
                <w:rFonts w:ascii="Arial" w:cs="Arial" w:eastAsia="Arial" w:hAnsi="Arial"/>
                <w:sz w:val="18"/>
                <w:szCs w:val="18"/>
                <w:b w:val="1"/>
                <w:bCs w:val="1"/>
                <w:color w:val="auto"/>
              </w:rPr>
              <w:t>Net (decrease) increase in cash and cash equivalents</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(15,144)</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53,356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beginning of period</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74,598</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107,004</w:t>
            </w:r>
          </w:p>
        </w:tc>
        <w:tc>
          <w:tcPr>
            <w:tcW w:w="0" w:type="dxa"/>
            <w:vAlign w:val="bottom"/>
          </w:tcPr>
          <w:p>
            <w:pPr>
              <w:spacing w:after="0"/>
              <w:rPr>
                <w:sz w:val="1"/>
                <w:szCs w:val="1"/>
                <w:color w:val="auto"/>
              </w:rPr>
            </w:pPr>
          </w:p>
        </w:tc>
      </w:tr>
      <w:tr>
        <w:trPr>
          <w:trHeight w:val="223"/>
        </w:trPr>
        <w:tc>
          <w:tcPr>
            <w:tcW w:w="962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59,454</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160,360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ARDELYX,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BASIS OF PRESENTATION</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Ardelyx, Inc., or “the Company,” is focused on enhancing the way patients with cardiorenal and gastrointestinal, or GI, diseases are treated by using the gut as the gateway to deliver medicines that matter. The Company has pioneered the development of small molecule therapeutics that act predominantly in the GI tract, thereby avoiding potentially negative side effects on the rest of the body. The Company’s strategy is to evolve from a research and development-focused company to an integrated biotechnology company, by establishing regional and global partnerships to leverage its own commercial capabilities and experience to help build its cardiorenal and GI portfolios.</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operates in only one business segment, which is the development of biopharmaceutical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These unaudited condensed consolidated financial statements and the related footnote information of the Company have been prepared pursuant to the requirements of the Securities and Exchange Commission, or the SEC, for interim reporting. As permitted under those rules and regulations, certain footnotes or other financial information that are normally required by U.S. generally accepted accounting principles, or U.S. GAAP, have been condensed or omitted pursuant to such rules and regulations. In the opinion of the Company’s management, the accompanying interim unaudited condensed consolidated financial statements include all adjustments (consisting only of normal recurring adjustments) necessary for a fair presentation of the information for the periods presented. The results for the three and nine months ended September 30, 2017, are not necessarily indicative of results to be expected for the entire year ending December 31, 2017, or future operating periods.</w:t>
      </w:r>
    </w:p>
    <w:p>
      <w:pPr>
        <w:spacing w:after="0" w:line="137"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The accompanying condensed consolidated financial statements and related financial information should be read in conjunction with the audited consolidated financial statements and the related notes thereto for the year ended December 31, 2016, included in the Company’s Annual Report on Form 10-K filed with the SEC (the “2016 Form 10-K”). The balance sheet at December 31, 2016, has been derived from the audited consolidated financial statements at that date, as filed with the 2016 Form 10-K.</w:t>
      </w:r>
    </w:p>
    <w:p>
      <w:pPr>
        <w:spacing w:after="0" w:line="146" w:lineRule="exact"/>
        <w:rPr>
          <w:sz w:val="20"/>
          <w:szCs w:val="20"/>
          <w:color w:val="auto"/>
        </w:rPr>
      </w:pPr>
    </w:p>
    <w:p>
      <w:pPr>
        <w:ind w:right="400" w:firstLine="456"/>
        <w:spacing w:after="0" w:line="342" w:lineRule="auto"/>
        <w:rPr>
          <w:sz w:val="20"/>
          <w:szCs w:val="20"/>
          <w:color w:val="auto"/>
        </w:rPr>
      </w:pPr>
      <w:r>
        <w:rPr>
          <w:rFonts w:ascii="Arial" w:cs="Arial" w:eastAsia="Arial" w:hAnsi="Arial"/>
          <w:sz w:val="16"/>
          <w:szCs w:val="16"/>
          <w:color w:val="auto"/>
        </w:rPr>
        <w:t>The accompanying condensed consolidated financial statements include the accounts of Ardelyx, Inc. and its wholly-owned subsidiary, Ardelyx Cayman Islands, and have been prepared in accordance with U.S. GAAP. Intercompany transactions and balances have been eliminated in consolidation.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amounts reported in the condensed consolidated financial statements and accompanying notes. Although management believes these estimates are based upon reasonable assumptions within the bounds of its knowledge of the Company’s business and operations, actual results could differ materially from those estimates.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117" w:lineRule="exact"/>
        <w:rPr>
          <w:sz w:val="20"/>
          <w:szCs w:val="20"/>
          <w:color w:val="auto"/>
        </w:rPr>
      </w:pPr>
    </w:p>
    <w:p>
      <w:pPr>
        <w:ind w:right="140" w:firstLine="456"/>
        <w:spacing w:after="0" w:line="272" w:lineRule="auto"/>
        <w:rPr>
          <w:sz w:val="20"/>
          <w:szCs w:val="20"/>
          <w:color w:val="auto"/>
        </w:rPr>
      </w:pPr>
      <w:r>
        <w:rPr>
          <w:rFonts w:ascii="Arial" w:cs="Arial" w:eastAsia="Arial" w:hAnsi="Arial"/>
          <w:sz w:val="17"/>
          <w:szCs w:val="17"/>
          <w:color w:val="auto"/>
        </w:rPr>
        <w:t>As part of the process of preparing its financial statements, the Company is required to estimate its accrued expenses. This process involves reviewing open contracts and purchase orders, communicating with its personnel to identify services that have been performed on its behalf and estimating the level of service performed and the associated cost incurred for the service when the Company has not yet been invoiced or otherwise notified of the actual cost. The majority of the Company’s service providers submit its monthly invoices in arrears for services performed or when contractual milestones are met. The Company makes estimates of its accrued expenses as of each balance sheet date in its financial statements based on facts and circumstances known to the Company at that time. The Company periodically confirms the accuracy of its estimates with the service providers and makes adjustments if necessary. Examples of estimated accrued research and development expenses include fees paid to:</w:t>
      </w:r>
    </w:p>
    <w:p>
      <w:pPr>
        <w:spacing w:after="0" w:line="83"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contract research organizations (“CROs”) in connection with clinical studies;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investigative sites in connection with clinical studies;</w:t>
      </w:r>
    </w:p>
    <w:p>
      <w:pPr>
        <w:spacing w:after="0" w:line="130" w:lineRule="exact"/>
        <w:rPr>
          <w:rFonts w:ascii="Arial" w:cs="Arial" w:eastAsia="Arial" w:hAnsi="Arial"/>
          <w:sz w:val="18"/>
          <w:szCs w:val="18"/>
          <w:color w:val="auto"/>
        </w:rPr>
      </w:pPr>
    </w:p>
    <w:p>
      <w:pPr>
        <w:ind w:left="5660" w:right="3580" w:hanging="5085"/>
        <w:spacing w:after="0" w:line="449" w:lineRule="auto"/>
        <w:tabs>
          <w:tab w:leader="none" w:pos="890" w:val="left"/>
        </w:tabs>
        <w:numPr>
          <w:ilvl w:val="0"/>
          <w:numId w:val="4"/>
        </w:numPr>
        <w:rPr>
          <w:rFonts w:ascii="Arial" w:cs="Arial" w:eastAsia="Arial" w:hAnsi="Arial"/>
          <w:sz w:val="18"/>
          <w:szCs w:val="18"/>
          <w:color w:val="auto"/>
        </w:rPr>
      </w:pPr>
      <w:r>
        <w:rPr>
          <w:rFonts w:ascii="Arial" w:cs="Arial" w:eastAsia="Arial" w:hAnsi="Arial"/>
          <w:sz w:val="18"/>
          <w:szCs w:val="18"/>
          <w:color w:val="auto"/>
        </w:rPr>
        <w:t>vendors related to product manufacturing, development and distribution of clinical supplies; and 5</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vendors in connection with preclinical development activities.</w:t>
      </w:r>
    </w:p>
    <w:p>
      <w:pPr>
        <w:spacing w:after="0" w:line="198"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The Company records expenses related to clinical studies and manufacturing development activities based on its estimates of the services received and efforts expended pursuant to contracts with multiple CROs and manufacturing vendors that conduct and manage these activities on its behalf. The financial terms of these agreements are subject to negotiation, vary from contract to contract, and may result in uneven payment flows. There may be instances in which payments made to the Company’s vendors will exceed the level of services provided and result in a prepayment of the expense. Payments under some of these contracts depend on factors such as the successful enrollment of subjects and the completion of clinical trial milestones. In accruing service fees, the Company estimates the time period over which services will be performed, enrollment of subjects, number of sites activated and the level of effort to be expended in each period. If the actual timing of the performance of services or the level of effort varies from the Company’s estimate, the Company will adjust the accrued or prepaid expense balance accordingly. To date, there have been no material differences from the Company’s estimates to the amounts actually incurred.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w:t>
      </w:r>
    </w:p>
    <w:p>
      <w:pPr>
        <w:spacing w:after="0" w:line="11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Approximately $0.2 million in the nine months ended September 30, 2016, which was previously recorded within “Proceeds from issuance of common stock under stock plans” in Financing activities in the Statement of Cash Flows, has been reclassified as a non-cash item “Issuance of common stock for services” within Operating activities.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 xml:space="preserve">In May 2014, the Financial Accounting Standards Board (“FASB”) issued Accounting Standards Update (“ASU”) 2014-09, </w:t>
      </w:r>
      <w:r>
        <w:rPr>
          <w:rFonts w:ascii="Arial" w:cs="Arial" w:eastAsia="Arial" w:hAnsi="Arial"/>
          <w:sz w:val="16"/>
          <w:szCs w:val="16"/>
          <w:i w:val="1"/>
          <w:iCs w:val="1"/>
          <w:color w:val="auto"/>
        </w:rPr>
        <w:t>Revenue from Contracts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with Customers </w:t>
      </w:r>
      <w:r>
        <w:rPr>
          <w:rFonts w:ascii="Arial" w:cs="Arial" w:eastAsia="Arial" w:hAnsi="Arial"/>
          <w:sz w:val="16"/>
          <w:szCs w:val="16"/>
          <w:color w:val="auto"/>
        </w:rPr>
        <w:t>(“ASU 2014-09”), which requires an entity to recognize the amount of revenue to which it expects to be entitled for the transfer of promised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goods or services to customers. ASU 2014-09 will replace most existing revenue recognition guidance in U.S. GAAP when it becomes effective. In July 2015, the FASB voted to approve a deferral of the effective date of this ASU by one year, and to permit entities to adopt up to one year earlier if they choose. Therefore, the new standard will become effective for the Company on January 1, 2018, with early application permitted for periods beginning on or after January 1, 2017. The standard permits the use of two transition methods on adoption, either retrospectively to each prior period presented (full retrospective method), or retrospectively with the cumulative effect of initially applying the standard as an adjustment to the opening balance of retained earnings of the annual reporting period that includes the date of initial application (modified retrospective method). Since the issuance of ASU 2014-09, the FASB has issued several amendments which clarify certain points in the new Topic 606 </w:t>
      </w:r>
      <w:r>
        <w:rPr>
          <w:rFonts w:ascii="Arial" w:cs="Arial" w:eastAsia="Arial" w:hAnsi="Arial"/>
          <w:sz w:val="16"/>
          <w:szCs w:val="16"/>
          <w:i w:val="1"/>
          <w:iCs w:val="1"/>
          <w:color w:val="auto"/>
        </w:rPr>
        <w:t>- Revenue from Contracts with Customers</w:t>
      </w:r>
      <w:r>
        <w:rPr>
          <w:rFonts w:ascii="Arial" w:cs="Arial" w:eastAsia="Arial" w:hAnsi="Arial"/>
          <w:sz w:val="16"/>
          <w:szCs w:val="16"/>
          <w:color w:val="auto"/>
        </w:rPr>
        <w:t>, including ASU 2016-08 (“Principal versus Agent Considerations—Reporting Revenue Gross versus Net”), ASU 2016-10 (“Identifying Performance Obligations and Licensing”), ASU 2016-11 (“Rescission of SEC Guidance Because of Accounting Standards Updates 2014-09 and 2014-16 Pursuant to Staff Announcements at the March 3, 2016 EITF Meeting”) and ASU 2016-12 (“Narrow-Scope Improvements and Practical Expedients”). The Company plans to adopt all these standards using the modified retrospective method on January 1, 2018, and will modify its accounting policies to reflect the requirements of these standards. The Company did not recognize revenue for the nine months ended September 30, 2017 or 2016, therefore the planned adoption of these standards will not affect the Company’s condensed consolidated financial statements for these periods, or for future periods until the Company reports revenues.</w:t>
      </w:r>
    </w:p>
    <w:p>
      <w:pPr>
        <w:spacing w:after="0" w:line="128"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 xml:space="preserve">In February 2016, the FASB issued ASU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which replaces most current lease guidance when it becomes effective. This standard update intends to increase the transparency and improve comparability by requiring entities to recognize assets and liabilities on the balance sheet for all leases, with certain exceptions. The new standard states that a lessee will recognize a lease liability for the obligation to make lease payments and a right-of-use asset for the right to use the underlying asset for the lease term. Leases will be classified as either finance or operating, with classification affecting the pattern of expense recognition in the consolidated statements of operations. The new guidance will be effective for the Company starting in the first quarter of fiscal 2019. Early adoption is permitted. The Company is currently evaluating the timing of adoption and the effect that the new guidance will have on its consolidated financial statements and related disclosures.</w:t>
      </w:r>
    </w:p>
    <w:p>
      <w:pPr>
        <w:spacing w:after="0" w:line="13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 xml:space="preserve">In October 2016, the FASB issued ASU No. 2016-16, </w:t>
      </w:r>
      <w:r>
        <w:rPr>
          <w:rFonts w:ascii="Arial" w:cs="Arial" w:eastAsia="Arial" w:hAnsi="Arial"/>
          <w:sz w:val="17"/>
          <w:szCs w:val="17"/>
          <w:i w:val="1"/>
          <w:iCs w:val="1"/>
          <w:color w:val="auto"/>
        </w:rPr>
        <w:t>Income Taxes: Intra-Entity Transfers of Assets Other Than Inventory</w:t>
      </w:r>
      <w:r>
        <w:rPr>
          <w:rFonts w:ascii="Arial" w:cs="Arial" w:eastAsia="Arial" w:hAnsi="Arial"/>
          <w:sz w:val="17"/>
          <w:szCs w:val="17"/>
          <w:color w:val="auto"/>
        </w:rPr>
        <w:t xml:space="preserve"> (ASU 2016-16). This update is to improve the accounting for the income tax consequences of intra-entity transfers of assets other than inventory. ASU 2016-16 amends the guidance to recognize the income tax consequences of an intra-entity transfer of an asset other than inventory when the transfer occurs. Consequently, the amendments in this update eliminate the exception for an intra-entity transfer of an asset other than inventory. The amendments in this update do not include new disclosure requirements; however, existing disclosure requirements might be applicable when accounting for the current and deferred income taxes for an intra-entity transfer of an asset other than inventory. ASU 2016-16 is effective for our interim and annual reporting periods during the year ending December 31, 2018, and all annual and interim reporting periods thereafter. Early adoption is permitted. The adoption of ASU 2016-16 is not expected to have a material effect on the Company’s condensed consolidated financial statements.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 xml:space="preserve">In May 2017, FASB issued ASU No. 2017-09, </w:t>
      </w:r>
      <w:r>
        <w:rPr>
          <w:rFonts w:ascii="Arial" w:cs="Arial" w:eastAsia="Arial" w:hAnsi="Arial"/>
          <w:sz w:val="17"/>
          <w:szCs w:val="17"/>
          <w:i w:val="1"/>
          <w:iCs w:val="1"/>
          <w:color w:val="auto"/>
        </w:rPr>
        <w:t>Compensation-Stock Compensation (Topic 718)- Scope of Modification Accounting</w:t>
      </w:r>
      <w:r>
        <w:rPr>
          <w:rFonts w:ascii="Arial" w:cs="Arial" w:eastAsia="Arial" w:hAnsi="Arial"/>
          <w:sz w:val="17"/>
          <w:szCs w:val="17"/>
          <w:color w:val="auto"/>
        </w:rPr>
        <w:t xml:space="preserve"> (ASU 2017-09). The amendments included in this update provide guidance about which changes to the terms or conditions of a share-based payment award require an entity to apply modification accounting. The amendments in this update will be applied prospectively to an award modified on or after the adoption date. The amendments in ASU 2017-09 are effective for fiscal years, and interim periods within those fiscal years, beginning after December 15, 2017. The adoption of this standard is not expected to have a material impact on the Company’s condensed consolidated financial statements.</w:t>
      </w:r>
    </w:p>
    <w:p>
      <w:pPr>
        <w:spacing w:after="0" w:line="173" w:lineRule="exact"/>
        <w:rPr>
          <w:sz w:val="20"/>
          <w:szCs w:val="20"/>
          <w:color w:val="auto"/>
        </w:rPr>
      </w:pPr>
    </w:p>
    <w:p>
      <w:pPr>
        <w:ind w:right="440" w:firstLine="456"/>
        <w:spacing w:after="0" w:line="308" w:lineRule="auto"/>
        <w:rPr>
          <w:sz w:val="20"/>
          <w:szCs w:val="20"/>
          <w:color w:val="auto"/>
        </w:rPr>
      </w:pPr>
      <w:r>
        <w:rPr>
          <w:rFonts w:ascii="Arial" w:cs="Arial" w:eastAsia="Arial" w:hAnsi="Arial"/>
          <w:sz w:val="17"/>
          <w:szCs w:val="17"/>
          <w:color w:val="auto"/>
        </w:rPr>
        <w:t>The Company has reviewed all other significant newly-issued accounting pronouncements and concluded that they either are not applicable to the Company’s operations or no material effect is expected on its condensed consolidated financial statements as a result of future adoption.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CASH, CASH EQUIVALENTS AND INVESTMENTS</w:t>
      </w:r>
    </w:p>
    <w:p>
      <w:pPr>
        <w:spacing w:after="0" w:line="12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Securities classified as cash, cash equivalents and short-term investments as of September 30, 2017 and December 31, 2016, are summarized below (in thousands). Estimated fair value is based on quoted market prices for these investments.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7"/>
          </w:tcPr>
          <w:p>
            <w:pPr>
              <w:jc w:val="right"/>
              <w:ind w:right="400"/>
              <w:spacing w:after="0"/>
              <w:rPr>
                <w:sz w:val="20"/>
                <w:szCs w:val="20"/>
                <w:color w:val="auto"/>
              </w:rPr>
            </w:pPr>
            <w:r>
              <w:rPr>
                <w:rFonts w:ascii="Arial" w:cs="Arial" w:eastAsia="Arial" w:hAnsi="Arial"/>
                <w:sz w:val="14"/>
                <w:szCs w:val="14"/>
                <w:b w:val="1"/>
                <w:bCs w:val="1"/>
                <w:color w:val="auto"/>
                <w:w w:val="94"/>
              </w:rPr>
              <w:t>September 30, 2017</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7040" w:type="dxa"/>
            <w:vAlign w:val="bottom"/>
          </w:tcPr>
          <w:p>
            <w:pPr>
              <w:spacing w:after="0"/>
              <w:rPr>
                <w:sz w:val="12"/>
                <w:szCs w:val="12"/>
                <w:color w:val="auto"/>
              </w:rPr>
            </w:pPr>
          </w:p>
        </w:tc>
        <w:tc>
          <w:tcPr>
            <w:tcW w:w="86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Amortized</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6"/>
          </w:tcPr>
          <w:p>
            <w:pPr>
              <w:jc w:val="right"/>
              <w:ind w:right="500"/>
              <w:spacing w:after="0" w:line="142" w:lineRule="exact"/>
              <w:rPr>
                <w:sz w:val="20"/>
                <w:szCs w:val="20"/>
                <w:color w:val="auto"/>
              </w:rPr>
            </w:pPr>
            <w:r>
              <w:rPr>
                <w:rFonts w:ascii="Arial" w:cs="Arial" w:eastAsia="Arial" w:hAnsi="Arial"/>
                <w:sz w:val="14"/>
                <w:szCs w:val="14"/>
                <w:b w:val="1"/>
                <w:bCs w:val="1"/>
                <w:color w:val="auto"/>
                <w:w w:val="90"/>
              </w:rPr>
              <w:t>Gross Unrealized</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7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380"/>
              <w:spacing w:after="0" w:line="142" w:lineRule="exact"/>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2"/>
                <w:szCs w:val="12"/>
                <w:color w:val="auto"/>
              </w:rPr>
            </w:pPr>
          </w:p>
        </w:tc>
        <w:tc>
          <w:tcPr>
            <w:tcW w:w="60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rPr>
              <w:t>Gains</w:t>
            </w:r>
          </w:p>
        </w:tc>
        <w:tc>
          <w:tcPr>
            <w:tcW w:w="1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6"/>
              </w:rPr>
              <w:t>Losses</w:t>
            </w:r>
          </w:p>
        </w:tc>
        <w:tc>
          <w:tcPr>
            <w:tcW w:w="400" w:type="dxa"/>
            <w:vAlign w:val="bottom"/>
          </w:tcPr>
          <w:p>
            <w:pPr>
              <w:spacing w:after="0"/>
              <w:rPr>
                <w:sz w:val="12"/>
                <w:szCs w:val="12"/>
                <w:color w:val="auto"/>
              </w:rPr>
            </w:pPr>
          </w:p>
        </w:tc>
        <w:tc>
          <w:tcPr>
            <w:tcW w:w="74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Fair Value</w:t>
            </w:r>
          </w:p>
        </w:tc>
      </w:tr>
      <w:tr>
        <w:trPr>
          <w:trHeight w:val="196"/>
        </w:trPr>
        <w:tc>
          <w:tcPr>
            <w:tcW w:w="20" w:type="dxa"/>
            <w:vAlign w:val="bottom"/>
          </w:tcPr>
          <w:p>
            <w:pPr>
              <w:spacing w:after="0"/>
              <w:rPr>
                <w:sz w:val="17"/>
                <w:szCs w:val="17"/>
                <w:color w:val="auto"/>
              </w:rPr>
            </w:pPr>
          </w:p>
        </w:tc>
        <w:tc>
          <w:tcPr>
            <w:tcW w:w="70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and cash equivalents:</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700"/>
              <w:spacing w:after="0"/>
              <w:rPr>
                <w:sz w:val="20"/>
                <w:szCs w:val="20"/>
                <w:color w:val="auto"/>
              </w:rPr>
            </w:pPr>
            <w:r>
              <w:rPr>
                <w:rFonts w:ascii="Arial" w:cs="Arial" w:eastAsia="Arial" w:hAnsi="Arial"/>
                <w:sz w:val="18"/>
                <w:szCs w:val="18"/>
                <w:color w:val="auto"/>
              </w:rPr>
              <w:t>Cash</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7,254</w:t>
            </w:r>
          </w:p>
        </w:tc>
        <w:tc>
          <w:tcPr>
            <w:tcW w:w="780" w:type="dxa"/>
            <w:vAlign w:val="bottom"/>
            <w:gridSpan w:val="4"/>
          </w:tcPr>
          <w:p>
            <w:pPr>
              <w:jc w:val="right"/>
              <w:ind w:right="280"/>
              <w:spacing w:after="0"/>
              <w:rPr>
                <w:sz w:val="20"/>
                <w:szCs w:val="20"/>
                <w:color w:val="auto"/>
              </w:rPr>
            </w:pPr>
            <w:r>
              <w:rPr>
                <w:rFonts w:ascii="Arial" w:cs="Arial" w:eastAsia="Arial" w:hAnsi="Arial"/>
                <w:sz w:val="18"/>
                <w:szCs w:val="18"/>
                <w:color w:val="auto"/>
              </w:rPr>
              <w:t>$ —</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7,254</w:t>
            </w: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Money market funds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44,155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44,155</w:t>
            </w:r>
          </w:p>
        </w:tc>
      </w:tr>
      <w:tr>
        <w:trPr>
          <w:trHeight w:val="216"/>
        </w:trPr>
        <w:tc>
          <w:tcPr>
            <w:tcW w:w="20" w:type="dxa"/>
            <w:vAlign w:val="bottom"/>
          </w:tcPr>
          <w:p>
            <w:pPr>
              <w:spacing w:after="0"/>
              <w:rPr>
                <w:sz w:val="18"/>
                <w:szCs w:val="18"/>
                <w:color w:val="auto"/>
              </w:rPr>
            </w:pPr>
          </w:p>
        </w:tc>
        <w:tc>
          <w:tcPr>
            <w:tcW w:w="7040" w:type="dxa"/>
            <w:vAlign w:val="bottom"/>
          </w:tcPr>
          <w:p>
            <w:pPr>
              <w:ind w:left="700"/>
              <w:spacing w:after="0"/>
              <w:rPr>
                <w:sz w:val="20"/>
                <w:szCs w:val="20"/>
                <w:color w:val="auto"/>
              </w:rPr>
            </w:pPr>
            <w:r>
              <w:rPr>
                <w:rFonts w:ascii="Arial" w:cs="Arial" w:eastAsia="Arial" w:hAnsi="Arial"/>
                <w:sz w:val="18"/>
                <w:szCs w:val="18"/>
                <w:color w:val="auto"/>
              </w:rPr>
              <w:t>U.S. treasury securities</w:t>
            </w: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1,799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1,799</w:t>
            </w: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U.S. government-sponsored agency bonds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1,800</w:t>
            </w:r>
          </w:p>
        </w:tc>
      </w:tr>
      <w:tr>
        <w:trPr>
          <w:trHeight w:val="216"/>
        </w:trPr>
        <w:tc>
          <w:tcPr>
            <w:tcW w:w="20" w:type="dxa"/>
            <w:vAlign w:val="bottom"/>
          </w:tcPr>
          <w:p>
            <w:pPr>
              <w:spacing w:after="0"/>
              <w:rPr>
                <w:sz w:val="18"/>
                <w:szCs w:val="18"/>
                <w:color w:val="auto"/>
              </w:rPr>
            </w:pPr>
          </w:p>
        </w:tc>
        <w:tc>
          <w:tcPr>
            <w:tcW w:w="7040" w:type="dxa"/>
            <w:vAlign w:val="bottom"/>
          </w:tcPr>
          <w:p>
            <w:pPr>
              <w:ind w:left="700"/>
              <w:spacing w:after="0"/>
              <w:rPr>
                <w:sz w:val="20"/>
                <w:szCs w:val="20"/>
                <w:color w:val="auto"/>
              </w:rPr>
            </w:pPr>
            <w:r>
              <w:rPr>
                <w:rFonts w:ascii="Arial" w:cs="Arial" w:eastAsia="Arial" w:hAnsi="Arial"/>
                <w:sz w:val="18"/>
                <w:szCs w:val="18"/>
                <w:color w:val="auto"/>
              </w:rPr>
              <w:t>Corporate bonds</w:t>
            </w: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2,246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2,246</w:t>
            </w: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Commercial paper</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2,200</w:t>
            </w:r>
          </w:p>
        </w:tc>
      </w:tr>
      <w:tr>
        <w:trPr>
          <w:trHeight w:val="230"/>
        </w:trPr>
        <w:tc>
          <w:tcPr>
            <w:tcW w:w="20" w:type="dxa"/>
            <w:vAlign w:val="bottom"/>
          </w:tcPr>
          <w:p>
            <w:pPr>
              <w:spacing w:after="0"/>
              <w:rPr>
                <w:sz w:val="20"/>
                <w:szCs w:val="20"/>
                <w:color w:val="auto"/>
              </w:rPr>
            </w:pPr>
          </w:p>
        </w:tc>
        <w:tc>
          <w:tcPr>
            <w:tcW w:w="7040" w:type="dxa"/>
            <w:vAlign w:val="bottom"/>
          </w:tcPr>
          <w:p>
            <w:pPr>
              <w:ind w:left="340"/>
              <w:spacing w:after="0"/>
              <w:rPr>
                <w:sz w:val="20"/>
                <w:szCs w:val="20"/>
                <w:color w:val="auto"/>
              </w:rPr>
            </w:pPr>
            <w:r>
              <w:rPr>
                <w:rFonts w:ascii="Arial" w:cs="Arial" w:eastAsia="Arial" w:hAnsi="Arial"/>
                <w:sz w:val="18"/>
                <w:szCs w:val="18"/>
                <w:color w:val="auto"/>
              </w:rPr>
              <w:t>Total cash and cash equivalents</w:t>
            </w: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59,454</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59,454</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700"/>
              <w:spacing w:after="0"/>
              <w:rPr>
                <w:sz w:val="20"/>
                <w:szCs w:val="20"/>
                <w:color w:val="auto"/>
              </w:rPr>
            </w:pPr>
            <w:r>
              <w:rPr>
                <w:rFonts w:ascii="Arial" w:cs="Arial" w:eastAsia="Arial" w:hAnsi="Arial"/>
                <w:sz w:val="18"/>
                <w:szCs w:val="18"/>
                <w:color w:val="auto"/>
              </w:rPr>
              <w:t>U.S. treasury securities</w:t>
            </w: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2,988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2,988</w:t>
            </w: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Corporate bonds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38,247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38,239</w:t>
            </w:r>
          </w:p>
        </w:tc>
      </w:tr>
      <w:tr>
        <w:trPr>
          <w:trHeight w:val="216"/>
        </w:trPr>
        <w:tc>
          <w:tcPr>
            <w:tcW w:w="20" w:type="dxa"/>
            <w:vAlign w:val="bottom"/>
          </w:tcPr>
          <w:p>
            <w:pPr>
              <w:spacing w:after="0"/>
              <w:rPr>
                <w:sz w:val="18"/>
                <w:szCs w:val="18"/>
                <w:color w:val="auto"/>
              </w:rPr>
            </w:pPr>
          </w:p>
        </w:tc>
        <w:tc>
          <w:tcPr>
            <w:tcW w:w="7040" w:type="dxa"/>
            <w:vAlign w:val="bottom"/>
          </w:tcPr>
          <w:p>
            <w:pPr>
              <w:ind w:left="700"/>
              <w:spacing w:after="0"/>
              <w:rPr>
                <w:sz w:val="20"/>
                <w:szCs w:val="20"/>
                <w:color w:val="auto"/>
              </w:rPr>
            </w:pPr>
            <w:r>
              <w:rPr>
                <w:rFonts w:ascii="Arial" w:cs="Arial" w:eastAsia="Arial" w:hAnsi="Arial"/>
                <w:sz w:val="18"/>
                <w:szCs w:val="18"/>
                <w:color w:val="auto"/>
              </w:rPr>
              <w:t>Commercial paper</w:t>
            </w: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21,382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21,380</w:t>
            </w: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Asset-backed securities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7,227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7,227</w:t>
            </w:r>
          </w:p>
        </w:tc>
      </w:tr>
      <w:tr>
        <w:trPr>
          <w:trHeight w:val="230"/>
        </w:trPr>
        <w:tc>
          <w:tcPr>
            <w:tcW w:w="20" w:type="dxa"/>
            <w:vAlign w:val="bottom"/>
          </w:tcPr>
          <w:p>
            <w:pPr>
              <w:spacing w:after="0"/>
              <w:rPr>
                <w:sz w:val="20"/>
                <w:szCs w:val="20"/>
                <w:color w:val="auto"/>
              </w:rPr>
            </w:pPr>
          </w:p>
        </w:tc>
        <w:tc>
          <w:tcPr>
            <w:tcW w:w="7040" w:type="dxa"/>
            <w:vAlign w:val="bottom"/>
          </w:tcPr>
          <w:p>
            <w:pPr>
              <w:ind w:left="340"/>
              <w:spacing w:after="0"/>
              <w:rPr>
                <w:sz w:val="20"/>
                <w:szCs w:val="20"/>
                <w:color w:val="auto"/>
              </w:rPr>
            </w:pPr>
            <w:r>
              <w:rPr>
                <w:rFonts w:ascii="Arial" w:cs="Arial" w:eastAsia="Arial" w:hAnsi="Arial"/>
                <w:sz w:val="18"/>
                <w:szCs w:val="18"/>
                <w:color w:val="auto"/>
              </w:rPr>
              <w:t>Total short-term investments</w:t>
            </w: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69,844</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(13)</w:t>
            </w: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69,834</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cash equivalents and investments</w:t>
            </w:r>
          </w:p>
        </w:tc>
        <w:tc>
          <w:tcPr>
            <w:tcW w:w="8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129,298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w:t>
            </w: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129,288</w:t>
            </w:r>
          </w:p>
        </w:tc>
      </w:tr>
      <w:tr>
        <w:trPr>
          <w:trHeight w:val="20"/>
        </w:trPr>
        <w:tc>
          <w:tcPr>
            <w:tcW w:w="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70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7"/>
          </w:tcPr>
          <w:p>
            <w:pPr>
              <w:jc w:val="right"/>
              <w:ind w:right="420"/>
              <w:spacing w:after="0"/>
              <w:rPr>
                <w:sz w:val="20"/>
                <w:szCs w:val="20"/>
                <w:color w:val="auto"/>
              </w:rPr>
            </w:pPr>
            <w:r>
              <w:rPr>
                <w:rFonts w:ascii="Arial" w:cs="Arial" w:eastAsia="Arial" w:hAnsi="Arial"/>
                <w:sz w:val="14"/>
                <w:szCs w:val="14"/>
                <w:b w:val="1"/>
                <w:bCs w:val="1"/>
                <w:color w:val="auto"/>
                <w:w w:val="96"/>
              </w:rPr>
              <w:t>December 31, 2016</w:t>
            </w: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7040" w:type="dxa"/>
            <w:vAlign w:val="bottom"/>
          </w:tcPr>
          <w:p>
            <w:pPr>
              <w:spacing w:after="0"/>
              <w:rPr>
                <w:sz w:val="12"/>
                <w:szCs w:val="12"/>
                <w:color w:val="auto"/>
              </w:rPr>
            </w:pPr>
          </w:p>
        </w:tc>
        <w:tc>
          <w:tcPr>
            <w:tcW w:w="86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Amortized</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6"/>
          </w:tcPr>
          <w:p>
            <w:pPr>
              <w:jc w:val="right"/>
              <w:ind w:right="500"/>
              <w:spacing w:after="0" w:line="142" w:lineRule="exact"/>
              <w:rPr>
                <w:sz w:val="20"/>
                <w:szCs w:val="20"/>
                <w:color w:val="auto"/>
              </w:rPr>
            </w:pPr>
            <w:r>
              <w:rPr>
                <w:rFonts w:ascii="Arial" w:cs="Arial" w:eastAsia="Arial" w:hAnsi="Arial"/>
                <w:sz w:val="14"/>
                <w:szCs w:val="14"/>
                <w:b w:val="1"/>
                <w:bCs w:val="1"/>
                <w:color w:val="auto"/>
                <w:w w:val="90"/>
              </w:rPr>
              <w:t>Gross Unrealized</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7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380"/>
              <w:spacing w:after="0" w:line="142" w:lineRule="exact"/>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2"/>
                <w:szCs w:val="12"/>
                <w:color w:val="auto"/>
              </w:rPr>
            </w:pPr>
          </w:p>
        </w:tc>
        <w:tc>
          <w:tcPr>
            <w:tcW w:w="60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rPr>
              <w:t>Gains</w:t>
            </w:r>
          </w:p>
        </w:tc>
        <w:tc>
          <w:tcPr>
            <w:tcW w:w="1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6"/>
              </w:rPr>
              <w:t>Losses</w:t>
            </w:r>
          </w:p>
        </w:tc>
        <w:tc>
          <w:tcPr>
            <w:tcW w:w="400" w:type="dxa"/>
            <w:vAlign w:val="bottom"/>
          </w:tcPr>
          <w:p>
            <w:pPr>
              <w:spacing w:after="0"/>
              <w:rPr>
                <w:sz w:val="12"/>
                <w:szCs w:val="12"/>
                <w:color w:val="auto"/>
              </w:rPr>
            </w:pPr>
          </w:p>
        </w:tc>
        <w:tc>
          <w:tcPr>
            <w:tcW w:w="74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Fair Value</w:t>
            </w:r>
          </w:p>
        </w:tc>
      </w:tr>
      <w:tr>
        <w:trPr>
          <w:trHeight w:val="196"/>
        </w:trPr>
        <w:tc>
          <w:tcPr>
            <w:tcW w:w="20" w:type="dxa"/>
            <w:vAlign w:val="bottom"/>
          </w:tcPr>
          <w:p>
            <w:pPr>
              <w:spacing w:after="0"/>
              <w:rPr>
                <w:sz w:val="17"/>
                <w:szCs w:val="17"/>
                <w:color w:val="auto"/>
              </w:rPr>
            </w:pPr>
          </w:p>
        </w:tc>
        <w:tc>
          <w:tcPr>
            <w:tcW w:w="70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and cash equivalents:</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700"/>
              <w:spacing w:after="0"/>
              <w:rPr>
                <w:sz w:val="20"/>
                <w:szCs w:val="20"/>
                <w:color w:val="auto"/>
              </w:rPr>
            </w:pPr>
            <w:r>
              <w:rPr>
                <w:rFonts w:ascii="Arial" w:cs="Arial" w:eastAsia="Arial" w:hAnsi="Arial"/>
                <w:sz w:val="18"/>
                <w:szCs w:val="18"/>
                <w:color w:val="auto"/>
              </w:rPr>
              <w:t>Cash</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3,638</w:t>
            </w:r>
          </w:p>
        </w:tc>
        <w:tc>
          <w:tcPr>
            <w:tcW w:w="780" w:type="dxa"/>
            <w:vAlign w:val="bottom"/>
            <w:gridSpan w:val="4"/>
          </w:tcPr>
          <w:p>
            <w:pPr>
              <w:jc w:val="right"/>
              <w:ind w:right="280"/>
              <w:spacing w:after="0"/>
              <w:rPr>
                <w:sz w:val="20"/>
                <w:szCs w:val="20"/>
                <w:color w:val="auto"/>
              </w:rPr>
            </w:pPr>
            <w:r>
              <w:rPr>
                <w:rFonts w:ascii="Arial" w:cs="Arial" w:eastAsia="Arial" w:hAnsi="Arial"/>
                <w:sz w:val="18"/>
                <w:szCs w:val="18"/>
                <w:color w:val="auto"/>
              </w:rPr>
              <w:t>$ —</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3,638</w:t>
            </w: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Money market funds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68,561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68,561</w:t>
            </w:r>
          </w:p>
        </w:tc>
      </w:tr>
      <w:tr>
        <w:trPr>
          <w:trHeight w:val="216"/>
        </w:trPr>
        <w:tc>
          <w:tcPr>
            <w:tcW w:w="20" w:type="dxa"/>
            <w:vAlign w:val="bottom"/>
          </w:tcPr>
          <w:p>
            <w:pPr>
              <w:spacing w:after="0"/>
              <w:rPr>
                <w:sz w:val="18"/>
                <w:szCs w:val="18"/>
                <w:color w:val="auto"/>
              </w:rPr>
            </w:pPr>
          </w:p>
        </w:tc>
        <w:tc>
          <w:tcPr>
            <w:tcW w:w="7040" w:type="dxa"/>
            <w:vAlign w:val="bottom"/>
          </w:tcPr>
          <w:p>
            <w:pPr>
              <w:ind w:left="700"/>
              <w:spacing w:after="0"/>
              <w:rPr>
                <w:sz w:val="20"/>
                <w:szCs w:val="20"/>
                <w:color w:val="auto"/>
              </w:rPr>
            </w:pPr>
            <w:r>
              <w:rPr>
                <w:rFonts w:ascii="Arial" w:cs="Arial" w:eastAsia="Arial" w:hAnsi="Arial"/>
                <w:sz w:val="18"/>
                <w:szCs w:val="18"/>
                <w:color w:val="auto"/>
              </w:rPr>
              <w:t>Commercial paper</w:t>
            </w: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2,399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2,399</w:t>
            </w:r>
          </w:p>
        </w:tc>
      </w:tr>
      <w:tr>
        <w:trPr>
          <w:trHeight w:val="27"/>
        </w:trPr>
        <w:tc>
          <w:tcPr>
            <w:tcW w:w="20" w:type="dxa"/>
            <w:vAlign w:val="bottom"/>
          </w:tcPr>
          <w:p>
            <w:pPr>
              <w:spacing w:after="0"/>
              <w:rPr>
                <w:sz w:val="2"/>
                <w:szCs w:val="2"/>
                <w:color w:val="auto"/>
              </w:rPr>
            </w:pPr>
          </w:p>
        </w:tc>
        <w:tc>
          <w:tcPr>
            <w:tcW w:w="7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cash and cash equivalents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74,598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74,598</w:t>
            </w: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Short-term investments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Corporate bonds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58,464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58,410</w:t>
            </w:r>
          </w:p>
        </w:tc>
      </w:tr>
      <w:tr>
        <w:trPr>
          <w:trHeight w:val="216"/>
        </w:trPr>
        <w:tc>
          <w:tcPr>
            <w:tcW w:w="20" w:type="dxa"/>
            <w:vAlign w:val="bottom"/>
          </w:tcPr>
          <w:p>
            <w:pPr>
              <w:spacing w:after="0"/>
              <w:rPr>
                <w:sz w:val="18"/>
                <w:szCs w:val="18"/>
                <w:color w:val="auto"/>
              </w:rPr>
            </w:pPr>
          </w:p>
        </w:tc>
        <w:tc>
          <w:tcPr>
            <w:tcW w:w="7040" w:type="dxa"/>
            <w:vAlign w:val="bottom"/>
          </w:tcPr>
          <w:p>
            <w:pPr>
              <w:ind w:left="700"/>
              <w:spacing w:after="0"/>
              <w:rPr>
                <w:sz w:val="20"/>
                <w:szCs w:val="20"/>
                <w:color w:val="auto"/>
              </w:rPr>
            </w:pPr>
            <w:r>
              <w:rPr>
                <w:rFonts w:ascii="Arial" w:cs="Arial" w:eastAsia="Arial" w:hAnsi="Arial"/>
                <w:sz w:val="18"/>
                <w:szCs w:val="18"/>
                <w:color w:val="auto"/>
              </w:rPr>
              <w:t>Commercial paper</w:t>
            </w: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62,946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62,931</w:t>
            </w: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Asset-backed securities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4,886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4,884</w:t>
            </w:r>
          </w:p>
        </w:tc>
      </w:tr>
      <w:tr>
        <w:trPr>
          <w:trHeight w:val="230"/>
        </w:trPr>
        <w:tc>
          <w:tcPr>
            <w:tcW w:w="20" w:type="dxa"/>
            <w:vAlign w:val="bottom"/>
          </w:tcPr>
          <w:p>
            <w:pPr>
              <w:spacing w:after="0"/>
              <w:rPr>
                <w:sz w:val="20"/>
                <w:szCs w:val="20"/>
                <w:color w:val="auto"/>
              </w:rPr>
            </w:pPr>
          </w:p>
        </w:tc>
        <w:tc>
          <w:tcPr>
            <w:tcW w:w="7040" w:type="dxa"/>
            <w:vAlign w:val="bottom"/>
          </w:tcPr>
          <w:p>
            <w:pPr>
              <w:ind w:left="340"/>
              <w:spacing w:after="0"/>
              <w:rPr>
                <w:sz w:val="20"/>
                <w:szCs w:val="20"/>
                <w:color w:val="auto"/>
              </w:rPr>
            </w:pPr>
            <w:r>
              <w:rPr>
                <w:rFonts w:ascii="Arial" w:cs="Arial" w:eastAsia="Arial" w:hAnsi="Arial"/>
                <w:sz w:val="18"/>
                <w:szCs w:val="18"/>
                <w:color w:val="auto"/>
              </w:rPr>
              <w:t>Total short-term investments</w:t>
            </w: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126,296</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(78)</w:t>
            </w: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126,225</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cash equivalents and investments</w:t>
            </w:r>
          </w:p>
        </w:tc>
        <w:tc>
          <w:tcPr>
            <w:tcW w:w="8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200,894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(78)</w:t>
            </w: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200,823</w:t>
            </w:r>
          </w:p>
        </w:tc>
      </w:tr>
      <w:tr>
        <w:trPr>
          <w:trHeight w:val="20"/>
        </w:trPr>
        <w:tc>
          <w:tcPr>
            <w:tcW w:w="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Cash equivalents consist of money market funds and other debt securities with original maturities of three months or less at the time of purchase, and the carrying amount is a reasonable approximation of fair value. The Company invests its cash in high quality securities of financial and commercial institutions. These securities are carried at fair value, which is based 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readily available market information, with unrealized gains and losses included in “accumulated other comprehensive gain (loss)” within stockholders’ equity on the Company’s condensed consolidated balance sheets. The Company uses the specific identification method to determine the amount of realized gains or losses on sales of marketable securities. Realized gains or losses have been insignificant and are included in “other income, net” in the consolidated condensed statement of operations.</w:t>
      </w:r>
    </w:p>
    <w:p>
      <w:pPr>
        <w:spacing w:after="0" w:line="18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All available-for-sale securities held as of September 30, 2017, had contractual maturities of less than one year. The Company’s available-for-sale securities are subject to a periodic impairment review. The Company considers a debt security to be impaired when its fair value is less than its carrying cost, in which case the Company would further review the investment to determine whether it is other-than-temporarily impaired. When the Company evaluates an investment for other-than-temporary impairment, the Company reviews factors such as the length of time and extent to which fair value has been below cost basis, the financial condition of the issuer and any changes thereto, intent to sell, and whether it is more likely than not the Company will be required to sell the investment before the recovery of it cost basis. If an investment is other-than-temporarily impaired, the Company writes it down through the statement of operations to its fair value and establishes that value as a new cost basis for the investment. The Company did not identify any of its available-for-sale securities as other-than-temporarily impaired in any of the periods presented. As of September 30, 2017, no investment was in a continuous unrealized loss position for more than one year, the unrealized losses were not due to a change in credit risk, and the Company believes that is more likely than not the investments will be held until maturity or a forecasted recovery of fair value.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FAIR VALUE MEASUREMENTS</w:t>
      </w:r>
    </w:p>
    <w:p>
      <w:pPr>
        <w:spacing w:after="0" w:line="121" w:lineRule="exact"/>
        <w:rPr>
          <w:sz w:val="20"/>
          <w:szCs w:val="20"/>
          <w:color w:val="auto"/>
        </w:rPr>
      </w:pPr>
    </w:p>
    <w:p>
      <w:pPr>
        <w:ind w:right="260" w:firstLine="456"/>
        <w:spacing w:after="0" w:line="286" w:lineRule="auto"/>
        <w:rPr>
          <w:sz w:val="20"/>
          <w:szCs w:val="20"/>
          <w:color w:val="auto"/>
        </w:rPr>
      </w:pPr>
      <w:r>
        <w:rPr>
          <w:rFonts w:ascii="Arial" w:cs="Arial" w:eastAsia="Arial" w:hAnsi="Arial"/>
          <w:sz w:val="17"/>
          <w:szCs w:val="17"/>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three-level hierarchy for the inputs to valuation techniques is briefly summarized as follows:</w:t>
      </w:r>
    </w:p>
    <w:p>
      <w:pPr>
        <w:sectPr>
          <w:pgSz w:w="11900" w:h="16838" w:orient="portrait"/>
          <w:cols w:equalWidth="0" w:num="1">
            <w:col w:w="11380"/>
          </w:cols>
          <w:pgMar w:left="240" w:top="459" w:right="279" w:bottom="1440" w:gutter="0" w:footer="0" w:header="0"/>
        </w:sectPr>
      </w:pPr>
    </w:p>
    <w:p>
      <w:pPr>
        <w:spacing w:after="0" w:line="25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Level 1</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jc w:val="both"/>
        <w:ind w:right="420" w:hanging="219"/>
        <w:spacing w:after="0" w:line="264" w:lineRule="auto"/>
        <w:rPr>
          <w:sz w:val="20"/>
          <w:szCs w:val="20"/>
          <w:color w:val="auto"/>
        </w:rPr>
      </w:pPr>
      <w:r>
        <w:rPr>
          <w:rFonts w:ascii="Arial" w:cs="Arial" w:eastAsia="Arial" w:hAnsi="Arial"/>
          <w:sz w:val="18"/>
          <w:szCs w:val="18"/>
          <w:color w:val="auto"/>
        </w:rPr>
        <w:t>–</w:t>
      </w:r>
      <w:r>
        <w:rPr>
          <w:sz w:val="20"/>
          <w:szCs w:val="20"/>
          <w:color w:val="auto"/>
        </w:rPr>
        <w:t xml:space="preserve"> </w:t>
      </w:r>
      <w:r>
        <w:rPr>
          <w:rFonts w:ascii="Arial" w:cs="Arial" w:eastAsia="Arial" w:hAnsi="Arial"/>
          <w:sz w:val="18"/>
          <w:szCs w:val="18"/>
          <w:color w:val="auto"/>
        </w:rPr>
        <w:t>Valuations are based on quoted prices in active markets for identical assets or liabilities and readily accessible by the Company at the reporting date. Examples of assets and liabilities utilizing Level 1 inputs are certain money market funds, U.S. Treasuries and trading securities with quoted prices on active markets.</w:t>
      </w:r>
    </w:p>
    <w:p>
      <w:pPr>
        <w:spacing w:after="0" w:line="73" w:lineRule="exact"/>
        <w:rPr>
          <w:sz w:val="20"/>
          <w:szCs w:val="20"/>
          <w:color w:val="auto"/>
        </w:rPr>
      </w:pPr>
    </w:p>
    <w:p>
      <w:pPr>
        <w:sectPr>
          <w:pgSz w:w="11900" w:h="16838" w:orient="portrait"/>
          <w:cols w:equalWidth="0" w:num="2">
            <w:col w:w="1020" w:space="600"/>
            <w:col w:w="9760"/>
          </w:cols>
          <w:pgMar w:left="240" w:top="459" w:right="279" w:bottom="1440" w:gutter="0" w:footer="0" w:header="0"/>
          <w:type w:val="continuous"/>
        </w:sectPr>
      </w:pPr>
    </w:p>
    <w:p>
      <w:pPr>
        <w:ind w:left="460"/>
        <w:spacing w:after="0"/>
        <w:rPr>
          <w:sz w:val="20"/>
          <w:szCs w:val="20"/>
          <w:color w:val="auto"/>
        </w:rPr>
      </w:pPr>
      <w:r>
        <w:rPr>
          <w:rFonts w:ascii="Arial" w:cs="Arial" w:eastAsia="Arial" w:hAnsi="Arial"/>
          <w:sz w:val="17"/>
          <w:szCs w:val="17"/>
          <w:color w:val="auto"/>
        </w:rPr>
        <w:t>Level 2</w:t>
      </w:r>
    </w:p>
    <w:p>
      <w:pPr>
        <w:spacing w:after="0" w:line="20" w:lineRule="exact"/>
        <w:rPr>
          <w:sz w:val="20"/>
          <w:szCs w:val="20"/>
          <w:color w:val="auto"/>
        </w:rPr>
      </w:pPr>
      <w:r>
        <w:rPr>
          <w:sz w:val="20"/>
          <w:szCs w:val="20"/>
          <w:color w:val="auto"/>
        </w:rPr>
        <w:br w:type="column"/>
      </w:r>
    </w:p>
    <w:p>
      <w:pPr>
        <w:ind w:right="620" w:hanging="219"/>
        <w:spacing w:after="0" w:line="302" w:lineRule="auto"/>
        <w:rPr>
          <w:sz w:val="20"/>
          <w:szCs w:val="20"/>
          <w:color w:val="auto"/>
        </w:rPr>
      </w:pPr>
      <w:r>
        <w:rPr>
          <w:rFonts w:ascii="Arial" w:cs="Arial" w:eastAsia="Arial" w:hAnsi="Arial"/>
          <w:sz w:val="16"/>
          <w:szCs w:val="16"/>
          <w:color w:val="auto"/>
        </w:rPr>
        <w:t>–</w:t>
      </w:r>
      <w:r>
        <w:rPr>
          <w:sz w:val="20"/>
          <w:szCs w:val="20"/>
          <w:color w:val="auto"/>
        </w:rPr>
        <w:t xml:space="preserve"> </w:t>
      </w:r>
      <w:r>
        <w:rPr>
          <w:rFonts w:ascii="Arial" w:cs="Arial" w:eastAsia="Arial" w:hAnsi="Arial"/>
          <w:sz w:val="16"/>
          <w:szCs w:val="16"/>
          <w:color w:val="auto"/>
        </w:rPr>
        <w:t>Valuations based on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 Examples of assets and liabilities utilizing Level 2 inputs are corporate bonds, commercial paper, certificates of deposit and over-the-counter derivatives.</w:t>
      </w:r>
    </w:p>
    <w:p>
      <w:pPr>
        <w:spacing w:after="0" w:line="46" w:lineRule="exact"/>
        <w:rPr>
          <w:sz w:val="20"/>
          <w:szCs w:val="20"/>
          <w:color w:val="auto"/>
        </w:rPr>
      </w:pPr>
    </w:p>
    <w:p>
      <w:pPr>
        <w:sectPr>
          <w:pgSz w:w="11900" w:h="16838" w:orient="portrait"/>
          <w:cols w:equalWidth="0" w:num="2">
            <w:col w:w="1020" w:space="600"/>
            <w:col w:w="9760"/>
          </w:cols>
          <w:pgMar w:left="240" w:top="459" w:right="279" w:bottom="1440" w:gutter="0" w:footer="0" w:header="0"/>
          <w:type w:val="continuous"/>
        </w:sectPr>
      </w:pPr>
    </w:p>
    <w:p>
      <w:pPr>
        <w:ind w:left="460"/>
        <w:spacing w:after="0"/>
        <w:rPr>
          <w:sz w:val="20"/>
          <w:szCs w:val="20"/>
          <w:color w:val="auto"/>
        </w:rPr>
      </w:pPr>
      <w:r>
        <w:rPr>
          <w:rFonts w:ascii="Arial" w:cs="Arial" w:eastAsia="Arial" w:hAnsi="Arial"/>
          <w:sz w:val="17"/>
          <w:szCs w:val="17"/>
          <w:color w:val="auto"/>
        </w:rPr>
        <w:t>Level 3</w:t>
      </w:r>
    </w:p>
    <w:p>
      <w:pPr>
        <w:spacing w:after="0" w:line="20" w:lineRule="exact"/>
        <w:rPr>
          <w:sz w:val="20"/>
          <w:szCs w:val="20"/>
          <w:color w:val="auto"/>
        </w:rPr>
      </w:pPr>
      <w:r>
        <w:rPr>
          <w:sz w:val="20"/>
          <w:szCs w:val="20"/>
          <w:color w:val="auto"/>
        </w:rPr>
        <w:br w:type="column"/>
      </w:r>
    </w:p>
    <w:p>
      <w:pPr>
        <w:ind w:right="420" w:hanging="219"/>
        <w:spacing w:after="0" w:line="277" w:lineRule="auto"/>
        <w:rPr>
          <w:sz w:val="20"/>
          <w:szCs w:val="20"/>
          <w:color w:val="auto"/>
        </w:rPr>
      </w:pPr>
      <w:r>
        <w:rPr>
          <w:rFonts w:ascii="Arial" w:cs="Arial" w:eastAsia="Arial" w:hAnsi="Arial"/>
          <w:sz w:val="18"/>
          <w:szCs w:val="18"/>
          <w:color w:val="auto"/>
        </w:rPr>
        <w:t>–</w:t>
      </w:r>
      <w:r>
        <w:rPr>
          <w:sz w:val="20"/>
          <w:szCs w:val="20"/>
          <w:color w:val="auto"/>
        </w:rPr>
        <w:t xml:space="preserve"> </w:t>
      </w:r>
      <w:r>
        <w:rPr>
          <w:rFonts w:ascii="Arial" w:cs="Arial" w:eastAsia="Arial" w:hAnsi="Arial"/>
          <w:sz w:val="18"/>
          <w:szCs w:val="18"/>
          <w:color w:val="auto"/>
        </w:rPr>
        <w:t>Valuations based on unobservable inputs in which there is little or no market data, which require the Company to develop its own assumptions.</w:t>
      </w:r>
    </w:p>
    <w:p>
      <w:pPr>
        <w:spacing w:after="0" w:line="103" w:lineRule="exact"/>
        <w:rPr>
          <w:sz w:val="20"/>
          <w:szCs w:val="20"/>
          <w:color w:val="auto"/>
        </w:rPr>
      </w:pPr>
    </w:p>
    <w:p>
      <w:pPr>
        <w:sectPr>
          <w:pgSz w:w="11900" w:h="16838" w:orient="portrait"/>
          <w:cols w:equalWidth="0" w:num="2">
            <w:col w:w="1020" w:space="600"/>
            <w:col w:w="9760"/>
          </w:cols>
          <w:pgMar w:left="240" w:top="459" w:right="279" w:bottom="1440" w:gutter="0" w:footer="0" w:header="0"/>
          <w:type w:val="continuous"/>
        </w:sectPr>
      </w:pPr>
    </w:p>
    <w:p>
      <w:pPr>
        <w:jc w:val="center"/>
        <w:ind w:right="-3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380"/>
          </w:cols>
          <w:pgMar w:left="240" w:top="459" w:right="27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following table sets forth the fair value of the Company’s financial assets measured on a recurring basis by level within the fair value hierarchy (in thousands):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69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September 30, 2017</w:t>
            </w:r>
          </w:p>
        </w:tc>
        <w:tc>
          <w:tcPr>
            <w:tcW w:w="1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6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Total</w:t>
            </w:r>
          </w:p>
        </w:tc>
        <w:tc>
          <w:tcPr>
            <w:tcW w:w="340" w:type="dxa"/>
            <w:vAlign w:val="bottom"/>
          </w:tcPr>
          <w:p>
            <w:pPr>
              <w:spacing w:after="0"/>
              <w:rPr>
                <w:sz w:val="12"/>
                <w:szCs w:val="12"/>
                <w:color w:val="auto"/>
              </w:rPr>
            </w:pPr>
          </w:p>
        </w:tc>
        <w:tc>
          <w:tcPr>
            <w:tcW w:w="94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2"/>
                <w:szCs w:val="12"/>
                <w:color w:val="auto"/>
              </w:rPr>
            </w:pPr>
          </w:p>
        </w:tc>
        <w:tc>
          <w:tcPr>
            <w:tcW w:w="760" w:type="dxa"/>
            <w:vAlign w:val="bottom"/>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w w:val="92"/>
              </w:rPr>
              <w:t>Level 2</w:t>
            </w:r>
          </w:p>
        </w:tc>
        <w:tc>
          <w:tcPr>
            <w:tcW w:w="180" w:type="dxa"/>
            <w:vAlign w:val="bottom"/>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8"/>
              </w:rPr>
              <w:t>Level 3</w:t>
            </w:r>
          </w:p>
        </w:tc>
        <w:tc>
          <w:tcPr>
            <w:tcW w:w="60" w:type="dxa"/>
            <w:vAlign w:val="bottom"/>
          </w:tcPr>
          <w:p>
            <w:pPr>
              <w:spacing w:after="0"/>
              <w:rPr>
                <w:sz w:val="12"/>
                <w:szCs w:val="12"/>
                <w:color w:val="auto"/>
              </w:rPr>
            </w:pPr>
          </w:p>
        </w:tc>
      </w:tr>
      <w:tr>
        <w:trPr>
          <w:trHeight w:val="196"/>
        </w:trPr>
        <w:tc>
          <w:tcPr>
            <w:tcW w:w="69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6980" w:type="dxa"/>
            <w:vAlign w:val="bottom"/>
          </w:tcPr>
          <w:p>
            <w:pPr>
              <w:ind w:left="360"/>
              <w:spacing w:after="0"/>
              <w:rPr>
                <w:sz w:val="20"/>
                <w:szCs w:val="20"/>
                <w:color w:val="auto"/>
              </w:rPr>
            </w:pPr>
            <w:r>
              <w:rPr>
                <w:rFonts w:ascii="Arial" w:cs="Arial" w:eastAsia="Arial" w:hAnsi="Arial"/>
                <w:sz w:val="18"/>
                <w:szCs w:val="18"/>
                <w:color w:val="auto"/>
              </w:rPr>
              <w:t>Money market funds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44,155</w:t>
            </w:r>
          </w:p>
        </w:tc>
        <w:tc>
          <w:tcPr>
            <w:tcW w:w="1280" w:type="dxa"/>
            <w:vAlign w:val="bottom"/>
            <w:gridSpan w:val="3"/>
          </w:tcPr>
          <w:p>
            <w:pPr>
              <w:jc w:val="right"/>
              <w:ind w:right="340"/>
              <w:spacing w:after="0"/>
              <w:rPr>
                <w:sz w:val="20"/>
                <w:szCs w:val="20"/>
                <w:color w:val="auto"/>
              </w:rPr>
            </w:pPr>
            <w:r>
              <w:rPr>
                <w:rFonts w:ascii="Arial" w:cs="Arial" w:eastAsia="Arial" w:hAnsi="Arial"/>
                <w:sz w:val="18"/>
                <w:szCs w:val="18"/>
                <w:color w:val="auto"/>
              </w:rPr>
              <w:t>$44,155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80" w:type="dxa"/>
            <w:vAlign w:val="bottom"/>
            <w:gridSpan w:val="3"/>
          </w:tcPr>
          <w:p>
            <w:pPr>
              <w:jc w:val="right"/>
              <w:ind w:right="140"/>
              <w:spacing w:after="0"/>
              <w:rPr>
                <w:sz w:val="20"/>
                <w:szCs w:val="20"/>
                <w:color w:val="auto"/>
              </w:rPr>
            </w:pPr>
            <w:r>
              <w:rPr>
                <w:rFonts w:ascii="Arial" w:cs="Arial" w:eastAsia="Arial" w:hAnsi="Arial"/>
                <w:sz w:val="18"/>
                <w:szCs w:val="18"/>
                <w:color w:val="auto"/>
              </w:rPr>
              <w:t>$ —</w:t>
            </w:r>
          </w:p>
        </w:tc>
      </w:tr>
      <w:tr>
        <w:trPr>
          <w:trHeight w:val="216"/>
        </w:trPr>
        <w:tc>
          <w:tcPr>
            <w:tcW w:w="6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treasury securities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4,787</w:t>
            </w:r>
          </w:p>
        </w:tc>
        <w:tc>
          <w:tcPr>
            <w:tcW w:w="12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4,787</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6980" w:type="dxa"/>
            <w:vAlign w:val="bottom"/>
          </w:tcPr>
          <w:p>
            <w:pPr>
              <w:ind w:left="360"/>
              <w:spacing w:after="0"/>
              <w:rPr>
                <w:sz w:val="20"/>
                <w:szCs w:val="20"/>
                <w:color w:val="auto"/>
              </w:rPr>
            </w:pPr>
            <w:r>
              <w:rPr>
                <w:rFonts w:ascii="Arial" w:cs="Arial" w:eastAsia="Arial" w:hAnsi="Arial"/>
                <w:sz w:val="18"/>
                <w:szCs w:val="18"/>
                <w:color w:val="auto"/>
              </w:rPr>
              <w:t>U.S. government-sponsored agency bonds</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1,800</w:t>
            </w:r>
          </w:p>
        </w:tc>
        <w:tc>
          <w:tcPr>
            <w:tcW w:w="1280" w:type="dxa"/>
            <w:vAlign w:val="bottom"/>
            <w:gridSpan w:val="3"/>
          </w:tcPr>
          <w:p>
            <w:pPr>
              <w:jc w:val="right"/>
              <w:ind w:right="340"/>
              <w:spacing w:after="0"/>
              <w:rPr>
                <w:sz w:val="20"/>
                <w:szCs w:val="20"/>
                <w:color w:val="auto"/>
              </w:rPr>
            </w:pPr>
            <w:r>
              <w:rPr>
                <w:rFonts w:ascii="Arial" w:cs="Arial" w:eastAsia="Arial" w:hAnsi="Arial"/>
                <w:sz w:val="18"/>
                <w:szCs w:val="18"/>
                <w:color w:val="auto"/>
              </w:rPr>
              <w:t>1,800</w:t>
            </w: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6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Corporate bonds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40,485</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40,485</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6980" w:type="dxa"/>
            <w:vAlign w:val="bottom"/>
          </w:tcPr>
          <w:p>
            <w:pPr>
              <w:ind w:left="360"/>
              <w:spacing w:after="0"/>
              <w:rPr>
                <w:sz w:val="20"/>
                <w:szCs w:val="20"/>
                <w:color w:val="auto"/>
              </w:rPr>
            </w:pPr>
            <w:r>
              <w:rPr>
                <w:rFonts w:ascii="Arial" w:cs="Arial" w:eastAsia="Arial" w:hAnsi="Arial"/>
                <w:sz w:val="18"/>
                <w:szCs w:val="18"/>
                <w:color w:val="auto"/>
              </w:rPr>
              <w:t>Commercial paper</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23,580</w:t>
            </w:r>
          </w:p>
        </w:tc>
        <w:tc>
          <w:tcPr>
            <w:tcW w:w="340" w:type="dxa"/>
            <w:vAlign w:val="bottom"/>
          </w:tcPr>
          <w:p>
            <w:pPr>
              <w:spacing w:after="0"/>
              <w:rPr>
                <w:sz w:val="18"/>
                <w:szCs w:val="18"/>
                <w:color w:val="auto"/>
              </w:rPr>
            </w:pPr>
          </w:p>
        </w:tc>
        <w:tc>
          <w:tcPr>
            <w:tcW w:w="9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23,580</w:t>
            </w:r>
          </w:p>
        </w:tc>
        <w:tc>
          <w:tcPr>
            <w:tcW w:w="180" w:type="dxa"/>
            <w:vAlign w:val="bottom"/>
          </w:tcPr>
          <w:p>
            <w:pPr>
              <w:spacing w:after="0"/>
              <w:rPr>
                <w:sz w:val="18"/>
                <w:szCs w:val="18"/>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6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Asset-backed securities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7,227</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7,227</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6980" w:type="dxa"/>
            <w:vAlign w:val="bottom"/>
          </w:tcPr>
          <w:p>
            <w:pPr>
              <w:ind w:left="72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122,034</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50,742</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71,292</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60" w:type="dxa"/>
            <w:vAlign w:val="bottom"/>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69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December 31, 2016</w:t>
            </w:r>
          </w:p>
        </w:tc>
        <w:tc>
          <w:tcPr>
            <w:tcW w:w="1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42"/>
        </w:trPr>
        <w:tc>
          <w:tcPr>
            <w:tcW w:w="6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Total</w:t>
            </w:r>
          </w:p>
        </w:tc>
        <w:tc>
          <w:tcPr>
            <w:tcW w:w="340" w:type="dxa"/>
            <w:vAlign w:val="bottom"/>
          </w:tcPr>
          <w:p>
            <w:pPr>
              <w:spacing w:after="0"/>
              <w:rPr>
                <w:sz w:val="12"/>
                <w:szCs w:val="12"/>
                <w:color w:val="auto"/>
              </w:rPr>
            </w:pPr>
          </w:p>
        </w:tc>
        <w:tc>
          <w:tcPr>
            <w:tcW w:w="94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2"/>
                <w:szCs w:val="12"/>
                <w:color w:val="auto"/>
              </w:rPr>
            </w:pPr>
          </w:p>
        </w:tc>
        <w:tc>
          <w:tcPr>
            <w:tcW w:w="760" w:type="dxa"/>
            <w:vAlign w:val="bottom"/>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w w:val="92"/>
              </w:rPr>
              <w:t>Level 2</w:t>
            </w:r>
          </w:p>
        </w:tc>
        <w:tc>
          <w:tcPr>
            <w:tcW w:w="180" w:type="dxa"/>
            <w:vAlign w:val="bottom"/>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8"/>
              </w:rPr>
              <w:t>Level 3</w:t>
            </w:r>
          </w:p>
        </w:tc>
        <w:tc>
          <w:tcPr>
            <w:tcW w:w="60" w:type="dxa"/>
            <w:vAlign w:val="bottom"/>
          </w:tcPr>
          <w:p>
            <w:pPr>
              <w:spacing w:after="0"/>
              <w:rPr>
                <w:sz w:val="12"/>
                <w:szCs w:val="12"/>
                <w:color w:val="auto"/>
              </w:rPr>
            </w:pPr>
          </w:p>
        </w:tc>
      </w:tr>
      <w:tr>
        <w:trPr>
          <w:trHeight w:val="196"/>
        </w:trPr>
        <w:tc>
          <w:tcPr>
            <w:tcW w:w="69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6980" w:type="dxa"/>
            <w:vAlign w:val="bottom"/>
          </w:tcPr>
          <w:p>
            <w:pPr>
              <w:ind w:left="360"/>
              <w:spacing w:after="0"/>
              <w:rPr>
                <w:sz w:val="20"/>
                <w:szCs w:val="20"/>
                <w:color w:val="auto"/>
              </w:rPr>
            </w:pPr>
            <w:r>
              <w:rPr>
                <w:rFonts w:ascii="Arial" w:cs="Arial" w:eastAsia="Arial" w:hAnsi="Arial"/>
                <w:sz w:val="18"/>
                <w:szCs w:val="18"/>
                <w:color w:val="auto"/>
              </w:rPr>
              <w:t>Money market funds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68,561</w:t>
            </w:r>
          </w:p>
        </w:tc>
        <w:tc>
          <w:tcPr>
            <w:tcW w:w="1280" w:type="dxa"/>
            <w:vAlign w:val="bottom"/>
            <w:gridSpan w:val="3"/>
          </w:tcPr>
          <w:p>
            <w:pPr>
              <w:jc w:val="right"/>
              <w:ind w:right="340"/>
              <w:spacing w:after="0"/>
              <w:rPr>
                <w:sz w:val="20"/>
                <w:szCs w:val="20"/>
                <w:color w:val="auto"/>
              </w:rPr>
            </w:pPr>
            <w:r>
              <w:rPr>
                <w:rFonts w:ascii="Arial" w:cs="Arial" w:eastAsia="Arial" w:hAnsi="Arial"/>
                <w:sz w:val="18"/>
                <w:szCs w:val="18"/>
                <w:color w:val="auto"/>
              </w:rPr>
              <w:t>$68,561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80" w:type="dxa"/>
            <w:vAlign w:val="bottom"/>
            <w:gridSpan w:val="3"/>
          </w:tcPr>
          <w:p>
            <w:pPr>
              <w:jc w:val="right"/>
              <w:ind w:right="140"/>
              <w:spacing w:after="0"/>
              <w:rPr>
                <w:sz w:val="20"/>
                <w:szCs w:val="20"/>
                <w:color w:val="auto"/>
              </w:rPr>
            </w:pPr>
            <w:r>
              <w:rPr>
                <w:rFonts w:ascii="Arial" w:cs="Arial" w:eastAsia="Arial" w:hAnsi="Arial"/>
                <w:sz w:val="18"/>
                <w:szCs w:val="18"/>
                <w:color w:val="auto"/>
              </w:rPr>
              <w:t>$ —</w:t>
            </w:r>
          </w:p>
        </w:tc>
      </w:tr>
      <w:tr>
        <w:trPr>
          <w:trHeight w:val="216"/>
        </w:trPr>
        <w:tc>
          <w:tcPr>
            <w:tcW w:w="6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Corporate bonds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58,410</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58,410</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6980" w:type="dxa"/>
            <w:vAlign w:val="bottom"/>
          </w:tcPr>
          <w:p>
            <w:pPr>
              <w:ind w:left="360"/>
              <w:spacing w:after="0"/>
              <w:rPr>
                <w:sz w:val="20"/>
                <w:szCs w:val="20"/>
                <w:color w:val="auto"/>
              </w:rPr>
            </w:pPr>
            <w:r>
              <w:rPr>
                <w:rFonts w:ascii="Arial" w:cs="Arial" w:eastAsia="Arial" w:hAnsi="Arial"/>
                <w:sz w:val="18"/>
                <w:szCs w:val="18"/>
                <w:color w:val="auto"/>
              </w:rPr>
              <w:t>Commercial paper</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65,330</w:t>
            </w:r>
          </w:p>
        </w:tc>
        <w:tc>
          <w:tcPr>
            <w:tcW w:w="340" w:type="dxa"/>
            <w:vAlign w:val="bottom"/>
          </w:tcPr>
          <w:p>
            <w:pPr>
              <w:spacing w:after="0"/>
              <w:rPr>
                <w:sz w:val="18"/>
                <w:szCs w:val="18"/>
                <w:color w:val="auto"/>
              </w:rPr>
            </w:pPr>
          </w:p>
        </w:tc>
        <w:tc>
          <w:tcPr>
            <w:tcW w:w="9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65,330</w:t>
            </w:r>
          </w:p>
        </w:tc>
        <w:tc>
          <w:tcPr>
            <w:tcW w:w="180" w:type="dxa"/>
            <w:vAlign w:val="bottom"/>
          </w:tcPr>
          <w:p>
            <w:pPr>
              <w:spacing w:after="0"/>
              <w:rPr>
                <w:sz w:val="18"/>
                <w:szCs w:val="18"/>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6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Asset-backed securities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4,884</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4,884</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6980" w:type="dxa"/>
            <w:vAlign w:val="bottom"/>
          </w:tcPr>
          <w:p>
            <w:pPr>
              <w:ind w:left="72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197,185</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68,561</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128,624</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60" w:type="dxa"/>
            <w:vAlign w:val="bottom"/>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Where quoted prices are available in an active market, securities are classified as Level 1. The Company classifies money market funds, U.S. treasury securities and U.S. government-sponsored agency bonds as Level 1. When quoted market prices are not available for the specific security, then the Company estimates fair value by using benchmark yields, reported trades, broker/dealer quotes and issuer spreads. The Company classifies corporate bonds, commercial paper and asset-backed securities as Level 2. In certain cases, where there is limited activity or less transparency around inputs to valuation, securities are classified as Level 3. There were no transfers between Level 1 and Level 2 during the periods presented.</w:t>
      </w:r>
    </w:p>
    <w:p>
      <w:pPr>
        <w:spacing w:after="0" w:line="173" w:lineRule="exact"/>
        <w:rPr>
          <w:sz w:val="20"/>
          <w:szCs w:val="20"/>
          <w:color w:val="auto"/>
        </w:rPr>
      </w:pPr>
    </w:p>
    <w:p>
      <w:pPr>
        <w:ind w:right="120" w:firstLine="456"/>
        <w:spacing w:after="0" w:line="308" w:lineRule="auto"/>
        <w:rPr>
          <w:sz w:val="20"/>
          <w:szCs w:val="20"/>
          <w:color w:val="auto"/>
        </w:rPr>
      </w:pPr>
      <w:r>
        <w:rPr>
          <w:rFonts w:ascii="Arial" w:cs="Arial" w:eastAsia="Arial" w:hAnsi="Arial"/>
          <w:sz w:val="17"/>
          <w:szCs w:val="17"/>
          <w:color w:val="auto"/>
        </w:rPr>
        <w:t>The carrying amounts reflected in the balance sheets for cash equivalents, short-term investments, prepaid expenses and other current assets, accounts payable and accrued expenses approximate their fair values at September 30, 2017 and December 31, 2016, due to their short-term nature.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STOCK-BASED COMPENSATION</w:t>
      </w:r>
    </w:p>
    <w:p>
      <w:pPr>
        <w:spacing w:after="0" w:line="121" w:lineRule="exact"/>
        <w:rPr>
          <w:sz w:val="20"/>
          <w:szCs w:val="20"/>
          <w:color w:val="auto"/>
        </w:rPr>
      </w:pPr>
    </w:p>
    <w:p>
      <w:pPr>
        <w:ind w:right="140" w:firstLine="456"/>
        <w:spacing w:after="0" w:line="342" w:lineRule="auto"/>
        <w:rPr>
          <w:sz w:val="20"/>
          <w:szCs w:val="20"/>
          <w:color w:val="auto"/>
        </w:rPr>
      </w:pPr>
      <w:r>
        <w:rPr>
          <w:rFonts w:ascii="Arial" w:cs="Arial" w:eastAsia="Arial" w:hAnsi="Arial"/>
          <w:sz w:val="16"/>
          <w:szCs w:val="16"/>
          <w:color w:val="auto"/>
        </w:rPr>
        <w:t>The following table presents stock-based compensation expense recognized for stock options, restricted stock units, or RSUs, performance-based restricted stock units, or PRSUs, and the Company’s employee stock purchase program, or ESPP, in the Company’s statements of operations (in thousands):</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5"/>
              </w:rPr>
              <w:t>Three Months Ended</w:t>
            </w:r>
          </w:p>
        </w:tc>
        <w:tc>
          <w:tcPr>
            <w:tcW w:w="180" w:type="dxa"/>
            <w:vAlign w:val="bottom"/>
          </w:tcPr>
          <w:p>
            <w:pPr>
              <w:spacing w:after="0"/>
              <w:rPr>
                <w:sz w:val="14"/>
                <w:szCs w:val="14"/>
                <w:color w:val="auto"/>
              </w:rPr>
            </w:pPr>
          </w:p>
        </w:tc>
        <w:tc>
          <w:tcPr>
            <w:tcW w:w="150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456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14"/>
                <w:szCs w:val="14"/>
                <w:color w:val="auto"/>
              </w:rPr>
            </w:pPr>
          </w:p>
        </w:tc>
        <w:tc>
          <w:tcPr>
            <w:tcW w:w="150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456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2017</w:t>
            </w:r>
          </w:p>
        </w:tc>
        <w:tc>
          <w:tcPr>
            <w:tcW w:w="3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2016</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Borders>
              <w:top w:val="single" w:sz="8" w:color="auto"/>
            </w:tcBorders>
          </w:tcPr>
          <w:p>
            <w:pPr>
              <w:jc w:val="right"/>
              <w:ind w:right="44"/>
              <w:spacing w:after="0" w:line="142" w:lineRule="exact"/>
              <w:rPr>
                <w:sz w:val="20"/>
                <w:szCs w:val="20"/>
                <w:color w:val="auto"/>
              </w:rPr>
            </w:pPr>
            <w:r>
              <w:rPr>
                <w:rFonts w:ascii="Arial" w:cs="Arial" w:eastAsia="Arial" w:hAnsi="Arial"/>
                <w:sz w:val="14"/>
                <w:szCs w:val="14"/>
                <w:b w:val="1"/>
                <w:bCs w:val="1"/>
                <w:color w:val="auto"/>
              </w:rPr>
              <w:t>2017</w:t>
            </w:r>
          </w:p>
        </w:tc>
        <w:tc>
          <w:tcPr>
            <w:tcW w:w="920" w:type="dxa"/>
            <w:vAlign w:val="bottom"/>
            <w:tcBorders>
              <w:top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2"/>
                <w:szCs w:val="12"/>
                <w:color w:val="auto"/>
              </w:rPr>
            </w:pPr>
          </w:p>
        </w:tc>
      </w:tr>
      <w:tr>
        <w:trPr>
          <w:trHeight w:val="210"/>
        </w:trPr>
        <w:tc>
          <w:tcPr>
            <w:tcW w:w="4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6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$ 3,361</w:t>
            </w:r>
          </w:p>
        </w:tc>
        <w:tc>
          <w:tcPr>
            <w:tcW w:w="3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$ 1,992</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w w:val="97"/>
              </w:rPr>
              <w:t>1,186</w:t>
            </w:r>
          </w:p>
        </w:tc>
        <w:tc>
          <w:tcPr>
            <w:tcW w:w="1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606</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3,640</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1,775</w:t>
            </w:r>
          </w:p>
        </w:tc>
      </w:tr>
      <w:tr>
        <w:trPr>
          <w:trHeight w:val="27"/>
        </w:trPr>
        <w:tc>
          <w:tcPr>
            <w:tcW w:w="45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4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7"/>
              </w:rPr>
              <w:t>2,102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1,291</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$ 7,001</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$ 3,767</w:t>
            </w:r>
          </w:p>
        </w:tc>
      </w:tr>
      <w:tr>
        <w:trPr>
          <w:trHeight w:val="20"/>
        </w:trPr>
        <w:tc>
          <w:tcPr>
            <w:tcW w:w="45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 January 2017, the Company granted PRSU awards to certain employees which vest upon the achievement of certain performance conditions, subject to the employees’ continued service relationship with the Company. None vested during the three and nine months ended September 30, 2017. However, the related compensation cost is recognized as an expense over the estimated</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459" w:right="2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vesting period when achievement of the milestone is considered probable. The expense recognized for these awards is based on the grant date fair value of the Company’s common stock multiplied by the number of units granted. The Company recognized $0.1 million and $0.7 million of related expense during the three and nine months ended September 30, 2017, respectively.</w:t>
      </w:r>
    </w:p>
    <w:p>
      <w:pPr>
        <w:spacing w:after="0" w:line="181"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At September 30, 2017, the Company had $15.5 million, $2.8 million, $1.1 million and $0.1 million of total unrecognized compensation expense, net of estimated forfeitures, related to stock option grants, RSU grants, PRSUs and ESPP, respectively, that will be recognized over an average vesting period of 2.6 years, 1.9 years, 1.1 years and 0.4 years, respectively.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NET LOSS PER SHARE</w:t>
      </w:r>
    </w:p>
    <w:p>
      <w:pPr>
        <w:spacing w:after="0" w:line="121"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Basic net loss per share is calculated by dividing the net loss by the weighted-average number of shares of common stock outstanding during the period. Diluted net loss per common share is computed giving effect to all potential dilutive common shares, comprising common stock issuable upon exercise of stock options and warrants, and unvested restricted common stock and restricted stock units. The Company uses the treasury-stock method to compute diluted earnings per share with respect to its stock options and warrants. For purposes of this calculation, options and warrants to purchase common stock are considered to be potential common shares and are only included in the calculation of diluted net loss per share when their effect is dilutive. Basic and diluted loss per share are calculated as follows (in thousands, except share and per share data):</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4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2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4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40" w:type="dxa"/>
            <w:vAlign w:val="bottom"/>
            <w:gridSpan w:val="5"/>
          </w:tcPr>
          <w:p>
            <w:pPr>
              <w:jc w:val="right"/>
              <w:ind w:right="1080"/>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20" w:type="dxa"/>
            <w:vAlign w:val="bottom"/>
            <w:gridSpan w:val="6"/>
          </w:tcPr>
          <w:p>
            <w:pPr>
              <w:jc w:val="right"/>
              <w:ind w:right="88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458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2017</w:t>
            </w:r>
          </w:p>
        </w:tc>
        <w:tc>
          <w:tcPr>
            <w:tcW w:w="5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r>
      <w:tr>
        <w:trPr>
          <w:trHeight w:val="196"/>
        </w:trPr>
        <w:tc>
          <w:tcPr>
            <w:tcW w:w="45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Numerator:</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580" w:type="dxa"/>
            <w:vAlign w:val="bottom"/>
          </w:tcPr>
          <w:p>
            <w:pPr>
              <w:ind w:left="360"/>
              <w:spacing w:after="0"/>
              <w:rPr>
                <w:sz w:val="20"/>
                <w:szCs w:val="20"/>
                <w:color w:val="auto"/>
              </w:rPr>
            </w:pPr>
            <w:r>
              <w:rPr>
                <w:rFonts w:ascii="Arial" w:cs="Arial" w:eastAsia="Arial" w:hAnsi="Arial"/>
                <w:sz w:val="18"/>
                <w:szCs w:val="18"/>
                <w:color w:val="auto"/>
              </w:rPr>
              <w:t>Net loss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(20,724)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(29,031)</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(74,453)</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(81,113)</w:t>
            </w:r>
          </w:p>
        </w:tc>
      </w:tr>
      <w:tr>
        <w:trPr>
          <w:trHeight w:val="20"/>
        </w:trPr>
        <w:tc>
          <w:tcPr>
            <w:tcW w:w="4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5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Denominator:</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4580" w:type="dxa"/>
            <w:vAlign w:val="bottom"/>
          </w:tcPr>
          <w:p>
            <w:pPr>
              <w:ind w:left="720"/>
              <w:spacing w:after="0" w:line="201" w:lineRule="exact"/>
              <w:rPr>
                <w:sz w:val="20"/>
                <w:szCs w:val="20"/>
                <w:color w:val="auto"/>
              </w:rPr>
            </w:pPr>
            <w:r>
              <w:rPr>
                <w:rFonts w:ascii="Arial" w:cs="Arial" w:eastAsia="Arial" w:hAnsi="Arial"/>
                <w:sz w:val="18"/>
                <w:szCs w:val="18"/>
                <w:color w:val="auto"/>
                <w:w w:val="98"/>
              </w:rPr>
              <w:t>Weighted average common shares outstanding -</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4580" w:type="dxa"/>
            <w:vAlign w:val="bottom"/>
          </w:tcPr>
          <w:p>
            <w:pPr>
              <w:ind w:left="900"/>
              <w:spacing w:after="0"/>
              <w:rPr>
                <w:sz w:val="20"/>
                <w:szCs w:val="20"/>
                <w:color w:val="auto"/>
              </w:rPr>
            </w:pPr>
            <w:r>
              <w:rPr>
                <w:rFonts w:ascii="Arial" w:cs="Arial" w:eastAsia="Arial" w:hAnsi="Arial"/>
                <w:sz w:val="18"/>
                <w:szCs w:val="18"/>
                <w:color w:val="auto"/>
              </w:rPr>
              <w:t>basic and diluted</w:t>
            </w:r>
          </w:p>
        </w:tc>
        <w:tc>
          <w:tcPr>
            <w:tcW w:w="4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47,464,310</w:t>
            </w:r>
          </w:p>
        </w:tc>
        <w:tc>
          <w:tcPr>
            <w:tcW w:w="5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44,935,126</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47,404,039</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37,706,045</w:t>
            </w:r>
          </w:p>
        </w:tc>
        <w:tc>
          <w:tcPr>
            <w:tcW w:w="100" w:type="dxa"/>
            <w:vAlign w:val="bottom"/>
          </w:tcPr>
          <w:p>
            <w:pPr>
              <w:spacing w:after="0"/>
              <w:rPr>
                <w:sz w:val="20"/>
                <w:szCs w:val="20"/>
                <w:color w:val="auto"/>
              </w:rPr>
            </w:pPr>
          </w:p>
        </w:tc>
      </w:tr>
      <w:tr>
        <w:trPr>
          <w:trHeight w:val="216"/>
        </w:trPr>
        <w:tc>
          <w:tcPr>
            <w:tcW w:w="4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loss per share - basic and diluted</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(0.44)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(0.65)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(1.57)</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(2.15)</w:t>
            </w:r>
          </w:p>
        </w:tc>
      </w:tr>
      <w:tr>
        <w:trPr>
          <w:trHeight w:val="20"/>
        </w:trPr>
        <w:tc>
          <w:tcPr>
            <w:tcW w:w="4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For the three and nine months ended September 30, 2017, the total number of securities that could potentially dilute basic net loss per share in the future that were not included in the computation of diluted net loss per share because the effect would have been antidilutive was 7.0 million and 6.6 million, respectively. For the three and nine months ended September 30, 2016, the total number of securities that could potentially dilute basic net loss per share in the future that were not included in the computation of diluted net loss per share because the effect would have been antidilutive was 4.7 million and 4.6 million, respectively.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ACCRUED AND OTHER LIABILITIES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Accrued liabilities and other liabilities consist of the following (in thousands):</w:t>
      </w:r>
    </w:p>
    <w:p>
      <w:pPr>
        <w:sectPr>
          <w:pgSz w:w="11900" w:h="16838" w:orient="portrait"/>
          <w:cols w:equalWidth="0" w:num="1">
            <w:col w:w="11400"/>
          </w:cols>
          <w:pgMar w:left="240" w:top="459" w:right="2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ind w:left="1380" w:right="440"/>
        <w:spacing w:after="0" w:line="300" w:lineRule="auto"/>
        <w:rPr>
          <w:sz w:val="20"/>
          <w:szCs w:val="20"/>
          <w:color w:val="auto"/>
        </w:rPr>
      </w:pPr>
      <w:r>
        <w:rPr>
          <w:rFonts w:ascii="Arial" w:cs="Arial" w:eastAsia="Arial" w:hAnsi="Arial"/>
          <w:sz w:val="16"/>
          <w:szCs w:val="16"/>
          <w:color w:val="auto"/>
        </w:rPr>
        <w:t>Accrued clinical and non-clinical expenses Accrued contract manufacturing</w:t>
      </w:r>
    </w:p>
    <w:p>
      <w:pPr>
        <w:ind w:left="1380" w:right="260"/>
        <w:spacing w:after="0" w:line="261" w:lineRule="auto"/>
        <w:rPr>
          <w:sz w:val="20"/>
          <w:szCs w:val="20"/>
          <w:color w:val="auto"/>
        </w:rPr>
      </w:pPr>
      <w:r>
        <w:rPr>
          <w:rFonts w:ascii="Arial" w:cs="Arial" w:eastAsia="Arial" w:hAnsi="Arial"/>
          <w:sz w:val="18"/>
          <w:szCs w:val="18"/>
          <w:color w:val="auto"/>
        </w:rPr>
        <w:t>Accrued professional and consulting services Other</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line="1" w:lineRule="exact"/>
        <w:rPr>
          <w:sz w:val="1"/>
          <w:szCs w:val="1"/>
          <w:color w:val="auto"/>
        </w:rPr>
      </w:pPr>
    </w:p>
    <w:tbl>
      <w:tblPr>
        <w:tblLayout w:type="fixed"/>
        <w:tblInd w:w="1980" w:type="dxa"/>
        <w:tblCellMar>
          <w:top w:w="0" w:type="dxa"/>
          <w:left w:w="0" w:type="dxa"/>
          <w:bottom w:w="0" w:type="dxa"/>
          <w:right w:w="0" w:type="dxa"/>
        </w:tblCellMar>
      </w:tblPr>
      <w:tr>
        <w:trPr>
          <w:trHeight w:val="171"/>
        </w:trPr>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89"/>
              </w:rPr>
              <w:t>September 30,</w:t>
            </w:r>
          </w:p>
        </w:tc>
        <w:tc>
          <w:tcPr>
            <w:tcW w:w="1520" w:type="dxa"/>
            <w:vAlign w:val="bottom"/>
            <w:gridSpan w:val="3"/>
          </w:tcPr>
          <w:p>
            <w:pPr>
              <w:ind w:left="680"/>
              <w:spacing w:after="0"/>
              <w:rPr>
                <w:sz w:val="20"/>
                <w:szCs w:val="20"/>
                <w:color w:val="auto"/>
              </w:rPr>
            </w:pPr>
            <w:r>
              <w:rPr>
                <w:rFonts w:ascii="Arial" w:cs="Arial" w:eastAsia="Arial" w:hAnsi="Arial"/>
                <w:sz w:val="14"/>
                <w:szCs w:val="14"/>
                <w:b w:val="1"/>
                <w:bCs w:val="1"/>
                <w:color w:val="auto"/>
                <w:w w:val="90"/>
              </w:rPr>
              <w:t>December 31,</w:t>
            </w:r>
          </w:p>
        </w:tc>
      </w:tr>
      <w:tr>
        <w:trPr>
          <w:trHeight w:val="142"/>
        </w:trPr>
        <w:tc>
          <w:tcPr>
            <w:tcW w:w="2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2017</w:t>
            </w:r>
          </w:p>
        </w:tc>
        <w:tc>
          <w:tcPr>
            <w:tcW w:w="68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2016</w:t>
            </w:r>
          </w:p>
        </w:tc>
      </w:tr>
      <w:tr>
        <w:trPr>
          <w:trHeight w:val="195"/>
        </w:trPr>
        <w:tc>
          <w:tcPr>
            <w:tcW w:w="20" w:type="dxa"/>
            <w:vAlign w:val="bottom"/>
          </w:tcPr>
          <w:p>
            <w:pPr>
              <w:spacing w:after="0"/>
              <w:rPr>
                <w:sz w:val="16"/>
                <w:szCs w:val="16"/>
                <w:color w:val="auto"/>
              </w:rPr>
            </w:pPr>
          </w:p>
        </w:tc>
        <w:tc>
          <w:tcPr>
            <w:tcW w:w="180" w:type="dxa"/>
            <w:vAlign w:val="bottom"/>
          </w:tcPr>
          <w:p>
            <w:pPr>
              <w:spacing w:after="0" w:line="195"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195" w:lineRule="exact"/>
              <w:rPr>
                <w:sz w:val="20"/>
                <w:szCs w:val="20"/>
                <w:color w:val="auto"/>
              </w:rPr>
            </w:pPr>
            <w:r>
              <w:rPr>
                <w:rFonts w:ascii="Arial" w:cs="Arial" w:eastAsia="Arial" w:hAnsi="Arial"/>
                <w:sz w:val="18"/>
                <w:szCs w:val="18"/>
                <w:color w:val="auto"/>
              </w:rPr>
              <w:t>6,926</w:t>
            </w:r>
          </w:p>
        </w:tc>
        <w:tc>
          <w:tcPr>
            <w:tcW w:w="680" w:type="dxa"/>
            <w:vAlign w:val="bottom"/>
          </w:tcPr>
          <w:p>
            <w:pPr>
              <w:spacing w:after="0"/>
              <w:rPr>
                <w:sz w:val="16"/>
                <w:szCs w:val="16"/>
                <w:color w:val="auto"/>
              </w:rPr>
            </w:pPr>
          </w:p>
        </w:tc>
        <w:tc>
          <w:tcPr>
            <w:tcW w:w="180" w:type="dxa"/>
            <w:vAlign w:val="bottom"/>
          </w:tcPr>
          <w:p>
            <w:pPr>
              <w:spacing w:after="0" w:line="195"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195" w:lineRule="exact"/>
              <w:rPr>
                <w:sz w:val="20"/>
                <w:szCs w:val="20"/>
                <w:color w:val="auto"/>
              </w:rPr>
            </w:pPr>
            <w:r>
              <w:rPr>
                <w:rFonts w:ascii="Arial" w:cs="Arial" w:eastAsia="Arial" w:hAnsi="Arial"/>
                <w:sz w:val="18"/>
                <w:szCs w:val="18"/>
                <w:color w:val="auto"/>
              </w:rPr>
              <w:t>6,694</w:t>
            </w: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2,895</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2,705</w:t>
            </w: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761</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322</w:t>
            </w:r>
          </w:p>
        </w:tc>
      </w:tr>
      <w:tr>
        <w:trPr>
          <w:trHeight w:val="230"/>
        </w:trPr>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w:t>
            </w:r>
          </w:p>
        </w:tc>
        <w:tc>
          <w:tcPr>
            <w:tcW w:w="6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w:t>
            </w:r>
          </w:p>
        </w:tc>
      </w:tr>
      <w:tr>
        <w:trPr>
          <w:trHeight w:val="223"/>
        </w:trPr>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11,282</w:t>
            </w:r>
          </w:p>
        </w:tc>
        <w:tc>
          <w:tcPr>
            <w:tcW w:w="68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10,405</w:t>
            </w:r>
          </w:p>
        </w:tc>
      </w:tr>
      <w:tr>
        <w:trPr>
          <w:trHeight w:val="20"/>
        </w:trPr>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-2687955</wp:posOffset>
            </wp:positionH>
            <wp:positionV relativeFrom="paragraph">
              <wp:posOffset>-736600</wp:posOffset>
            </wp:positionV>
            <wp:extent cx="5505450"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505450" cy="146050"/>
                    </a:xfrm>
                    <a:prstGeom prst="rect">
                      <a:avLst/>
                    </a:prstGeom>
                    <a:noFill/>
                  </pic:spPr>
                </pic:pic>
              </a:graphicData>
            </a:graphic>
          </wp:anchor>
        </w:drawing>
        <w:drawing>
          <wp:anchor simplePos="0" relativeHeight="251657728" behindDoc="1" locked="0" layoutInCell="0" allowOverlap="1">
            <wp:simplePos x="0" y="0"/>
            <wp:positionH relativeFrom="column">
              <wp:posOffset>-2687955</wp:posOffset>
            </wp:positionH>
            <wp:positionV relativeFrom="paragraph">
              <wp:posOffset>-454025</wp:posOffset>
            </wp:positionV>
            <wp:extent cx="550545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505450" cy="137160"/>
                    </a:xfrm>
                    <a:prstGeom prst="rect">
                      <a:avLst/>
                    </a:prstGeom>
                    <a:noFill/>
                  </pic:spPr>
                </pic:pic>
              </a:graphicData>
            </a:graphic>
          </wp:anchor>
        </w:drawing>
        <w:drawing>
          <wp:anchor simplePos="0" relativeHeight="251657728" behindDoc="1" locked="0" layoutInCell="0" allowOverlap="1">
            <wp:simplePos x="0" y="0"/>
            <wp:positionH relativeFrom="column">
              <wp:posOffset>-2687955</wp:posOffset>
            </wp:positionH>
            <wp:positionV relativeFrom="paragraph">
              <wp:posOffset>-162560</wp:posOffset>
            </wp:positionV>
            <wp:extent cx="550545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10</w:t>
      </w:r>
    </w:p>
    <w:p>
      <w:pPr>
        <w:sectPr>
          <w:pgSz w:w="11900" w:h="16838" w:orient="portrait"/>
          <w:cols w:equalWidth="0" w:num="2">
            <w:col w:w="4900" w:space="720"/>
            <w:col w:w="5780"/>
          </w:cols>
          <w:pgMar w:left="240" w:top="459" w:right="25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 Exercises</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For the three and nine months ended September 30, 2017, employees exercised options to purchase 4,833 and 33,159 shares, respectively, of the Company’s common stock, with insignificant net proceeds in the three months ended September 30, 2017, and net proceeds to the Company of approximately $0.1 million in the nine months ended September 30, 2017.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1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For the three and nine months ended September 30, 2017, the Company issued zero and 15,188 shares, respectively, of its common stock upon vesting of restricted stock units.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 February 2017, the Company sold 42,845 shares under the ESPP. The shares were purchased at a purchase price of $8.77 per share with proceeds to the Company of approximately $0.4 million. In August 2017, the Company sold 56,498 shares under the ESPP. The shares were purchased at a purchase price of $4.38 per share with proceeds to the Company of approximately $0.2 million.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Common Stock for Services</w:t>
      </w:r>
    </w:p>
    <w:p>
      <w:pPr>
        <w:spacing w:after="0" w:line="117"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For the three and nine months ended September 30, 2017, the Company issued zero and 46,858 shares, respectively, of its common stock in exchange for services performed. The shares issued for the nine months ended September 30, 2017, were valued at $0.2 million based on the fair value of the common stock on the date of grant.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CONTINGENCIES</w:t>
      </w:r>
    </w:p>
    <w:p>
      <w:pPr>
        <w:spacing w:after="0" w:line="12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From time to time the Company may be involved in claims arising in connection with its business. Based on information currently available, the Company believes that the amount, or range, of reasonably possible losses in connection with any pending actions against it in excess of established reserves, in the aggregate, not to be material to its consolidated financial condition or cash flows. However, losses may be material to the Company’s operating results for any particular future period, depending on the level of income or loss for such period.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RESTRUCTURING</w:t>
      </w:r>
    </w:p>
    <w:p>
      <w:pPr>
        <w:spacing w:after="0" w:line="12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August 2017, the Company announced a corporate restructuring plan that included a significant reduction in its workforce. As a result, the Company recorded one-time charges for employee severance benefits in the three months ended September 30, 2017, for which $0.6 million was included in research and development expenses and $0.3 million in general and administrative expenses in the Statement of Operations. Substantially all of the $0.9 million had been paid as of September 30, 2017.</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21"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in conjunction with the condensed consolidated financial statements and notes thereto included elsewhere in this report and with the audited consolidated financial statements and related notes thereto included as part of our Annual Report on Form 10-K for the year ended December 31, 2016. This discussion and analysis and other parts of this report contain forward-looking statements that involve risk and uncertainties, such as statements of our plans, objectives, expectations and intentions. Our actual results could differ materially from those discussed in these forward-looking statements. Factors that could cause or contribute to such differences include, but are not limited to, those discussed in the section of this report entitled “Risk Factors.” These forward-looking statements speak only as of the date hereof. Except as required by law, we assume no obligation to update or revise these forward-looking statements for any reason. Unless the context requires otherwise, the terms “Ardelyx,” “Company,” “we,” “us,” and “our” refer to Ardelyx, Inc.</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Ardelyx</w:t>
      </w:r>
    </w:p>
    <w:p>
      <w:pPr>
        <w:spacing w:after="0" w:line="121"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We are focused on enhancing the way patients with cardiorenal and gastrointestinal, or GI, diseases are treated by using the gut as the gateway to deliver medicines that matter. We have pioneered the development of small molecule therapeutics that act predominantly in the GI tract, thereby avoiding potentially negative side effects on the rest of the body.</w:t>
      </w:r>
    </w:p>
    <w:p>
      <w:pPr>
        <w:spacing w:after="0" w:line="154" w:lineRule="exact"/>
        <w:rPr>
          <w:sz w:val="20"/>
          <w:szCs w:val="20"/>
          <w:color w:val="auto"/>
        </w:rPr>
      </w:pPr>
    </w:p>
    <w:p>
      <w:pPr>
        <w:jc w:val="both"/>
        <w:ind w:right="280" w:firstLine="456"/>
        <w:spacing w:after="0" w:line="264" w:lineRule="auto"/>
        <w:rPr>
          <w:sz w:val="20"/>
          <w:szCs w:val="20"/>
          <w:color w:val="auto"/>
        </w:rPr>
      </w:pPr>
      <w:r>
        <w:rPr>
          <w:rFonts w:ascii="Arial" w:cs="Arial" w:eastAsia="Arial" w:hAnsi="Arial"/>
          <w:sz w:val="18"/>
          <w:szCs w:val="18"/>
          <w:color w:val="auto"/>
        </w:rPr>
        <w:t>Our strategy is to evolve from a research and development-focused company to an integrated biotechnology company, by establishing regional and global partnerships to leverage our own commercial capabilities and experience to help build our cardiorenal and GI portfolios. We are developing several products and programs focused on underserved medical needs including the following:</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Cardiorenal Portfolio</w:t>
      </w:r>
    </w:p>
    <w:p>
      <w:pPr>
        <w:spacing w:after="0" w:line="131" w:lineRule="exact"/>
        <w:rPr>
          <w:sz w:val="20"/>
          <w:szCs w:val="20"/>
          <w:color w:val="auto"/>
        </w:rPr>
      </w:pPr>
    </w:p>
    <w:p>
      <w:pPr>
        <w:ind w:left="900" w:hanging="325"/>
        <w:spacing w:after="0" w:line="259"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Tenapanor: We have successfully completed one Phase 3 clinical trial for the treatment of end-stage renal disease, or ESRD, patients on dialysis suffering from elevated serum phosphorous, or hyperphosphatemia; in an effort to optimize the potential for clinical and regulatory success in our second Phase 3 study, we are awaiting feedback from the U.S. Food and Drug Administration, or FDA, and, pending the agency’s response, we are ready to begin enrollment in this Phase 3 clinical trial.</w:t>
      </w:r>
    </w:p>
    <w:p>
      <w:pPr>
        <w:spacing w:after="0" w:line="92" w:lineRule="exact"/>
        <w:rPr>
          <w:rFonts w:ascii="Arial" w:cs="Arial" w:eastAsia="Arial" w:hAnsi="Arial"/>
          <w:sz w:val="18"/>
          <w:szCs w:val="18"/>
          <w:color w:val="auto"/>
        </w:rPr>
      </w:pPr>
    </w:p>
    <w:p>
      <w:pPr>
        <w:ind w:left="900" w:right="20" w:hanging="325"/>
        <w:spacing w:after="0" w:line="264"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RDX7675: We initiated a Phase 3 clinical trial in patients with hyperkalemia, a severe disorder of elevated serum potassium common in patients with chronic kidney disease, or CKD, and/or heart failure; we anticipate providing an update from our onset-of-action study for RDX7675 for the treatment of hyperkalemia by the end of 2017.</w:t>
      </w:r>
    </w:p>
    <w:p>
      <w:pPr>
        <w:spacing w:after="0" w:line="86" w:lineRule="exact"/>
        <w:rPr>
          <w:rFonts w:ascii="Arial" w:cs="Arial" w:eastAsia="Arial" w:hAnsi="Arial"/>
          <w:sz w:val="18"/>
          <w:szCs w:val="18"/>
          <w:color w:val="auto"/>
        </w:rPr>
      </w:pPr>
    </w:p>
    <w:p>
      <w:pPr>
        <w:ind w:left="900" w:right="380" w:hanging="325"/>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Research Programs: We are engaged in research regarding unique, small-molecule approaches to treat hyperkalemia to improve efficacy and compliance by significantly reducing pill burden.</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Gastrointestinal Portfolio</w:t>
      </w:r>
    </w:p>
    <w:p>
      <w:pPr>
        <w:spacing w:after="0" w:line="131" w:lineRule="exact"/>
        <w:rPr>
          <w:sz w:val="20"/>
          <w:szCs w:val="20"/>
          <w:color w:val="auto"/>
        </w:rPr>
      </w:pPr>
    </w:p>
    <w:p>
      <w:pPr>
        <w:ind w:left="900" w:right="360" w:hanging="325"/>
        <w:spacing w:after="0" w:line="264"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Tenapanor: We have successfully completed two Phase 3 clinical trials for the treatment of patients with irritable bowel syndrome with constipation, or IBS-C, a highly prevalent disorder with symptoms of both constipation and abdominal pain; we expect to submit a new drug application, or NDA, requesting marketing authorization from the FDA in the second half of 2018.</w:t>
      </w:r>
    </w:p>
    <w:p>
      <w:pPr>
        <w:spacing w:after="0" w:line="86" w:lineRule="exact"/>
        <w:rPr>
          <w:rFonts w:ascii="Arial" w:cs="Arial" w:eastAsia="Arial" w:hAnsi="Arial"/>
          <w:sz w:val="18"/>
          <w:szCs w:val="18"/>
          <w:color w:val="auto"/>
        </w:rPr>
      </w:pPr>
    </w:p>
    <w:p>
      <w:pPr>
        <w:ind w:left="900" w:right="260" w:hanging="325"/>
        <w:spacing w:after="0" w:line="264"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Research Programs: We have programs focused on TGR5 agonists and gut-biased farnesoid X receptors, or FXR, agonists for the treatment of various GI disorders, and are also leveraging our knowledge of the mechanisms of tenapanor in order to discover new agents that modulate transport of ions and other processes in the gut.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We recognize all research and development expenses as they are incurred to support the discovery, development and manufacturing of our product candidates. Research and development expenses consist of the following:</w:t>
      </w:r>
    </w:p>
    <w:p>
      <w:pPr>
        <w:spacing w:after="0" w:line="76" w:lineRule="exact"/>
        <w:rPr>
          <w:sz w:val="20"/>
          <w:szCs w:val="20"/>
          <w:color w:val="auto"/>
        </w:rPr>
      </w:pPr>
    </w:p>
    <w:p>
      <w:pPr>
        <w:ind w:left="900" w:right="360" w:hanging="325"/>
        <w:spacing w:after="0" w:line="264"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external research and development expenses incurred under agreements with consultants, third-party contract research organizations and investigative sites where a substantial portion of our clinical studies are conducted, and with contract manufacturing organizations where our clinical supplies are produced;</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expenses associated with supplies and materials consumed in connection with our research operations;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employee-related expenses, which include salaries, bonuses, benefits, travel and stock-based compensation;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costs associated with regulatory, clinical and non-clinical development activities; and</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540" w:hanging="325"/>
        <w:spacing w:after="0" w:line="277"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facilities and other allocated expenses, which include direct and allocated expenses for rent and maintenance of facilities, depreciation and amortization expense, information technology expense and other supplies.</w:t>
      </w:r>
    </w:p>
    <w:p>
      <w:pPr>
        <w:spacing w:after="0" w:line="170" w:lineRule="exact"/>
        <w:rPr>
          <w:sz w:val="20"/>
          <w:szCs w:val="20"/>
          <w:color w:val="auto"/>
        </w:rPr>
      </w:pPr>
    </w:p>
    <w:p>
      <w:pPr>
        <w:ind w:right="180" w:firstLine="456"/>
        <w:spacing w:after="0" w:line="273" w:lineRule="auto"/>
        <w:rPr>
          <w:sz w:val="20"/>
          <w:szCs w:val="20"/>
          <w:color w:val="auto"/>
        </w:rPr>
      </w:pPr>
      <w:r>
        <w:rPr>
          <w:rFonts w:ascii="Arial" w:cs="Arial" w:eastAsia="Arial" w:hAnsi="Arial"/>
          <w:sz w:val="17"/>
          <w:szCs w:val="17"/>
          <w:color w:val="auto"/>
        </w:rPr>
        <w:t>We expect to continue to make substantial investments in research and development activities as we progress the development of tenapanor and RDX7675, as well as our other product candidates, advance our research programs into the preclinical stage and continue our early stage research including further development of our proprietary drug discovery and design platform. The process of conducting preclinical studies and clinical trials necessary to obtain regulatory approval is costly and time consuming. We may never succeed in achieving marketing approval for any of our product candidates. The probability of success of each of the product candidates may be affected by numerous factors, including preclinical data, clinical data, our ability to access capital on acceptable terms, competition, manufacturing capability and commercial viability.</w:t>
      </w:r>
    </w:p>
    <w:p>
      <w:pPr>
        <w:spacing w:after="0" w:line="178"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The successful development of our product candidates is highly uncertain and may not result in approved products. Completion dates and completion costs can vary significantly for each product candidate and are difficult to predict. Given the uncertainty associated with clinical trial enrollment and the risks inherent in the development process, we are unable to determine the duration and completion costs of current or future clinical trials of our product candidates or if and to what extent we will generate revenues from the commercialization and sale of any of our product candidates. We anticipate that we will make determinations as to which programs to pursue and how much funding to direct to each program on an ongoing basis in response to the scientific and clinical success of each product candidate, ongoing assessments as to each product candidate’s commercial potential, and our ability to access capital on acceptable terms. We will need to raise additional capital and will seek collaboration partnerships in order to complete the development and commercialization of our product candidates, including tenapanor and RDX7675.</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General and administrative expenses consist principally of salaries and related costs, including stock-based compensation and travel expenses, for personnel in executive and other administrative functions. Other general and administrative expenses include facility related costs, communication expenses and professional fees for legal, consulting and accounting services.</w:t>
      </w:r>
    </w:p>
    <w:p>
      <w:pPr>
        <w:spacing w:after="0" w:line="18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We anticipate that our general and administrative expenses will increase substantially in the future primarily because of (i) increased pre-commercial activities to support the potential launch of tenapanor for the treatment of hyperphosphatemia in ESRD patients on dialysis and the potential launch of RDX7675 for the treatment of hyperkalemia, if and when authorized for marketing by the FDA, (ii) expenses related to costs of operating as a public company and preparing for future integrated audits, and (iii) expenses related to personnel costs including stock-based compensation and growth of personnel related to the potential launch of our cardiorenal products.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17" w:lineRule="exact"/>
        <w:rPr>
          <w:sz w:val="20"/>
          <w:szCs w:val="20"/>
          <w:color w:val="auto"/>
        </w:rPr>
      </w:pPr>
    </w:p>
    <w:p>
      <w:pPr>
        <w:ind w:right="160" w:firstLine="456"/>
        <w:spacing w:after="0" w:line="308" w:lineRule="auto"/>
        <w:rPr>
          <w:sz w:val="20"/>
          <w:szCs w:val="20"/>
          <w:color w:val="auto"/>
        </w:rPr>
      </w:pPr>
      <w:r>
        <w:rPr>
          <w:rFonts w:ascii="Arial" w:cs="Arial" w:eastAsia="Arial" w:hAnsi="Arial"/>
          <w:sz w:val="17"/>
          <w:szCs w:val="17"/>
          <w:color w:val="auto"/>
        </w:rPr>
        <w:t>We did not record a provision for income taxes for the three or nine months ended September 30, 2017, because we expect to generate a net operating loss for the year ending December 31, 2017. Our deferred tax assets continue to be fully offset by a valuation allowance.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Polices and Estimates</w:t>
      </w:r>
    </w:p>
    <w:p>
      <w:pPr>
        <w:spacing w:after="0" w:line="11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Our management’s discussion and analysis of our financial condition and results of operations is based upon our unaudited condensed consolidated financial statements, which have been prepared in accordance with United States generally accepted accounting principles, or U.S. GAAP. The preparation of these financial statements requires us to make estimates and assumptions that affect the reported amounts of assets and liabilities at the date of the financial statements, as well as the expenses incurred during the reporting periods. Our estimates are based on our historical experience and on various other factors that we believe are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We consider certain accounting policies related to research and development expense, accruals and stock-based compensation to be critical policies. There have been no changes to our critical accounting policies since we filed our 2016 Form 10-K with the SEC on February 17, 2017. For a description of our critical accounting policies, please refer to our Form 10-K we filed with the SEC on February 17, 2017.</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Three and nine months ended September 30, 2017 and 2016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Research and development expenses for the three and nine months ended September 30, 2017, as compared to same periods in the prior year, were as follows (in thousands):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4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14"/>
                <w:szCs w:val="14"/>
                <w:color w:val="auto"/>
              </w:rPr>
            </w:pPr>
          </w:p>
        </w:tc>
        <w:tc>
          <w:tcPr>
            <w:tcW w:w="2380" w:type="dxa"/>
            <w:vAlign w:val="bottom"/>
            <w:gridSpan w:val="5"/>
          </w:tcPr>
          <w:p>
            <w:pPr>
              <w:ind w:left="40"/>
              <w:spacing w:after="0"/>
              <w:rPr>
                <w:sz w:val="20"/>
                <w:szCs w:val="20"/>
                <w:color w:val="auto"/>
              </w:rPr>
            </w:pPr>
            <w:r>
              <w:rPr>
                <w:rFonts w:ascii="Arial" w:cs="Arial" w:eastAsia="Arial" w:hAnsi="Arial"/>
                <w:sz w:val="14"/>
                <w:szCs w:val="14"/>
                <w:b w:val="1"/>
                <w:bCs w:val="1"/>
                <w:color w:val="auto"/>
              </w:rPr>
              <w:t>Nine Months Ended September 30,</w:t>
            </w:r>
          </w:p>
        </w:tc>
      </w:tr>
      <w:tr>
        <w:trPr>
          <w:trHeight w:val="142"/>
        </w:trPr>
        <w:tc>
          <w:tcPr>
            <w:tcW w:w="50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7"/>
              <w:spacing w:after="0" w:line="142" w:lineRule="exact"/>
              <w:rPr>
                <w:sz w:val="20"/>
                <w:szCs w:val="20"/>
                <w:color w:val="auto"/>
              </w:rPr>
            </w:pPr>
            <w:r>
              <w:rPr>
                <w:rFonts w:ascii="Arial" w:cs="Arial" w:eastAsia="Arial" w:hAnsi="Arial"/>
                <w:sz w:val="14"/>
                <w:szCs w:val="14"/>
                <w:b w:val="1"/>
                <w:bCs w:val="1"/>
                <w:color w:val="auto"/>
              </w:rPr>
              <w:t>2017</w:t>
            </w:r>
          </w:p>
        </w:tc>
        <w:tc>
          <w:tcPr>
            <w:tcW w:w="70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9"/>
              <w:spacing w:after="0" w:line="142" w:lineRule="exact"/>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17"/>
              <w:spacing w:after="0" w:line="142" w:lineRule="exact"/>
              <w:rPr>
                <w:sz w:val="20"/>
                <w:szCs w:val="20"/>
                <w:color w:val="auto"/>
              </w:rPr>
            </w:pPr>
            <w:r>
              <w:rPr>
                <w:rFonts w:ascii="Arial" w:cs="Arial" w:eastAsia="Arial" w:hAnsi="Arial"/>
                <w:sz w:val="14"/>
                <w:szCs w:val="14"/>
                <w:b w:val="1"/>
                <w:bCs w:val="1"/>
                <w:color w:val="auto"/>
              </w:rPr>
              <w:t>2017</w:t>
            </w:r>
          </w:p>
        </w:tc>
        <w:tc>
          <w:tcPr>
            <w:tcW w:w="68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2"/>
                <w:szCs w:val="12"/>
                <w:color w:val="auto"/>
              </w:rPr>
            </w:pPr>
          </w:p>
        </w:tc>
      </w:tr>
      <w:tr>
        <w:trPr>
          <w:trHeight w:val="210"/>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15,365</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24,863</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58,325</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67,951</w:t>
            </w:r>
          </w:p>
        </w:tc>
        <w:tc>
          <w:tcPr>
            <w:tcW w:w="60" w:type="dxa"/>
            <w:vAlign w:val="bottom"/>
            <w:shd w:val="clear" w:color="auto" w:fill="CCEEFF"/>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Dollar change from prior year</w:t>
            </w:r>
          </w:p>
        </w:tc>
        <w:tc>
          <w:tcPr>
            <w:tcW w:w="120" w:type="dxa"/>
            <w:vAlign w:val="bottom"/>
          </w:tcPr>
          <w:p>
            <w:pPr>
              <w:spacing w:after="0"/>
              <w:rPr>
                <w:sz w:val="18"/>
                <w:szCs w:val="18"/>
                <w:color w:val="auto"/>
              </w:rPr>
            </w:pPr>
          </w:p>
        </w:tc>
        <w:tc>
          <w:tcPr>
            <w:tcW w:w="1480" w:type="dxa"/>
            <w:vAlign w:val="bottom"/>
            <w:gridSpan w:val="2"/>
          </w:tcPr>
          <w:p>
            <w:pPr>
              <w:jc w:val="right"/>
              <w:ind w:right="640"/>
              <w:spacing w:after="0"/>
              <w:rPr>
                <w:sz w:val="20"/>
                <w:szCs w:val="20"/>
                <w:color w:val="auto"/>
              </w:rPr>
            </w:pPr>
            <w:r>
              <w:rPr>
                <w:rFonts w:ascii="Arial" w:cs="Arial" w:eastAsia="Arial" w:hAnsi="Arial"/>
                <w:sz w:val="18"/>
                <w:szCs w:val="18"/>
                <w:color w:val="auto"/>
              </w:rPr>
              <w:t>(9,498)</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(9,626)</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Percent change from prior year</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-38%</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bl>
    <w:p>
      <w:pPr>
        <w:spacing w:after="0" w:line="134"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Research and development expenses were $15.4 million for the three months ended September 30, 2017, a decrease of $9.5 million, or 38%, compared to $24.9 million for the three months ended September 30, 2016. The decrease consisted of a $10.2 million decrease in our external program costs offset by a $0.7 million increase in our internal program costs.</w:t>
      </w:r>
    </w:p>
    <w:p>
      <w:pPr>
        <w:spacing w:after="0" w:line="114" w:lineRule="exact"/>
        <w:rPr>
          <w:sz w:val="20"/>
          <w:szCs w:val="20"/>
          <w:color w:val="auto"/>
        </w:rPr>
      </w:pPr>
    </w:p>
    <w:p>
      <w:pPr>
        <w:ind w:right="140" w:firstLine="456"/>
        <w:spacing w:after="0" w:line="279" w:lineRule="auto"/>
        <w:rPr>
          <w:sz w:val="20"/>
          <w:szCs w:val="20"/>
          <w:color w:val="auto"/>
        </w:rPr>
      </w:pPr>
      <w:r>
        <w:rPr>
          <w:rFonts w:ascii="Arial" w:cs="Arial" w:eastAsia="Arial" w:hAnsi="Arial"/>
          <w:sz w:val="17"/>
          <w:szCs w:val="17"/>
          <w:color w:val="auto"/>
        </w:rPr>
        <w:t>The decrease in our external program costs of $10.2 million was due to a decrease of $7.7 million primarily related to a decrease in expenses incurred for clinical development activities related to the completion of some of our Phase 3 clinical trials for tenapanor, as well as a decrease in clinical and process development activities. In addition, expenses incurred for clinical development activities, clinical manufacturing and process development activities associated with RDX8940 and with RDX7675 decreased by $1.5 million and $1.0 million, respectively.</w:t>
      </w:r>
    </w:p>
    <w:p>
      <w:pPr>
        <w:spacing w:after="0" w:line="9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increase in our internal costs of $0.7 million was primarily due to increases in salaries and related costs, including stock-based compensation costs, principally related to supporting the growth of our development team, and severance costs, offset by a reduction in research activities related to our early-stage programs.</w:t>
      </w:r>
    </w:p>
    <w:p>
      <w:pPr>
        <w:spacing w:after="0" w:line="114"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Research and development expenses were $58.3 million for the nine months ended September 30, 2017, a decrease of $9.6 million, or 14%, compared to $67.9 million for the nine months ended September 30, 2016. The decrease consisted of a $15.3 million decrease in our external program costs offset by a $5.7 million increase in our internal program costs.</w:t>
      </w:r>
    </w:p>
    <w:p>
      <w:pPr>
        <w:spacing w:after="0" w:line="114"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The decrease in our external program costs of $15.3 million was due to a decrease of $15.2 million primarily related to a decrease in expenses incurred for clinical development activities related to the completion of some of our Phase 3 clinical trials for tenapanor, as well as a decrease in clinical and process development activities. In addition, expenses incurred for clinical development activities, clinical manufacturing and process development activities associated with RDX8940 decreased by $1.9 million. These decreases were offset by an increase of $1.8 million in expenses incurred for clinical development activities, clinical manufacturing and process development activities associated with RDX7675.</w:t>
      </w:r>
    </w:p>
    <w:p>
      <w:pPr>
        <w:spacing w:after="0" w:line="9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increase in our internal costs of $5.7 million was primarily due to an increase in salaries and related costs, including stock-based compensation, facilities-related and other costs, principally related to supporting the growth of our development team, and severance costs.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General and administrative expenses for the three and nine months ended September 30, 2017, as compared to the same periods in the prior year, were as follows (in thousands):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2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4"/>
                <w:szCs w:val="14"/>
                <w:color w:val="auto"/>
              </w:rPr>
            </w:pPr>
          </w:p>
        </w:tc>
        <w:tc>
          <w:tcPr>
            <w:tcW w:w="2420" w:type="dxa"/>
            <w:vAlign w:val="bottom"/>
            <w:gridSpan w:val="5"/>
          </w:tcPr>
          <w:p>
            <w:pPr>
              <w:ind w:left="40"/>
              <w:spacing w:after="0"/>
              <w:rPr>
                <w:sz w:val="20"/>
                <w:szCs w:val="20"/>
                <w:color w:val="auto"/>
              </w:rPr>
            </w:pPr>
            <w:r>
              <w:rPr>
                <w:rFonts w:ascii="Arial" w:cs="Arial" w:eastAsia="Arial" w:hAnsi="Arial"/>
                <w:sz w:val="14"/>
                <w:szCs w:val="14"/>
                <w:b w:val="1"/>
                <w:bCs w:val="1"/>
                <w:color w:val="auto"/>
              </w:rPr>
              <w:t>Nine Months Ended September 30,</w:t>
            </w:r>
          </w:p>
        </w:tc>
      </w:tr>
      <w:tr>
        <w:trPr>
          <w:trHeight w:val="142"/>
        </w:trPr>
        <w:tc>
          <w:tcPr>
            <w:tcW w:w="49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17"/>
              <w:spacing w:after="0" w:line="142" w:lineRule="exact"/>
              <w:rPr>
                <w:sz w:val="20"/>
                <w:szCs w:val="20"/>
                <w:color w:val="auto"/>
              </w:rPr>
            </w:pPr>
            <w:r>
              <w:rPr>
                <w:rFonts w:ascii="Arial" w:cs="Arial" w:eastAsia="Arial" w:hAnsi="Arial"/>
                <w:sz w:val="14"/>
                <w:szCs w:val="14"/>
                <w:b w:val="1"/>
                <w:bCs w:val="1"/>
                <w:color w:val="auto"/>
              </w:rPr>
              <w:t>2017</w:t>
            </w:r>
          </w:p>
        </w:tc>
        <w:tc>
          <w:tcPr>
            <w:tcW w:w="78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2016</w:t>
            </w:r>
          </w:p>
        </w:tc>
        <w:tc>
          <w:tcPr>
            <w:tcW w:w="4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2017</w:t>
            </w:r>
          </w:p>
        </w:tc>
        <w:tc>
          <w:tcPr>
            <w:tcW w:w="7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2"/>
                <w:szCs w:val="12"/>
                <w:color w:val="auto"/>
              </w:rPr>
            </w:pPr>
          </w:p>
        </w:tc>
      </w:tr>
      <w:tr>
        <w:trPr>
          <w:trHeight w:val="210"/>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5,860</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4,337</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17,752</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13,469</w:t>
            </w:r>
          </w:p>
        </w:tc>
        <w:tc>
          <w:tcPr>
            <w:tcW w:w="60" w:type="dxa"/>
            <w:vAlign w:val="bottom"/>
            <w:shd w:val="clear" w:color="auto" w:fill="CCEEFF"/>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Dollar change from prior year</w:t>
            </w:r>
          </w:p>
        </w:tc>
        <w:tc>
          <w:tcPr>
            <w:tcW w:w="120" w:type="dxa"/>
            <w:vAlign w:val="bottom"/>
          </w:tcPr>
          <w:p>
            <w:pPr>
              <w:spacing w:after="0"/>
              <w:rPr>
                <w:sz w:val="18"/>
                <w:szCs w:val="18"/>
                <w:color w:val="auto"/>
              </w:rPr>
            </w:pPr>
          </w:p>
        </w:tc>
        <w:tc>
          <w:tcPr>
            <w:tcW w:w="1540" w:type="dxa"/>
            <w:vAlign w:val="bottom"/>
            <w:gridSpan w:val="2"/>
          </w:tcPr>
          <w:p>
            <w:pPr>
              <w:jc w:val="right"/>
              <w:ind w:right="780"/>
              <w:spacing w:after="0"/>
              <w:rPr>
                <w:sz w:val="20"/>
                <w:szCs w:val="20"/>
                <w:color w:val="auto"/>
              </w:rPr>
            </w:pPr>
            <w:r>
              <w:rPr>
                <w:rFonts w:ascii="Arial" w:cs="Arial" w:eastAsia="Arial" w:hAnsi="Arial"/>
                <w:sz w:val="18"/>
                <w:szCs w:val="18"/>
                <w:color w:val="auto"/>
              </w:rPr>
              <w:t>1,523</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740"/>
              <w:spacing w:after="0"/>
              <w:rPr>
                <w:sz w:val="20"/>
                <w:szCs w:val="20"/>
                <w:color w:val="auto"/>
              </w:rPr>
            </w:pPr>
            <w:r>
              <w:rPr>
                <w:rFonts w:ascii="Arial" w:cs="Arial" w:eastAsia="Arial" w:hAnsi="Arial"/>
                <w:sz w:val="18"/>
                <w:szCs w:val="18"/>
                <w:color w:val="auto"/>
              </w:rPr>
              <w:t>4,283</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Percent change from prior year</w:t>
            </w: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35%</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32%</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bl>
    <w:p>
      <w:pPr>
        <w:spacing w:after="0" w:line="175"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General and administrative expenses were $5.8 million for the three months ended September 30, 2017, an increase of $1.5 million, or 35%, compared to $4.3 million for the three months ended September 30, 2016. The increase was primarily due to increases in salaries and related costs, including stock-based compensation and facilities costs, due to an increase in headcount and an expansion of facilities in the second half of 2016, increased legal fees, principally related to patent applications, and severance costs due to the refocusing of resources towards late-stage programs and subsequent reduction in the workforce in the third quarter of 2017, offset by reductions in certain professional services.</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45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General and administrative expenses were $17.8 million for the nine months ended September 30, 2017, an increase of $4.3 million, or 32%, compared to $13.5 million for the nine months ended September 30, 2016. The increase was primarily due to increases in salaries and related costs, including stock-based compensation and facilities costs, due to an increase in headcount and an expansion of facilities in the second half of 2016, increased legal fees, principally related to patent applications, and severance costs due to the refocusing of resources towards late-stage programs and subsequent reduction in the workforce in the third quarter of 2017, offset by reductions in certain professional services.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following table displays a summary of our cash, cash equivalents and short-term investments as of September 30, 2017 and December 31, 2016 (in thousands):</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308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1500" w:type="dxa"/>
            <w:vAlign w:val="bottom"/>
            <w:gridSpan w:val="4"/>
          </w:tcPr>
          <w:p>
            <w:pPr>
              <w:ind w:left="600"/>
              <w:spacing w:after="0"/>
              <w:rPr>
                <w:sz w:val="20"/>
                <w:szCs w:val="20"/>
                <w:color w:val="auto"/>
              </w:rPr>
            </w:pPr>
            <w:r>
              <w:rPr>
                <w:rFonts w:ascii="Arial" w:cs="Arial" w:eastAsia="Arial" w:hAnsi="Arial"/>
                <w:sz w:val="14"/>
                <w:szCs w:val="14"/>
                <w:b w:val="1"/>
                <w:bCs w:val="1"/>
                <w:color w:val="auto"/>
                <w:w w:val="96"/>
              </w:rPr>
              <w:t>December 31,</w:t>
            </w:r>
          </w:p>
        </w:tc>
      </w:tr>
      <w:tr>
        <w:trPr>
          <w:trHeight w:val="171"/>
        </w:trPr>
        <w:tc>
          <w:tcPr>
            <w:tcW w:w="20" w:type="dxa"/>
            <w:vAlign w:val="bottom"/>
          </w:tcPr>
          <w:p>
            <w:pPr>
              <w:spacing w:after="0"/>
              <w:rPr>
                <w:sz w:val="14"/>
                <w:szCs w:val="14"/>
                <w:color w:val="auto"/>
              </w:rPr>
            </w:pPr>
          </w:p>
        </w:tc>
        <w:tc>
          <w:tcPr>
            <w:tcW w:w="4080" w:type="dxa"/>
            <w:vAlign w:val="bottom"/>
            <w:tcBorders>
              <w:bottom w:val="single" w:sz="8" w:color="CCEEFF"/>
            </w:tcBorders>
          </w:tcPr>
          <w:p>
            <w:pPr>
              <w:spacing w:after="0"/>
              <w:rPr>
                <w:sz w:val="14"/>
                <w:szCs w:val="14"/>
                <w:color w:val="auto"/>
              </w:rPr>
            </w:pPr>
          </w:p>
        </w:tc>
        <w:tc>
          <w:tcPr>
            <w:tcW w:w="2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2017</w:t>
            </w:r>
          </w:p>
        </w:tc>
        <w:tc>
          <w:tcPr>
            <w:tcW w:w="6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59,454</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74,598</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Short-term investments</w:t>
            </w:r>
          </w:p>
        </w:tc>
        <w:tc>
          <w:tcPr>
            <w:tcW w:w="2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69,834</w:t>
            </w:r>
          </w:p>
        </w:tc>
        <w:tc>
          <w:tcPr>
            <w:tcW w:w="6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126,225</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Total liquid funds</w:t>
            </w:r>
          </w:p>
        </w:tc>
        <w:tc>
          <w:tcPr>
            <w:tcW w:w="23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129,288</w:t>
            </w:r>
          </w:p>
        </w:tc>
        <w:tc>
          <w:tcPr>
            <w:tcW w:w="7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200,823</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60" w:firstLine="456"/>
        <w:spacing w:after="0" w:line="342" w:lineRule="auto"/>
        <w:rPr>
          <w:sz w:val="20"/>
          <w:szCs w:val="20"/>
          <w:color w:val="auto"/>
        </w:rPr>
      </w:pPr>
      <w:r>
        <w:rPr>
          <w:rFonts w:ascii="Arial" w:cs="Arial" w:eastAsia="Arial" w:hAnsi="Arial"/>
          <w:sz w:val="16"/>
          <w:szCs w:val="16"/>
          <w:color w:val="auto"/>
        </w:rPr>
        <w:t>Our primary uses of cash are to fund operating expenses, primarily research and development expenditures. Cash used to fund operating expenses is impacted by the timing of when we pay these expenses, as reflected in the change in our outstanding accounts payable and accrued expenses.</w:t>
      </w:r>
    </w:p>
    <w:p>
      <w:pPr>
        <w:spacing w:after="0" w:line="124"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We believe that our existing capital resources as of September 30, 2017, will be sufficient to meet our projected operating requirements for at least the next 12 months. We have based this estimate on assumptions, that may prove to be wrong, and we could utilize our available capital resources sooner than we currently expect. Further, our operating plans can change, and we will require significant additional capital to fund our operations, including to support the development, pre-commercialization and commercialization efforts for the cardiorenal products we intend to commercialize ourselves, including tenapanor for the treatment of hyperphosphatemia in ESRD patients on dialysis and RDX7675 for the treatment of hyperkalemia. We may seek to obtain such additional capital through debt financings, credit facilities, additional equity offerings and/or strategic collaborations. We currently have no credit facility or committed sources of capital, and there can be no assurances that such sources of capital will be available to us when needed or on acceptable terms. Because of the numerous risks and uncertainties associated with the development and commercialization of our product candidates, and the extent to which we may enter into collaborative partnerships with third parties to participate in their development and commercialization, we are unable to estimate the amounts of increased capital outlays and operating expenditures associated with our current and anticipated clinical studies. Our future funding requirements will depend on many factors, including the following:</w:t>
      </w:r>
    </w:p>
    <w:p>
      <w:pPr>
        <w:spacing w:after="0" w:line="88" w:lineRule="exact"/>
        <w:rPr>
          <w:sz w:val="20"/>
          <w:szCs w:val="20"/>
          <w:color w:val="auto"/>
        </w:rPr>
      </w:pPr>
    </w:p>
    <w:p>
      <w:pPr>
        <w:ind w:left="900" w:right="40" w:hanging="325"/>
        <w:spacing w:after="0" w:line="259"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progress, timing, scope, results and costs of our clinical trial programs evaluating tenapanor for the treatment of hyperphosphatemia in ESRD patients on dialysis, the completion of our Phase 3 clinical program evaluating tenapanor for the treatment of IBS-C, and the subsequent submission of an NDA with the FDA to request marketing authorization, as well as our decision whether or not to pursue other indications for tenapanor;</w:t>
      </w:r>
    </w:p>
    <w:p>
      <w:pPr>
        <w:spacing w:after="0" w:line="92"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progress, timing, scope, results and costs of our clinical programs for RDX7675;</w:t>
      </w:r>
    </w:p>
    <w:p>
      <w:pPr>
        <w:spacing w:after="0" w:line="130" w:lineRule="exact"/>
        <w:rPr>
          <w:rFonts w:ascii="Arial" w:cs="Arial" w:eastAsia="Arial" w:hAnsi="Arial"/>
          <w:sz w:val="18"/>
          <w:szCs w:val="18"/>
          <w:color w:val="auto"/>
        </w:rPr>
      </w:pPr>
    </w:p>
    <w:p>
      <w:pPr>
        <w:ind w:left="900" w:right="560" w:hanging="325"/>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time and cost necessary to obtain regulatory approvals for our product candidates and the costs of post-marketing studies that could be required by regulatory authorities;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successfully commercialize our product candidates, either alone or with one or more collaboration partners;</w:t>
      </w:r>
    </w:p>
    <w:p>
      <w:pPr>
        <w:spacing w:after="0" w:line="130" w:lineRule="exact"/>
        <w:rPr>
          <w:rFonts w:ascii="Arial" w:cs="Arial" w:eastAsia="Arial" w:hAnsi="Arial"/>
          <w:sz w:val="18"/>
          <w:szCs w:val="18"/>
          <w:color w:val="auto"/>
        </w:rPr>
      </w:pPr>
    </w:p>
    <w:p>
      <w:pPr>
        <w:ind w:left="900" w:right="240" w:hanging="325"/>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manufacturing costs of our product candidates, and the availability of one or more suppliers for our product candidates at reasonable costs, both for clinical and commercial supply;</w:t>
      </w:r>
    </w:p>
    <w:p>
      <w:pPr>
        <w:spacing w:after="0" w:line="75" w:lineRule="exact"/>
        <w:rPr>
          <w:rFonts w:ascii="Arial" w:cs="Arial" w:eastAsia="Arial" w:hAnsi="Arial"/>
          <w:sz w:val="18"/>
          <w:szCs w:val="18"/>
          <w:color w:val="auto"/>
        </w:rPr>
      </w:pPr>
    </w:p>
    <w:p>
      <w:pPr>
        <w:ind w:left="900" w:right="640" w:hanging="325"/>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selling and marketing costs associated with our product candidates, including the cost and timing of building our sales and marketing capabilities;</w:t>
      </w:r>
    </w:p>
    <w:p>
      <w:pPr>
        <w:spacing w:after="0" w:line="75"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establish and maintain collaboration partnerships to in-license or out-license our current programs or other similar arrangements and the financial terms of such agreements;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timing, receipt, and amount of sales of, or royalties on, our future products, if any;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sales price and the availability of adequate third-party reimbursement for our product candidates;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cash requirements of any future acquisitions or discovery of product candidates;</w:t>
      </w:r>
    </w:p>
    <w:p>
      <w:pPr>
        <w:spacing w:after="0" w:line="130" w:lineRule="exact"/>
        <w:rPr>
          <w:rFonts w:ascii="Arial" w:cs="Arial" w:eastAsia="Arial" w:hAnsi="Arial"/>
          <w:sz w:val="18"/>
          <w:szCs w:val="18"/>
          <w:color w:val="auto"/>
        </w:rPr>
      </w:pPr>
    </w:p>
    <w:p>
      <w:pPr>
        <w:ind w:left="900" w:right="420" w:hanging="325"/>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number and scope of research programs that we decide to pursue or initiate, and any clinical trials we decide to pursue for other product candidates;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time and cost necessary to respond to technological and market developments; and</w:t>
      </w:r>
    </w:p>
    <w:p>
      <w:pPr>
        <w:spacing w:after="0" w:line="130" w:lineRule="exact"/>
        <w:rPr>
          <w:rFonts w:ascii="Arial" w:cs="Arial" w:eastAsia="Arial" w:hAnsi="Arial"/>
          <w:sz w:val="18"/>
          <w:szCs w:val="18"/>
          <w:color w:val="auto"/>
        </w:rPr>
      </w:pPr>
    </w:p>
    <w:p>
      <w:pPr>
        <w:ind w:left="900" w:right="60" w:hanging="325"/>
        <w:spacing w:after="0" w:line="264"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costs of filing, prosecuting, maintaining, defending and enforcing any patent claims and other intellectual property rights, including litigation costs and the outcome of such litigation, including costs of defending any claims of infringement brought by others in connection with the development, manufacture or commercialization of our product candidates.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cash flows for the periods indicated (in thousands):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6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142"/>
        </w:trPr>
        <w:tc>
          <w:tcPr>
            <w:tcW w:w="62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2017</w:t>
            </w:r>
          </w:p>
        </w:tc>
        <w:tc>
          <w:tcPr>
            <w:tcW w:w="4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2"/>
                <w:szCs w:val="12"/>
                <w:color w:val="auto"/>
              </w:rPr>
            </w:pPr>
          </w:p>
        </w:tc>
      </w:tr>
      <w:tr>
        <w:trPr>
          <w:trHeight w:val="210"/>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(69,888)</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(65,786)</w:t>
            </w:r>
          </w:p>
        </w:tc>
        <w:tc>
          <w:tcPr>
            <w:tcW w:w="120" w:type="dxa"/>
            <w:vAlign w:val="bottom"/>
            <w:shd w:val="clear" w:color="auto" w:fill="CCEEFF"/>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54,069</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(71,848)</w:t>
            </w: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4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190,990</w:t>
            </w:r>
          </w:p>
        </w:tc>
        <w:tc>
          <w:tcPr>
            <w:tcW w:w="120" w:type="dxa"/>
            <w:vAlign w:val="bottom"/>
            <w:shd w:val="clear" w:color="auto" w:fill="CCEEFF"/>
          </w:tcPr>
          <w:p>
            <w:pPr>
              <w:spacing w:after="0"/>
              <w:rPr>
                <w:sz w:val="18"/>
                <w:szCs w:val="18"/>
                <w:color w:val="auto"/>
              </w:rPr>
            </w:pPr>
          </w:p>
        </w:tc>
      </w:tr>
      <w:tr>
        <w:trPr>
          <w:trHeight w:val="223"/>
        </w:trPr>
        <w:tc>
          <w:tcPr>
            <w:tcW w:w="6220" w:type="dxa"/>
            <w:vAlign w:val="bottom"/>
          </w:tcPr>
          <w:p>
            <w:pPr>
              <w:spacing w:after="0"/>
              <w:rPr>
                <w:sz w:val="20"/>
                <w:szCs w:val="20"/>
                <w:color w:val="auto"/>
              </w:rPr>
            </w:pPr>
            <w:r>
              <w:rPr>
                <w:rFonts w:ascii="Arial" w:cs="Arial" w:eastAsia="Arial" w:hAnsi="Arial"/>
                <w:sz w:val="18"/>
                <w:szCs w:val="18"/>
                <w:color w:val="auto"/>
              </w:rPr>
              <w:t>Net (decrease) increase in cash and cash equivalents</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(15,144</w:t>
            </w:r>
          </w:p>
        </w:tc>
        <w:tc>
          <w:tcPr>
            <w:tcW w:w="460" w:type="dxa"/>
            <w:vAlign w:val="bottom"/>
          </w:tcPr>
          <w:p>
            <w:pPr>
              <w:jc w:val="right"/>
              <w:ind w:right="380"/>
              <w:spacing w:after="0"/>
              <w:rPr>
                <w:sz w:val="20"/>
                <w:szCs w:val="20"/>
                <w:color w:val="auto"/>
              </w:rPr>
            </w:pPr>
            <w:r>
              <w:rPr>
                <w:rFonts w:ascii="Arial" w:cs="Arial" w:eastAsia="Arial" w:hAnsi="Arial"/>
                <w:sz w:val="8"/>
                <w:szCs w:val="8"/>
                <w:color w:val="auto"/>
                <w:w w:val="73"/>
              </w:rPr>
              <w:t>)</w:t>
            </w: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53,356</w:t>
            </w:r>
          </w:p>
        </w:tc>
        <w:tc>
          <w:tcPr>
            <w:tcW w:w="120" w:type="dxa"/>
            <w:vAlign w:val="bottom"/>
          </w:tcPr>
          <w:p>
            <w:pPr>
              <w:spacing w:after="0"/>
              <w:rPr>
                <w:sz w:val="19"/>
                <w:szCs w:val="19"/>
                <w:color w:val="auto"/>
              </w:rPr>
            </w:pPr>
          </w:p>
        </w:tc>
      </w:tr>
      <w:tr>
        <w:trPr>
          <w:trHeight w:val="20"/>
        </w:trPr>
        <w:tc>
          <w:tcPr>
            <w:tcW w:w="6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121"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Net cash used in operating activities during the nine months ended September 30, 2017, was approximately $69.9 million. The net loss of $74.5 million was adjusted for (i) non-cash charges of $2.5 million for depreciation and amortization and $7.2 million for stock-based compensation and issuance of shares for services, (ii) a decrease in prepaid expenses, primarily advances to vendors for clinical development and manufacturing activities, of $2.4 million and</w:t>
      </w:r>
    </w:p>
    <w:p>
      <w:pPr>
        <w:ind w:right="740" w:firstLine="8"/>
        <w:spacing w:after="0" w:line="261" w:lineRule="auto"/>
        <w:tabs>
          <w:tab w:leader="none" w:pos="3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decrease of accounts payable and accrued liabilities of $2.7 million primarily due to expenses incurred for the clinical manufacturing, process development, and clinical development activities for tenapanor and RDX7675.</w:t>
      </w:r>
    </w:p>
    <w:p>
      <w:pPr>
        <w:spacing w:after="0" w:line="184"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Net cash used in operating activities during the nine months ended September 30, 2016, was approximately $65.8 million. The net loss of $81.1 million was adjusted for (i) an increase in accounts payable and accrued liabilities of $9.3 million due to expenses incurred for the clinical manufacturing, process development, and clinical development activities for tenapanor, RDX7675 and RDX8940, (ii) non-cash charges of $1.3 million for depreciation and amortization and $4.0 million for stock-based compensation and issuance of shares for services and (iii) advance payments of $0.7 million to vendors for clinical development and manufacturing activities.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12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Net cash provided by investing activities was $54.1 million for the nine months ended September 30, 2017, primarily due to maturities and sales, less purchases, of short-term investments of $56.4 million. This was offset by the acquisition of property and equipment of $2.3 million related to the purchase of laboratory equipment and leasehold improvements.</w:t>
      </w:r>
    </w:p>
    <w:p>
      <w:pPr>
        <w:spacing w:after="0" w:line="181" w:lineRule="exact"/>
        <w:rPr>
          <w:sz w:val="20"/>
          <w:szCs w:val="20"/>
          <w:color w:val="auto"/>
        </w:rPr>
      </w:pPr>
    </w:p>
    <w:p>
      <w:pPr>
        <w:jc w:val="both"/>
        <w:ind w:right="540" w:firstLine="456"/>
        <w:spacing w:after="0" w:line="342" w:lineRule="auto"/>
        <w:rPr>
          <w:sz w:val="20"/>
          <w:szCs w:val="20"/>
          <w:color w:val="auto"/>
        </w:rPr>
      </w:pPr>
      <w:r>
        <w:rPr>
          <w:rFonts w:ascii="Arial" w:cs="Arial" w:eastAsia="Arial" w:hAnsi="Arial"/>
          <w:sz w:val="16"/>
          <w:szCs w:val="16"/>
          <w:color w:val="auto"/>
        </w:rPr>
        <w:t>Net cash used in investing activities was $71.8 million for the nine months ended September 30, 2016, primarily due to purchases of marketable securities of $69.7 million and acquisition of property and equipment of $2.1 million related to the expansion of our laboratory and related equipment.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12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Net cash provided by financing activities for the nine months ended September 30, 2017, was $0.7 million, due to proceeds from issuance of common stock under stock plans.</w:t>
      </w:r>
    </w:p>
    <w:p>
      <w:pPr>
        <w:spacing w:after="0" w:line="170" w:lineRule="exact"/>
        <w:rPr>
          <w:sz w:val="20"/>
          <w:szCs w:val="20"/>
          <w:color w:val="auto"/>
        </w:rPr>
      </w:pPr>
    </w:p>
    <w:p>
      <w:pPr>
        <w:ind w:right="680" w:firstLine="456"/>
        <w:spacing w:after="0" w:line="342" w:lineRule="auto"/>
        <w:rPr>
          <w:sz w:val="20"/>
          <w:szCs w:val="20"/>
          <w:color w:val="auto"/>
        </w:rPr>
      </w:pPr>
      <w:r>
        <w:rPr>
          <w:rFonts w:ascii="Arial" w:cs="Arial" w:eastAsia="Arial" w:hAnsi="Arial"/>
          <w:sz w:val="16"/>
          <w:szCs w:val="16"/>
          <w:color w:val="auto"/>
        </w:rPr>
        <w:t>Net cash provided by financing activities for the nine months ended September 30, 2016, was $191.0 million, primarily due to net proceeds of $80.8 million from a public offering of common stock in January 2016 and of $109.8 million from a private placement transaction in July 2016.</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59"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Refer to Note 2 in the notes to our unaudited interim condensed consolidated financial statements in Part I, Item 1 of this Quarterly Report on Form 10-Q, for a discussion of recent accounting pronouncements.</w:t>
      </w:r>
    </w:p>
    <w:p>
      <w:pPr>
        <w:spacing w:after="0" w:line="3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There have been no material changes in the sources and effects of our market risk compared to the disclosures in Item 7A of our 2016 Form 10-K.</w:t>
      </w:r>
    </w:p>
    <w:p>
      <w:pPr>
        <w:spacing w:after="0" w:line="39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right="120" w:firstLine="456"/>
        <w:spacing w:after="0" w:line="272" w:lineRule="auto"/>
        <w:rPr>
          <w:sz w:val="20"/>
          <w:szCs w:val="20"/>
          <w:color w:val="auto"/>
        </w:rPr>
      </w:pPr>
      <w:r>
        <w:rPr>
          <w:rFonts w:ascii="Arial" w:cs="Arial" w:eastAsia="Arial" w:hAnsi="Arial"/>
          <w:sz w:val="17"/>
          <w:szCs w:val="17"/>
          <w:color w:val="auto"/>
        </w:rPr>
        <w:t>As required by Rule 13a-15(b) under the Securities Exchange Act of 1934, as amended (the “Exchange Act”), our management, under the supervision and with the participation of our principal executive officer and principal accounting and financial officer, has evaluated the effectiveness of the design and operation of our disclosure controls and procedures (as such term is defined in Rules 13a-15(e) and 15d-15(e) under the Exchange Act) as of September 30, 2017. 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such evaluation, our principal executive officer and principal accounting and financial officer have concluded that, as of September 30, 2017, our disclosure controls and procedures were effective at a reasonable assurance level.</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quarter ended September 30, 2017, that have materially affected, or are reasonably likely to materially affect, our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Inherent Limitations on Effectiveness of Controls</w:t>
      </w:r>
    </w:p>
    <w:p>
      <w:pPr>
        <w:spacing w:after="0" w:line="11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Internal control over financial reporting has inherent limitations. Internal control over financial reporting is a process that involves human diligence and compliance and is subject to lapses in judgment and breakdowns resulting from human failures. Internal control over financial reporting also can be circumvented by collusion or improper management override. Because of such limitations, there is a risk that material misstatements will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121" w:lineRule="exact"/>
        <w:rPr>
          <w:sz w:val="20"/>
          <w:szCs w:val="20"/>
          <w:color w:val="auto"/>
        </w:rPr>
      </w:pPr>
    </w:p>
    <w:p>
      <w:pPr>
        <w:ind w:right="40" w:firstLine="456"/>
        <w:spacing w:after="0" w:line="308" w:lineRule="auto"/>
        <w:rPr>
          <w:sz w:val="20"/>
          <w:szCs w:val="20"/>
          <w:color w:val="auto"/>
        </w:rPr>
      </w:pPr>
      <w:r>
        <w:rPr>
          <w:rFonts w:ascii="Arial" w:cs="Arial" w:eastAsia="Arial" w:hAnsi="Arial"/>
          <w:sz w:val="17"/>
          <w:szCs w:val="17"/>
          <w:color w:val="auto"/>
        </w:rPr>
        <w:t>From time to time, we may be involved in legal proceedings arising in the ordinary course of business. As of September 30, 2017, there is no litigation pending that would reasonably be expected to have a material adverse effect on our results of operations and financial condition.</w:t>
      </w:r>
    </w:p>
    <w:p>
      <w:pPr>
        <w:spacing w:after="0" w:line="1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i w:val="1"/>
          <w:iCs w:val="1"/>
          <w:color w:val="auto"/>
        </w:rPr>
        <w:t>Our business involves significant risks, some of which are described below. You should carefully consider these risks, as well as other information in this Quarterly Report on Form 10-Q, including our financial statements and the related notes and “Management’s Discussion and Analysis of Financial Condition and Results of Operations.” The occurrence of any of the events or developments described below could harm our business, financial condition, results of operations, cash flows, the trading price of our common stock and our growth prospects. Additional risks and uncertainties not presently known to us or that we currently deem immaterial may also impair our business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Limited Operating History, Financial Condition and Capital Requirements</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have a limited operating history, have incurred significant losses since our inception and we will incur losses in the future, which makes it difficult to assess our future viability.</w:t>
      </w:r>
    </w:p>
    <w:p>
      <w:pPr>
        <w:spacing w:after="0" w:line="14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are a clinical-stage biopharmaceutical company with a limited operating history. Biopharmaceutical product development is a highly speculative undertaking and involves a substantial degree of risk. To date, we have focused substantially all of our efforts on our research and development activities, including developing our clinical product candidates, tenapanor and RDX7675, and developing our proprietary drug discovery and design platform. To date, we have not commercialized any products or generated any revenue from the sale of products.</w:t>
      </w:r>
    </w:p>
    <w:p>
      <w:pPr>
        <w:spacing w:after="0" w:line="146"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We are not profitable and have incurred losses in each year since our inception in October 2007, and we do not know whether or when we will become profitable. We have only a limited operating history upon which to evaluate our business and prospects. We continue to incur significant research, development and other expenses related to our ongoing operations. As of September 30, 2017, we had an accumulated deficit of $288.3 million.</w:t>
      </w:r>
    </w:p>
    <w:p>
      <w:pPr>
        <w:spacing w:after="0" w:line="106"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We expect that our operating losses will substantially increase for the foreseeable future as we prepare for the potential commercialization of tenapanor and RDX7675, incur manufacturing and development costs for tenapanor and RDX7675, including costs associated with completing the ongoing Phase 3 development of tenapanor in IBS-C and in hyperphosphatemia, preparing the new drug application, or NDA, for submission to the U.S. Food and Drug Administration, or FDA, to request marketing authorization for tenapanor for the treatment of patients with IBS-C, completing the ongoing onset-of-action trial and the Phase 3 clinical trial for RDX7675, and continuing our discovery and research activities.</w:t>
      </w:r>
    </w:p>
    <w:p>
      <w:pPr>
        <w:spacing w:after="0" w:line="146"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Our prior losses, combined with expected future losses, have had and will continue to have an adverse effect on our stockholders’ equity and working capital. Further, the net losses we incur may fluctuate significantly from quarter to quarter and year to year, such that a period-to-period comparison of our results of operations may not be a good indication of our future performance.</w:t>
      </w:r>
    </w:p>
    <w:p>
      <w:pPr>
        <w:spacing w:after="0" w:line="141"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We have substantial net operating loss and tax credit carryforwards for Federal and California income tax purposes. Such net operating losses and tax credits carryforwards may be reduced as a result of certain intercompany restructuring transactions. In addition, the future utilization of such net operating loss and tax credit carryforwards and credits will be subject to limitations, pursuant to Internal Revenue Code Sections 382 and 383, as a result of ownership changes that have occurred previously and additional limitations may be applicable as a result of ownership changes that could occur in the future.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never generated any revenue from product sales and may never be profitable.</w:t>
      </w:r>
    </w:p>
    <w:p>
      <w:pPr>
        <w:spacing w:after="0" w:line="185"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We have no products approved for sale and have never generated any revenue from product sales. Our ability to generate revenue from product sales and achieve profitability depends on our ability to successfully complete the development of and obtain the regulatory and marketing approvals necessary to commercialize one or more of our product candidates. We do not anticipate generating revenue from product sales for the foreseeable future. Our ability to generate future revenue from product sales or pursuant to milestone payments depends heavily on many factors, including but not limited to:</w:t>
      </w:r>
    </w:p>
    <w:p>
      <w:pPr>
        <w:spacing w:after="0" w:line="60" w:lineRule="exact"/>
        <w:rPr>
          <w:sz w:val="20"/>
          <w:szCs w:val="20"/>
          <w:color w:val="auto"/>
        </w:rPr>
      </w:pPr>
    </w:p>
    <w:p>
      <w:pPr>
        <w:ind w:left="5620" w:right="3780" w:hanging="5045"/>
        <w:spacing w:after="0" w:line="449" w:lineRule="auto"/>
        <w:tabs>
          <w:tab w:leader="none" w:pos="896"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successful completion of nonclinical and clinical development of our product candidates; 18</w:t>
      </w:r>
    </w:p>
    <w:p>
      <w:pPr>
        <w:sectPr>
          <w:pgSz w:w="11900" w:h="16838" w:orient="portrait"/>
          <w:cols w:equalWidth="0" w:num="1">
            <w:col w:w="11360"/>
          </w:cols>
          <w:pgMar w:left="240" w:top="459" w:right="2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obtaining regulatory approvals for our product candidates, either on our own, or with one or more collaboration partners;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successfully commercialize our product candidates, either on our own, or with one or more collaboration partners;</w:t>
      </w:r>
    </w:p>
    <w:p>
      <w:pPr>
        <w:spacing w:after="0" w:line="90" w:lineRule="exact"/>
        <w:rPr>
          <w:rFonts w:ascii="Arial" w:cs="Arial" w:eastAsia="Arial" w:hAnsi="Arial"/>
          <w:sz w:val="18"/>
          <w:szCs w:val="18"/>
          <w:color w:val="auto"/>
        </w:rPr>
      </w:pPr>
    </w:p>
    <w:p>
      <w:pPr>
        <w:ind w:left="900" w:right="200" w:hanging="325"/>
        <w:spacing w:after="0" w:line="264"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developing a sustainable and scalable manufacturing process for any approved product candidates and establishing and maintaining supply and manufacturing relationships with third parties that can provide an adequate (in amount and quality) supply of product to support clinical development and the market demand for our product candidates, if approved;</w:t>
      </w:r>
    </w:p>
    <w:p>
      <w:pPr>
        <w:spacing w:after="0" w:line="46"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obtaining market acceptance of our product candidates, if approved, as viable treatment options;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addressing any competing technological and market developments;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identifying, assessing, acquiring, in licensing and/or developing new product candidates;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negotiating favorable terms in any collaboration partnership, licensing or other arrangements into which we may enter;</w:t>
      </w:r>
    </w:p>
    <w:p>
      <w:pPr>
        <w:spacing w:after="0" w:line="90" w:lineRule="exact"/>
        <w:rPr>
          <w:rFonts w:ascii="Arial" w:cs="Arial" w:eastAsia="Arial" w:hAnsi="Arial"/>
          <w:sz w:val="18"/>
          <w:szCs w:val="18"/>
          <w:color w:val="auto"/>
        </w:rPr>
      </w:pPr>
    </w:p>
    <w:p>
      <w:pPr>
        <w:ind w:left="900" w:right="140" w:hanging="325"/>
        <w:spacing w:after="0" w:line="264"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maintaining, protecting, and expanding our portfolio of intellectual property rights, including patents, trade secrets, and know-how, and our ability to develop, manufacture and commercialize our product candidates and products without infringing intellectual property rights of others; and</w:t>
      </w:r>
    </w:p>
    <w:p>
      <w:pPr>
        <w:spacing w:after="0" w:line="46"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19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cases where we are successful in obtaining regulatory approvals to market one or more of our product candidates, our revenue will be dependent, in part, upon the size of the markets in the territories for which regulatory approval is granted, the accepted price for the product, the ability to get reimbursement at any price and whether we are commercializing the product or the product is being commercialized by a collaboration partner, and in such case, whether we have royalty and/or co-promotion rights for that territory. If the number of patients suitable for our product candidates is not as significant as we estimate, the indication approved by regulatory authorities is narrower than we expect, or the reasonably accepted population for treatment is narrowed by competition, physician choice or treatment guidelines, we may not generate significant revenue from the sale of such products, even if approved. Even if we achieve profitability in the future, we may not be able to sustain profitability in subsequent periods. Our failure to generate revenue from product sales would likely depress our market value and could impair our ability to raise capital, expand our business, discover or develop other product candidates or continue our operations. A decline in the value of our common stock could cause our stockholders to lose all or part of their investment.</w:t>
      </w:r>
    </w:p>
    <w:p>
      <w:pPr>
        <w:spacing w:after="0" w:line="126"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b w:val="1"/>
          <w:bCs w:val="1"/>
          <w:i w:val="1"/>
          <w:iCs w:val="1"/>
          <w:color w:val="auto"/>
        </w:rPr>
        <w:t>We will require substantial additional financing to achieve our goals, and the inability to access this necessary capital when needed on acceptable terms, or at all, could force us to delay, limit, reduce or terminate our planned clinical programs for RDX7675, our pre-commercialization efforts for tenapanor or RDX7675, or our other product development and platform development activities.</w:t>
      </w:r>
    </w:p>
    <w:p>
      <w:pPr>
        <w:spacing w:after="0" w:line="18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Since our inception, most of our resources have been dedicated to our research and development activities, including developing our clinical product candidates, tenapanor and RDX7675, and developing our proprietary drug discovery and design platform. We believe that we will continue to expend substantial resources for the foreseeable future, including costs associated with conducting the clinical programs for tenapanor and RDX7675, research and development, conducting preclinical studies and clinical trials for our other programs, obtaining regulatory approvals, developing and maintaining scalable manufacturing processes for our product candidates and sales and marketing. Because the outcome of any clinical trial and/or regulatory approval process is highly uncertain, we cannot reasonably estimate the actual amounts necessary to successfully complete the development, regulatory approval process and commercialization or co-promotion of any of our product candidates. Our future funding requirements will depend on many factors, including, but not limited to:</w:t>
      </w:r>
    </w:p>
    <w:p>
      <w:pPr>
        <w:spacing w:after="0" w:line="57" w:lineRule="exact"/>
        <w:rPr>
          <w:sz w:val="20"/>
          <w:szCs w:val="20"/>
          <w:color w:val="auto"/>
        </w:rPr>
      </w:pPr>
    </w:p>
    <w:p>
      <w:pPr>
        <w:ind w:left="900" w:right="40" w:hanging="325"/>
        <w:spacing w:after="0" w:line="259"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progress, timing, scope, results and costs of our clinical trial programs evaluating tenapanor for the treatment of hyperphosphatemia in ESRD patients on dialysis, the completion of our Phase 3 clinical program evaluating tenapanor for the treatment of IBS-C, and the subsequent submission of an NDA with the FDA to request marketing authorization, as well as our decision whether or not to pursue other indications for tenapanor;</w:t>
      </w:r>
    </w:p>
    <w:p>
      <w:pPr>
        <w:spacing w:after="0" w:line="51"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progress, timing, scope, results and costs of our clinical programs for RDX7675;</w:t>
      </w:r>
    </w:p>
    <w:p>
      <w:pPr>
        <w:spacing w:after="0" w:line="90" w:lineRule="exact"/>
        <w:rPr>
          <w:rFonts w:ascii="Arial" w:cs="Arial" w:eastAsia="Arial" w:hAnsi="Arial"/>
          <w:sz w:val="18"/>
          <w:szCs w:val="18"/>
          <w:color w:val="auto"/>
        </w:rPr>
      </w:pPr>
    </w:p>
    <w:p>
      <w:pPr>
        <w:ind w:left="900" w:right="560" w:hanging="325"/>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time and cost necessary to obtain regulatory approvals for our product candidates and the costs of post-marketing studies that could be required by regulatory authorities;</w:t>
      </w:r>
    </w:p>
    <w:p>
      <w:pPr>
        <w:spacing w:after="0" w:line="35"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successfully commercialize our product candidates, either alone or with one or more collaboration partners;</w:t>
      </w:r>
    </w:p>
    <w:p>
      <w:pPr>
        <w:spacing w:after="0" w:line="90" w:lineRule="exact"/>
        <w:rPr>
          <w:rFonts w:ascii="Arial" w:cs="Arial" w:eastAsia="Arial" w:hAnsi="Arial"/>
          <w:sz w:val="18"/>
          <w:szCs w:val="18"/>
          <w:color w:val="auto"/>
        </w:rPr>
      </w:pPr>
    </w:p>
    <w:p>
      <w:pPr>
        <w:ind w:left="900" w:right="240" w:hanging="325"/>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manufacturing costs of our product candidates, and the availability of one or more suppliers for our product candidates at reasonable costs, both for clinical and commercial supply;</w:t>
      </w:r>
    </w:p>
    <w:p>
      <w:pPr>
        <w:spacing w:after="0" w:line="35" w:lineRule="exact"/>
        <w:rPr>
          <w:rFonts w:ascii="Arial" w:cs="Arial" w:eastAsia="Arial" w:hAnsi="Arial"/>
          <w:sz w:val="18"/>
          <w:szCs w:val="18"/>
          <w:color w:val="auto"/>
        </w:rPr>
      </w:pPr>
    </w:p>
    <w:p>
      <w:pPr>
        <w:ind w:left="900" w:right="640" w:hanging="325"/>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selling and marketing costs associated with our product candidates, including the cost and timing of building our sales and marketing capabilities, should we elect to do so;</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260" w:hanging="325"/>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establish and maintain collaboration partnerships, in-license/out-license or other similar arrangements and the financial terms of such agreements;</w:t>
      </w:r>
    </w:p>
    <w:p>
      <w:pPr>
        <w:spacing w:after="0" w:line="35"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receipt, and amount of sales of, or royalties on, our future products, if 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sales price and the availability of adequate third-party reimbursement for our product candidates;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cash requirements of any future acquisitions or discovery of product candidates;</w:t>
      </w:r>
    </w:p>
    <w:p>
      <w:pPr>
        <w:spacing w:after="0" w:line="90"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number and scope of preclinical and discovery programs that we decide to pursue or initiate, and any clinical trials we decide to pursue for other product candidates;</w:t>
      </w:r>
    </w:p>
    <w:p>
      <w:pPr>
        <w:spacing w:after="0" w:line="35"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time and cost necessary to respond to technological and market developments; and</w:t>
      </w:r>
    </w:p>
    <w:p>
      <w:pPr>
        <w:spacing w:after="0" w:line="90" w:lineRule="exact"/>
        <w:rPr>
          <w:rFonts w:ascii="Arial" w:cs="Arial" w:eastAsia="Arial" w:hAnsi="Arial"/>
          <w:sz w:val="18"/>
          <w:szCs w:val="18"/>
          <w:color w:val="auto"/>
        </w:rPr>
      </w:pPr>
    </w:p>
    <w:p>
      <w:pPr>
        <w:ind w:left="900" w:right="20" w:hanging="325"/>
        <w:spacing w:after="0" w:line="264"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of filing, prosecuting, maintaining, defending and enforcing any patent claims and other intellectual property rights, including litigation costs and the outcome of such litigation, including costs of defending any claims of infringement brought by others in connection with the development, manufacture or commercialization of our product candidates.</w:t>
      </w:r>
    </w:p>
    <w:p>
      <w:pPr>
        <w:spacing w:after="0" w:line="154"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Additional funds may not be available when we need them on terms that are acceptable to us, or at all. If adequate funds are not available to us on a timely basis, we may be required to delay, limit, reduce or terminate the clinical development of RDX7675, delay, limit, reduce or terminate our research activities, preclinical and clinical trials for our other product candidates and our establishment and maintenance of sales and marketing capabilities or other activities that may be necessary to commercialize our product candidates, either alone or with a collaboration partner.</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are substantially dependent on the success of our lead product candidate, tenapanor, which may not be successful in nonclinical studies or clinical trials, receive regulatory approval or be successfully commercialized.</w:t>
      </w:r>
    </w:p>
    <w:p>
      <w:pPr>
        <w:spacing w:after="0" w:line="170"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To date, we have invested a significant amount of our efforts and financial resources in the research and development of tenapanor, which is currently our lead product candidate and one of only two product candidates in clinical trials. The clinical and commercial success of tenapanor will depend on a number of factors, including the following:</w:t>
      </w:r>
    </w:p>
    <w:p>
      <w:pPr>
        <w:spacing w:after="0" w:line="46" w:lineRule="exact"/>
        <w:rPr>
          <w:sz w:val="20"/>
          <w:szCs w:val="20"/>
          <w:color w:val="auto"/>
        </w:rPr>
      </w:pPr>
    </w:p>
    <w:p>
      <w:pPr>
        <w:ind w:left="900" w:right="800" w:hanging="325"/>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in a timely manner and under terms that are acceptable to us, to establish one or more collaborative relationships for the commercialization of tenapanor;</w:t>
      </w:r>
    </w:p>
    <w:p>
      <w:pPr>
        <w:spacing w:after="0" w:line="35" w:lineRule="exact"/>
        <w:rPr>
          <w:rFonts w:ascii="Arial" w:cs="Arial" w:eastAsia="Arial" w:hAnsi="Arial"/>
          <w:sz w:val="18"/>
          <w:szCs w:val="18"/>
          <w:color w:val="auto"/>
        </w:rPr>
      </w:pPr>
    </w:p>
    <w:p>
      <w:pPr>
        <w:ind w:left="900" w:right="340" w:hanging="325"/>
        <w:spacing w:after="0" w:line="264"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ability of the third-party manufacturers we contract with to successfully execute and scale up the manufacturing processes for tenapanor, which has not yet been demonstrated, and to manufacture supplies of tenapanor and to develop, validate and maintain commercially viable manufacturing processes that are compliant with cGMP, requirements;</w:t>
      </w:r>
    </w:p>
    <w:p>
      <w:pPr>
        <w:spacing w:after="0" w:line="46"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whether the FDA or foreign regulatory authorities require additional nonclinical and/or clinical studies, which could delay the commercialization of tenapanor;</w:t>
      </w:r>
    </w:p>
    <w:p>
      <w:pPr>
        <w:spacing w:after="0" w:line="35" w:lineRule="exact"/>
        <w:rPr>
          <w:rFonts w:ascii="Arial" w:cs="Arial" w:eastAsia="Arial" w:hAnsi="Arial"/>
          <w:sz w:val="18"/>
          <w:szCs w:val="18"/>
          <w:color w:val="auto"/>
        </w:rPr>
      </w:pPr>
    </w:p>
    <w:p>
      <w:pPr>
        <w:ind w:left="900" w:right="60" w:hanging="325"/>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whether the FDA or foreign regulatory authorities require us to conduct clinical trials in addition to those anticipated prior to approval to market tenapanor;</w:t>
      </w:r>
    </w:p>
    <w:p>
      <w:pPr>
        <w:spacing w:after="0" w:line="35"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whether we will be required to conduct clinical trials in addition to those anticipated to obtain adequate commercial pricing;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prevalence and severity of adverse side effects of tenapanor;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whether tenapanor’s safety and efficacy profile is satisfactory to the FDA and foreign regulatory authorities to gain marketing approval;</w:t>
      </w:r>
    </w:p>
    <w:p>
      <w:pPr>
        <w:spacing w:after="0" w:line="101" w:lineRule="exact"/>
        <w:rPr>
          <w:rFonts w:ascii="Arial" w:cs="Arial" w:eastAsia="Arial" w:hAnsi="Arial"/>
          <w:sz w:val="17"/>
          <w:szCs w:val="17"/>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timely receipt of necessary marketing approvals from the FDA and foreign regulatory authorities;</w:t>
      </w:r>
    </w:p>
    <w:p>
      <w:pPr>
        <w:spacing w:after="0" w:line="90" w:lineRule="exact"/>
        <w:rPr>
          <w:rFonts w:ascii="Arial" w:cs="Arial" w:eastAsia="Arial" w:hAnsi="Arial"/>
          <w:sz w:val="18"/>
          <w:szCs w:val="18"/>
          <w:color w:val="auto"/>
        </w:rPr>
      </w:pPr>
    </w:p>
    <w:p>
      <w:pPr>
        <w:ind w:left="900" w:right="20" w:hanging="325"/>
        <w:spacing w:after="0" w:line="308" w:lineRule="auto"/>
        <w:tabs>
          <w:tab w:leader="none" w:pos="9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our ability, either alone, or with a collaboration partner, to successfully commercialize tenapanor, if approved for marketing and sale by the FDA or foreign regulatory authorities, including educating physicians and patients about the benefits, administration and use of tenapanor;</w:t>
      </w:r>
    </w:p>
    <w:p>
      <w:pPr>
        <w:spacing w:after="0" w:line="11" w:lineRule="exact"/>
        <w:rPr>
          <w:rFonts w:ascii="Arial" w:cs="Arial" w:eastAsia="Arial" w:hAnsi="Arial"/>
          <w:sz w:val="17"/>
          <w:szCs w:val="17"/>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achieving and maintaining compliance with all regulatory requirements applicable to tenapanor;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acceptance of tenapanor as safe, effective and well-tolerated by patients and the medical community;</w:t>
      </w:r>
    </w:p>
    <w:p>
      <w:pPr>
        <w:spacing w:after="0" w:line="90" w:lineRule="exact"/>
        <w:rPr>
          <w:rFonts w:ascii="Arial" w:cs="Arial" w:eastAsia="Arial" w:hAnsi="Arial"/>
          <w:sz w:val="18"/>
          <w:szCs w:val="18"/>
          <w:color w:val="auto"/>
        </w:rPr>
      </w:pPr>
    </w:p>
    <w:p>
      <w:pPr>
        <w:ind w:left="900" w:right="340" w:hanging="325"/>
        <w:spacing w:after="0" w:line="264"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manage the complex pricing and reimbursement negotiations associated with marketing the same product at different doses for separate indications, if tenapanor is approved for marketing and sale by the FDA or foreign regulatory authorities for both IBS-C and hyperphosphatemia in dialysis patients;</w:t>
      </w:r>
    </w:p>
    <w:p>
      <w:pPr>
        <w:spacing w:after="0" w:line="46" w:lineRule="exact"/>
        <w:rPr>
          <w:rFonts w:ascii="Arial" w:cs="Arial" w:eastAsia="Arial" w:hAnsi="Arial"/>
          <w:sz w:val="18"/>
          <w:szCs w:val="18"/>
          <w:color w:val="auto"/>
        </w:rPr>
      </w:pPr>
    </w:p>
    <w:p>
      <w:pPr>
        <w:ind w:left="900" w:right="360" w:hanging="325"/>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availability, perceived advantages, relative cost, relative safety and relative efficacy of tenapanor compared to alternative and competing treatments;</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40"/>
          </w:cols>
          <w:pgMar w:left="240" w:top="459" w:right="31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obtaining and sustaining an adequate level of coverage and reimbursement for tenapanor by third-party payors;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enforcing intellectual property rights in and to tenapanor;</w:t>
      </w:r>
    </w:p>
    <w:p>
      <w:pPr>
        <w:spacing w:after="0" w:line="90"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avoiding third-party interference, opposition, derivation or similar proceedings with respect to our patent rights, and avoiding other challenges to our patent rights and patent infringement claims; and</w:t>
      </w:r>
    </w:p>
    <w:p>
      <w:pPr>
        <w:spacing w:after="0" w:line="35"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continued acceptable safety and tolerability profile of tenapanor following approval.</w:t>
      </w:r>
    </w:p>
    <w:p>
      <w:pPr>
        <w:spacing w:after="0" w:line="198"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As tenapanor is a first-in-class drug, there is a higher likelihood that approval may not be attained as compared to a class of drugs with approved products. While tenapanor met the primary endpoint in two Phase 3 clinical studies evaluating tenapanor for the treatment of patients with IBS-C, there can be no assurance that our NDA that we plan to submit for this indication, once submitted, will be accepted by FDA or that we will receive marketing authorization from FDA. Although tenapanor met the primary endpoint in the first Phase 3 clinical trial for the treatment of hyperphosphatemia in ESRD patients on dialysis, there can be no assurances that the second Phase 3 trial of tenapanor in this indication will achieve the primary endpoint, or that, tenapanor will receive regulatory approval. Further, it may not be possible or practicable to demonstrate, or if approved, to market, tenapanor on the basis of certain of the benefits we believe tenapanor possesses. For example, the reduction of serum phosphorus is currently an approvable endpoint in ESRD patients on dialysis, but not for the broader CKD patient population in the United States. If the number of patients in the market for tenapanor or the price that the market can bear is not as significant as we estimate, we may not generate sufficient revenue from sales of tenapanor, if approved. Accordingly, there can be no assurance that tenapanor will ever be successfully commercialized or that we will ever generate income from sales of tenapanor. If we are not successful in completing the development of, obtaining approval for, and commercializing tenapanor, or are significantly delayed in doing so, our business will be materially harmed.</w:t>
      </w:r>
    </w:p>
    <w:p>
      <w:pPr>
        <w:spacing w:after="0" w:line="13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Clinical drug development involves a lengthy and expensive process with an uncertain outcome, and we may encounter substantial delays in our clinical studies. Furthermore, results of earlier studies and trials may not be predictive of future trial results.</w:t>
      </w:r>
    </w:p>
    <w:p>
      <w:pPr>
        <w:spacing w:after="0" w:line="130"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Before obtaining marketing approval from regulatory authorities for the sale of our product candidates, we must conduct extensive clinical studies to demonstrate the safety and efficacy of the product candidates in humans. Clinical testing is expensive and can take many years to complete, and its outcome is inherently uncertain. Failure can occur at any time during the clinical trial process. The results of preclinical and clinical studies of our product candidates may not be predictive of the results of later-stage clinical trials. An unexpected adverse event profile, or the results of drug-drug interaction studies, may present challenges for the future development and commercialization of a product candidate for a particular condition despite receipt of positive efficacy data in a clinical study. Although tenapanor met the primary endpoint in the first Phase 3 clinical trial for the treatment of hyperphosphatemia in ESRD patients on dialysis, there can be no assurances that the second Phase 3 trial results of tenapanor in that indication will show the desired safety and efficacy. While tenapanor met the primary endpoint in two Phase 3 clinical trials evaluating tenapanor for the treatment of IBS-C patients, there can be no assurance that T3MPO-3, the long-term safety study of tenapanor in patients with IBS-C, will demonstrate acceptable long-term safety. A number of companies in the pharmaceutical, biopharmaceutical and biotechnology industries have suffered significant setbacks in advanced clinical trials for similar indications that we are pursuing due to lack of efficacy or adverse safety profiles, notwithstanding promising results in earlier studies, and we cannot be certain that we will not face similar setbacks. Even if our clinical trials are completed, the results may not be sufficient to obtain regulatory approval for our product candidates, or if such regulatory approval is obtained, the content of the label approved by regulatory authorities may materially and adversely impact our ability to commercialize the product.</w:t>
      </w:r>
    </w:p>
    <w:p>
      <w:pPr>
        <w:spacing w:after="0" w:line="158"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We do not know whether future clinical trials will begin on time, or whether our ongoing or future clinical trials will need to be redesigned, enroll an adequate number of patients on time or be completed on schedule, if at all. Clinical trials can be delayed or terminated for a variety of reasons, including delay or failure to:</w:t>
      </w:r>
    </w:p>
    <w:p>
      <w:pPr>
        <w:spacing w:after="0" w:line="46"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manufacture sufficient quantities of product candidate meeting specified quality standards for use in clinical trials;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obtain regulatory approval to commence a trial, if applicable;</w:t>
      </w:r>
    </w:p>
    <w:p>
      <w:pPr>
        <w:spacing w:after="0" w:line="90"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reach agreement on acceptable terms with prospective contract research organizations, or CROs, and clinical trial sites, the terms of which can be subject to extensive negotiation and may vary significantly among different CROs and trial sites;</w:t>
      </w:r>
    </w:p>
    <w:p>
      <w:pPr>
        <w:spacing w:after="0" w:line="35"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obtain institutional review board, or IRB, approval at each site;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recruit suitable patients in a timely manner to participate in our trials;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have patients complete a trial or return for post-treatment follow-up;</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ensure that clinical sites observe trial protocol, comply with good clinical practices, or GCPs, or continue to participate in a trial;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address any patient safety concerns that arise during the course of a trial;</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address any conflicts with new or existing laws or regulations;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initiate or add a sufficient number of clinical trial sites.</w:t>
      </w:r>
    </w:p>
    <w:p>
      <w:pPr>
        <w:spacing w:after="0" w:line="19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Patient enrollment is a significant factor in the timing of clinical trials and is affected by many factors, including the size and nature of the patient population, the proximity of patients to clinical sites, the eligibility criteria for the trial, the design of the clinical trial, competing clinical trials and clinicians’ and patients’ perceptions as to the potential advantages of the drug being studied in relation to other available therapies, including any new drugs or treatments that may be approved for the indications we are investigating.</w:t>
      </w:r>
    </w:p>
    <w:p>
      <w:pPr>
        <w:spacing w:after="0" w:line="146"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We could also encounter delays if a clinical trial is suspended or terminated by us, by the IRBs of the institutions in which such trials are being conducted, by an independent data safety monitoring board for such trial or by the FDA or other regulatory authorities. Such authorities may suspend or terminate a clinical trial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w:t>
      </w:r>
    </w:p>
    <w:p>
      <w:pPr>
        <w:spacing w:after="0" w:line="15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Further, if there are delays in the completion of, or termination of, any clinical trial of our product candidates, the commercial prospects of our product candidates may be harmed, and our ability to generate revenue from product sales from any of these product candidates will be delayed. In addition, any delays in completing the clinical trials will increase costs, slow down our product candidate development and approval process and jeopardize the ability to commence product sales and generate revenue from product sales. Any of these occurrences may significantly harm our business, financial condition and prospects. In addition, many of the factors that cause, or lead to, a delay in the commencement or completion of clinical trials may also ultimately lead to the denial of regulatory approval of our product candidates.</w:t>
      </w:r>
    </w:p>
    <w:p>
      <w:pPr>
        <w:spacing w:after="0" w:line="16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We intend to devote significant resources to the development of RDX7675 which may not be successful in nonclinical studies or clinical trials, receive regulatory approval or be successfully commercialized.</w:t>
      </w:r>
    </w:p>
    <w:p>
      <w:pPr>
        <w:spacing w:after="0" w:line="130"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In connection with the ongoing onset-of-action clinical trial and the Phase 3 clinical trial for RDX7675, we expect to invest a significant amount of our efforts and financial resources in the development of RDX7675. We are pursuing a 505(b)(2) regulatory path for approval of RDX7675, which, among other things allows us to rely on the FDA’s previous findings of safety and efficacy and may eliminate the need to conduct certain nonclinical and clinical studies of our product candidate. This regulatory pathway, which can accelerate development, may not be available to us if a pharmaceutically equivalent product to RDX7675 were approved prior to the approval of our 505(b)(2) application. If we are unable to rely upon a 505(b)(2) regulatory pathway for the approval of RDX7675, the development of RDX7675 may be substantially delayed or we may be required to abandon such development.</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clinical and commercial success of RDX7675 will depend on a number of factors, including the following:</w:t>
      </w:r>
    </w:p>
    <w:p>
      <w:pPr>
        <w:spacing w:after="0" w:line="90" w:lineRule="exact"/>
        <w:rPr>
          <w:sz w:val="20"/>
          <w:szCs w:val="20"/>
          <w:color w:val="auto"/>
        </w:rPr>
      </w:pPr>
    </w:p>
    <w:p>
      <w:pPr>
        <w:ind w:left="900" w:right="300" w:hanging="325"/>
        <w:spacing w:after="0" w:line="264"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ability of the third-party manufacturers we contract with, to successfully develop and scale up the manufacturing processes for RDX7675, which has not yet been demonstrated, to manufacture supplies of RDX7675 and to develop, validate and maintain commercially viable manufacturing processes that are compliant with cGMP, requirements;</w:t>
      </w:r>
    </w:p>
    <w:p>
      <w:pPr>
        <w:spacing w:after="0" w:line="46" w:lineRule="exact"/>
        <w:rPr>
          <w:rFonts w:ascii="Arial" w:cs="Arial" w:eastAsia="Arial" w:hAnsi="Arial"/>
          <w:sz w:val="18"/>
          <w:szCs w:val="18"/>
          <w:color w:val="auto"/>
        </w:rPr>
      </w:pPr>
    </w:p>
    <w:p>
      <w:pPr>
        <w:ind w:left="900" w:right="160" w:hanging="325"/>
        <w:spacing w:after="0" w:line="334" w:lineRule="auto"/>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significant expansion of the market for the treatment of hyperkalemia beyond its currently limited size, including the success of commercial launches of new hyperkalemia products and the use of any such products by nephrologists and cardiologists in the chronic setting;</w:t>
      </w:r>
    </w:p>
    <w:p>
      <w:pPr>
        <w:spacing w:after="0" w:line="1" w:lineRule="exact"/>
        <w:rPr>
          <w:rFonts w:ascii="Arial" w:cs="Arial" w:eastAsia="Arial" w:hAnsi="Arial"/>
          <w:sz w:val="16"/>
          <w:szCs w:val="16"/>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successfully obtain labeling claims necessary or desirable for the commercial success of RDX7675;</w:t>
      </w:r>
    </w:p>
    <w:p>
      <w:pPr>
        <w:spacing w:after="0" w:line="90" w:lineRule="exact"/>
        <w:rPr>
          <w:rFonts w:ascii="Arial" w:cs="Arial" w:eastAsia="Arial" w:hAnsi="Arial"/>
          <w:sz w:val="18"/>
          <w:szCs w:val="18"/>
          <w:color w:val="auto"/>
        </w:rPr>
      </w:pPr>
    </w:p>
    <w:p>
      <w:pPr>
        <w:ind w:left="900" w:right="320" w:hanging="325"/>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availability of, and the perceived advantages regarding the relative palatability, relative cost, relative safety, relative tolerance and relative efficacy of RDX7675 and alternative and competing treatments;</w:t>
      </w:r>
    </w:p>
    <w:p>
      <w:pPr>
        <w:spacing w:after="0" w:line="35" w:lineRule="exact"/>
        <w:rPr>
          <w:rFonts w:ascii="Arial" w:cs="Arial" w:eastAsia="Arial" w:hAnsi="Arial"/>
          <w:sz w:val="18"/>
          <w:szCs w:val="18"/>
          <w:color w:val="auto"/>
        </w:rPr>
      </w:pPr>
    </w:p>
    <w:p>
      <w:pPr>
        <w:ind w:left="900" w:right="560" w:hanging="325"/>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strength and breadth of any intellectual property protection that we have or may be granted for RDX7675, and our enforcement of any intellectual property rights in RDX7675;</w:t>
      </w:r>
    </w:p>
    <w:p>
      <w:pPr>
        <w:spacing w:after="0" w:line="35"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timely receipt of necessary marketing approvals and exclusivity periods, if any, from the FDA and foreign regulatory authorities;</w:t>
      </w:r>
    </w:p>
    <w:p>
      <w:pPr>
        <w:spacing w:after="0" w:line="90" w:lineRule="exact"/>
        <w:rPr>
          <w:rFonts w:ascii="Arial" w:cs="Arial" w:eastAsia="Arial" w:hAnsi="Arial"/>
          <w:sz w:val="18"/>
          <w:szCs w:val="18"/>
          <w:color w:val="auto"/>
        </w:rPr>
      </w:pPr>
    </w:p>
    <w:p>
      <w:pPr>
        <w:ind w:left="900" w:right="160" w:hanging="325"/>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successfully commercialize RDX7675, if approved for marketing and sale by the FDA or foreign regulatory authorities, including educating physicians and patients about the benefits, administration and use of RDX7675;</w:t>
      </w:r>
    </w:p>
    <w:p>
      <w:pPr>
        <w:spacing w:after="0" w:line="35"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obtaining and sustaining an adequate level of coverage and reimbursement for RDX7675 by third-party payors;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effectiveness of our marketing, sales and distribution strategy and operations.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We cannot be certain that clinical trials evaluating RDX7675 will establish a safety and efficacy profile sufficient to enable RDX7675 to gain approval by the FDA, or if approved, compete effectively with alternative and competing treatments. Further, it may not be possible or practicable to demonstrate, or if approved, to market, RDX7675 on the basis of certain of the benefits we believe RDX7675 may possess. Accordingly, there can be no assurance that RDX7675 will ever be successfully commercialized or that we will ever generate revenue from sales of RDX7675. If we are not successful in completing the development of, obtaining approval for, and commercializing RDX7675, or are significantly delayed in doing so, our business will be materially harmed.</w:t>
      </w:r>
    </w:p>
    <w:p>
      <w:pPr>
        <w:spacing w:after="0" w:line="9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b w:val="1"/>
          <w:bCs w:val="1"/>
          <w:i w:val="1"/>
          <w:iCs w:val="1"/>
          <w:color w:val="auto"/>
        </w:rPr>
        <w:t>We may not be successful in our efforts to develop our product candidates that are at an early stage of development, including RDX8940 or expand our pipeline of product candidates, as a result of numerous factors, which may include the inability to access capital necessary to fund such efforts on acceptable terms.</w:t>
      </w:r>
    </w:p>
    <w:p>
      <w:pPr>
        <w:spacing w:after="0" w:line="114"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A key element of our strategy has been focused on the expansion of our pipeline of product candidates utilizing our proprietary drug discovery and design platform and to advance such product candidates through clinical development. In December 2016, we filed an IND to commence clinical development of RDX8940 in the United States. In August 2017, we completed a comprehensive strategic review of our operations, assessing several core areas, to optimally position the company to advance towards delivering on multiple significant opportunities with our late-stage portfolio and execute on our strategic objectives. This review resulted in the prioritization of resources to focus on the upcoming milestones for the late-stage programs, a delay in the development of a number of earlier-stage programs, including RDX8940, and a reduction in workforce. RDX8940 and those product candidates that are in the discovery and lead identification stages of preclinical development will require substantial preclinical and clinical development, testing and regulatory approval prior to commercialization, and we may not be able to access the capital necessary to fund such efforts on acceptable terms. In addition, of the large number of drugs in development, only a small percentage of such drugs successfully complete the FDA regulatory approval process and are commercialized. Accordingly, even if we are able to continue to fund our research and early stage development programs, there can be no assurance that any product candidates will reach the clinic or be successfully developed or commercialized.</w:t>
      </w:r>
    </w:p>
    <w:p>
      <w:pPr>
        <w:spacing w:after="0" w:line="102"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Research programs to identify product candidates require substantial technical, financial and human resources, whether or not any product candidates are ultimately identified. Although our research and development efforts to date have resulted in several development programs, we may not be able to develop product candidates that are safe, effective and well-tolerated. Our research programs may initially show promise in identifying potential product candidates, and we may select candidates for development, yet we may fail to advance product candidates to clinical development for many reasons, including the following:</w:t>
      </w:r>
    </w:p>
    <w:p>
      <w:pPr>
        <w:spacing w:after="0" w:line="40" w:lineRule="exact"/>
        <w:rPr>
          <w:sz w:val="20"/>
          <w:szCs w:val="20"/>
          <w:color w:val="auto"/>
        </w:rPr>
      </w:pPr>
    </w:p>
    <w:p>
      <w:pPr>
        <w:ind w:left="900" w:right="60" w:hanging="325"/>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be unable to access sufficient capital on acceptable terms to fund the development of all of our assets and as a result we may be forced to delay or terminate the development of certain product candidates;</w:t>
      </w:r>
    </w:p>
    <w:p>
      <w:pPr>
        <w:spacing w:after="0" w:line="21"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research methodology used and our drug discovery and design platform may not be successful in identifying potential product candidates;</w:t>
      </w:r>
    </w:p>
    <w:p>
      <w:pPr>
        <w:spacing w:after="0" w:line="99" w:lineRule="exact"/>
        <w:rPr>
          <w:rFonts w:ascii="Arial" w:cs="Arial" w:eastAsia="Arial" w:hAnsi="Arial"/>
          <w:sz w:val="16"/>
          <w:szCs w:val="16"/>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competitors may develop alternatives that render our product candidates obsolete or less attractive;</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product candidates we develop may nevertheless be covered by third parties’ patents or other exclusive rights;</w:t>
      </w:r>
    </w:p>
    <w:p>
      <w:pPr>
        <w:spacing w:after="0" w:line="76" w:lineRule="exact"/>
        <w:rPr>
          <w:rFonts w:ascii="Arial" w:cs="Arial" w:eastAsia="Arial" w:hAnsi="Arial"/>
          <w:sz w:val="18"/>
          <w:szCs w:val="18"/>
          <w:color w:val="auto"/>
        </w:rPr>
      </w:pPr>
    </w:p>
    <w:p>
      <w:pPr>
        <w:ind w:left="900" w:right="440" w:hanging="325"/>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market for a product candidate may change during our program so that the continued development of that product candidate is no longer reasonable;</w:t>
      </w:r>
    </w:p>
    <w:p>
      <w:pPr>
        <w:spacing w:after="0" w:line="21"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product candidate may on further study be shown to have harmful side effects or other characteristics that indicate it is unlikely to be effective, well-tolerated or otherwise does not meet applicable regulatory or commercial criteria;</w:t>
      </w:r>
    </w:p>
    <w:p>
      <w:pPr>
        <w:spacing w:after="0" w:line="21"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product candidate may not be capable of being produced in commercial quantities at an acceptable cost, or at all; and</w:t>
      </w:r>
    </w:p>
    <w:p>
      <w:pPr>
        <w:spacing w:after="0" w:line="76" w:lineRule="exact"/>
        <w:rPr>
          <w:rFonts w:ascii="Arial" w:cs="Arial" w:eastAsia="Arial" w:hAnsi="Arial"/>
          <w:sz w:val="18"/>
          <w:szCs w:val="18"/>
          <w:color w:val="auto"/>
        </w:rPr>
      </w:pPr>
    </w:p>
    <w:p>
      <w:pPr>
        <w:ind w:left="900" w:right="640" w:hanging="325"/>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product candidate may not be accepted as safe, effective and well-tolerated by patients, the medical community or third-party payors, if applicable.</w:t>
      </w:r>
    </w:p>
    <w:p>
      <w:pPr>
        <w:spacing w:after="0" w:line="103"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Even if we are successful in continuing to expand our pipeline, through our own research and development efforts, the potential product candidates that we identify or for which we acquire rights may not be suitable for clinical development, including as a result of being shown to have harmful side effects or other characteristics that indicate that they are unlikely to receive marketing approval and achieve market acceptance. If we do not successfully develop and commercialize a product pipeline, we may not be able to generate revenue from product sales in future periods or ever achieve profitability.</w:t>
      </w:r>
    </w:p>
    <w:p>
      <w:pPr>
        <w:spacing w:after="0" w:line="8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Our proprietary drug discovery and design platform, and, in particular, APECCS, is a new approach to the discovery, design and development of new product candidates and may not result in any products of commercial value.</w:t>
      </w:r>
    </w:p>
    <w:p>
      <w:pPr>
        <w:spacing w:after="0" w:line="89" w:lineRule="exact"/>
        <w:rPr>
          <w:sz w:val="20"/>
          <w:szCs w:val="20"/>
          <w:color w:val="auto"/>
        </w:rPr>
      </w:pPr>
    </w:p>
    <w:p>
      <w:pPr>
        <w:jc w:val="both"/>
        <w:ind w:right="280" w:firstLine="456"/>
        <w:spacing w:after="0" w:line="264" w:lineRule="auto"/>
        <w:rPr>
          <w:sz w:val="20"/>
          <w:szCs w:val="20"/>
          <w:color w:val="auto"/>
        </w:rPr>
      </w:pPr>
      <w:r>
        <w:rPr>
          <w:rFonts w:ascii="Arial" w:cs="Arial" w:eastAsia="Arial" w:hAnsi="Arial"/>
          <w:sz w:val="18"/>
          <w:szCs w:val="18"/>
          <w:color w:val="auto"/>
        </w:rPr>
        <w:t>We have developed a proprietary drug discovery and design platform to enable the identification, screening, testing, design and development of new product candidates, and have developed APECCS as a component of this of this platform. We utilize APECCS in the design of our small molecules and to identify new and potentially novel targets in the GI tract. However, there can be no</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60"/>
        <w:spacing w:after="0" w:line="342" w:lineRule="auto"/>
        <w:rPr>
          <w:sz w:val="20"/>
          <w:szCs w:val="20"/>
          <w:color w:val="auto"/>
        </w:rPr>
      </w:pPr>
      <w:r>
        <w:rPr>
          <w:rFonts w:ascii="Arial" w:cs="Arial" w:eastAsia="Arial" w:hAnsi="Arial"/>
          <w:sz w:val="16"/>
          <w:szCs w:val="16"/>
          <w:color w:val="auto"/>
        </w:rPr>
        <w:t>assurance that APECCS will be able to identify new targets in the GI tract or that any of these potential targets or other aspects of our proprietary drug discovery and design platform will yield product candidates that could enter clinical development and, ultimately, be commercially valuable.</w:t>
      </w:r>
    </w:p>
    <w:p>
      <w:pPr>
        <w:spacing w:after="0" w:line="16"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b w:val="1"/>
          <w:bCs w:val="1"/>
          <w:i w:val="1"/>
          <w:iCs w:val="1"/>
          <w:color w:val="auto"/>
        </w:rPr>
        <w:t>We rely on third parties to conduct some of our nonclinical studies and all of our clinical trials. If these third parties do not successfully carry out their contractual duties or meet expected deadlines, we may be unable to obtain regulatory approval for or commercialize our product candidates.</w:t>
      </w:r>
    </w:p>
    <w:p>
      <w:pPr>
        <w:spacing w:after="0" w:line="1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We do not have the ability to independently conduct clinical trials and, in some cases, nonclinical studies. We rely on medical institutions, clinical investigators, contract laboratories, and other third parties, such as CROs, to conduct clinical trials on our product candidates. The third parties with whom we contract for execution of the clinical trials play a significant role in the conduct of these trials and the subsequent collection and analysis of data. However, these third parties are not our employees, and except for contractual duties and obligations, we control only certain aspects of their activities and have limited ability to control the amount or timing of resources that they devote to our programs. Although we rely, and will continue to rely, on these third parties to conduct some of our nonclinical studies and all of our clinical trials, we remain responsible for ensuring that each of our studies and clinical trials is conducted in accordance with the applicable protocol, legal, regulatory and scientific standards and our reliance on third parties does not relieve us of our regulatory responsibilities. We, and these third parties are required to comply with current GLPs for nonclinical studies, and good clinical practices, or GCPs, for clinical studies. GLPs and GCPs are regulations and guidelines enforced by the FDA, the Competent Authorities of the Member States of the European Economic Area, or EEA, and comparable foreign regulatory authorities for all of our products in nonclinical and clinical development, respectively. Regulatory authorities enforce GCPs through periodic inspections of trial sponsors, principal investigators and trial sites. If we or any of our third party contractors fail to comply with applicable regulatory requirements, including GCPs, the clinical data generated in our clinical trials may be deemed unreliable and the FDA, the European Medicines Agency, or EMA, or comparable foreign regulatory authorities may require us to perform additional clinical trials before approving our marketing applications. There can be no assurance that upon inspection by a given regulatory authority, such regulatory authority will determine that any of our clinical trials comply with GCP regulations. In addition, our clinical trials must be conducted with product produced under cGMP regulations. Our failure to comply with these regulations may require us to repeat clinical trials, which would delay the regulatory approval process.</w:t>
      </w:r>
    </w:p>
    <w:p>
      <w:pPr>
        <w:spacing w:after="0" w:line="70"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b w:val="1"/>
          <w:bCs w:val="1"/>
          <w:i w:val="1"/>
          <w:iCs w:val="1"/>
          <w:color w:val="auto"/>
        </w:rPr>
        <w:t>Even if our product candidates obtain regulatory approval, they may never achieve market acceptance or commercial success, which will depend, in part, upon the degree of acceptance among physicians, patients, patient advocacy groups, health care payors and the medical community.</w:t>
      </w:r>
    </w:p>
    <w:p>
      <w:pPr>
        <w:spacing w:after="0" w:line="16"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Even if our product candidates obtain FDA or other regulatory approvals, and are ultimately commercialized, our product candidates may not achieve market acceptance among physicians, patients, third-party payors, patient advocacy groups, and the medical community. Market acceptance of our product candidates for which marketing approval is obtained depends on a number of factors, including:</w:t>
      </w:r>
    </w:p>
    <w:p>
      <w:pPr>
        <w:spacing w:after="0" w:line="33" w:lineRule="exact"/>
        <w:rPr>
          <w:sz w:val="20"/>
          <w:szCs w:val="20"/>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efficacy of the products as demonstrated in clinical trials;</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prevalence and severity of any side effects and overall safety and tolerability profile of the product;</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clinical indications for which the product is approved;</w:t>
      </w:r>
    </w:p>
    <w:p>
      <w:pPr>
        <w:spacing w:after="0" w:line="76" w:lineRule="exact"/>
        <w:rPr>
          <w:rFonts w:ascii="Arial" w:cs="Arial" w:eastAsia="Arial" w:hAnsi="Arial"/>
          <w:sz w:val="18"/>
          <w:szCs w:val="18"/>
          <w:color w:val="auto"/>
        </w:rPr>
      </w:pPr>
    </w:p>
    <w:p>
      <w:pPr>
        <w:ind w:left="900" w:right="640" w:hanging="325"/>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advantages over new or traditional or existing therapies, including recently approved therapies or therapies that the physician community anticipate will be approved;</w:t>
      </w:r>
    </w:p>
    <w:p>
      <w:pPr>
        <w:spacing w:after="0" w:line="21"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acceptance by physicians, major operators of clinics and patients of the product as a safe, effective and well-tolerated treatment;</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relative convenience and ease of administration of our products;</w:t>
      </w:r>
    </w:p>
    <w:p>
      <w:pPr>
        <w:spacing w:after="0" w:line="76" w:lineRule="exact"/>
        <w:rPr>
          <w:rFonts w:ascii="Arial" w:cs="Arial" w:eastAsia="Arial" w:hAnsi="Arial"/>
          <w:sz w:val="18"/>
          <w:szCs w:val="18"/>
          <w:color w:val="auto"/>
        </w:rPr>
      </w:pPr>
    </w:p>
    <w:p>
      <w:pPr>
        <w:ind w:left="900" w:right="580" w:hanging="325"/>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potential and perceived advantages of our product candidates over current treatment options or alternative treatments, including future alternative treatments;</w:t>
      </w:r>
    </w:p>
    <w:p>
      <w:pPr>
        <w:spacing w:after="0" w:line="21" w:lineRule="exact"/>
        <w:rPr>
          <w:rFonts w:ascii="Arial" w:cs="Arial" w:eastAsia="Arial" w:hAnsi="Arial"/>
          <w:sz w:val="18"/>
          <w:szCs w:val="18"/>
          <w:color w:val="auto"/>
        </w:rPr>
      </w:pPr>
    </w:p>
    <w:p>
      <w:pPr>
        <w:ind w:left="900" w:right="520" w:hanging="325"/>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 and willingness to pay for our products, if approved, on the part of physicians and patients;</w:t>
      </w:r>
    </w:p>
    <w:p>
      <w:pPr>
        <w:spacing w:after="0" w:line="21"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availability of alternative products and their ability to meet market demand;</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strength of our or our collaboration partners’ marketing and distribution organizations;</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quality of our relationships with patient advocacy groups; and</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sufficient third-party coverage or reimbursement.</w:t>
      </w:r>
    </w:p>
    <w:p>
      <w:pPr>
        <w:spacing w:after="0" w:line="198"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Any failure by our product candidates that obtain regulatory approval to achieve market acceptance or commercial success would adversely affect our results of operations.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Our product candidates may cause undesirable side effects or have other properties that could delay our clinical trials, or delay or prevent regulatory approval, limit the commercial profile of an approved label, or result in significant negative consequences following regulatory approval, if any. If any of our product candidates receives marketing approval and we or others later identify undesirable side effects caused by the product candidate, the ability to market the product candidates could be compromised.</w:t>
      </w:r>
    </w:p>
    <w:p>
      <w:pPr>
        <w:spacing w:after="0" w:line="160"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Undesirable side effects caused by our product candidates could cause us or regulatory authorities to interrupt, delay or halt clinical trials, result in the delay or denial of regulatory approval by the FDA or other comparable foreign regulatory authorities or limit the commercial profile of an approved label. To date, patients treated with tenapanor have experienced drug-related side effects including diarrhea, nausea, flatulence, abdominal discomfort, abdominal pain, abdominal distention and changes in electrolytes. In the event that trials conducted by us with tenapanor or trials we conduct with our other product candidates, reveal an unacceptable severity and prevalence of these or other side effects, such trials could be suspended or terminated and the FDA or comparable foreign regulatory authorities could order us to cease further development of or deny approval of tenapanor, or any such other product candidate, for any or all targeted indications. Additionally, despite a positive efficacy profile, the prevalence and/or severity of these or other side effects could cause us to cease further development of a product candidate for a particular indication, or entirely. The drug-related side effects could affect patient recruitment or the ability of enrolled patients to complete the trial or result in potential product liability claims. Any of these occurrences may harm our business, financial condition and prospects significantly.</w:t>
      </w:r>
    </w:p>
    <w:p>
      <w:pPr>
        <w:spacing w:after="0" w:line="13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In addition, in the event that any of our product candidates receives regulatory approval and we or others later identify undesirable side effects caused by one of our products, a number of potentially significant negative consequences could occur, including:</w:t>
      </w:r>
    </w:p>
    <w:p>
      <w:pPr>
        <w:spacing w:after="0" w:line="35" w:lineRule="exact"/>
        <w:rPr>
          <w:sz w:val="20"/>
          <w:szCs w:val="20"/>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regulatory authorities may withdraw their approval of the product or seize the product;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be required to recall the product;</w:t>
      </w:r>
    </w:p>
    <w:p>
      <w:pPr>
        <w:spacing w:after="0" w:line="90" w:lineRule="exact"/>
        <w:rPr>
          <w:rFonts w:ascii="Arial" w:cs="Arial" w:eastAsia="Arial" w:hAnsi="Arial"/>
          <w:sz w:val="18"/>
          <w:szCs w:val="18"/>
          <w:color w:val="auto"/>
        </w:rPr>
      </w:pPr>
    </w:p>
    <w:p>
      <w:pPr>
        <w:ind w:left="900" w:right="60" w:hanging="325"/>
        <w:spacing w:after="0" w:line="259"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additional restrictions may be imposed on the marketing of the particular product or the manufacturing processes for the product or any component thereof, including the imposition of a Risk Evaluation and Mitigation Strategies, or REMS, plan that may require creation of a Medication Guide outlining the risks of such side effects for distribution to patients, as well as elements to assure safe use of the product, such as a patient registry and training and certification of prescribers;</w:t>
      </w:r>
    </w:p>
    <w:p>
      <w:pPr>
        <w:spacing w:after="0" w:line="51"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be subject to fines, injunctions or the imposition of civil or criminal penalties;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such as a “black box” warning or a contraindication;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product may become less competitive;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185" w:lineRule="exact"/>
        <w:rPr>
          <w:sz w:val="20"/>
          <w:szCs w:val="20"/>
          <w:color w:val="auto"/>
        </w:rPr>
      </w:pPr>
    </w:p>
    <w:p>
      <w:pPr>
        <w:ind w:right="420" w:firstLine="456"/>
        <w:spacing w:after="0" w:line="342" w:lineRule="auto"/>
        <w:rPr>
          <w:sz w:val="20"/>
          <w:szCs w:val="20"/>
          <w:color w:val="auto"/>
        </w:rPr>
      </w:pPr>
      <w:r>
        <w:rPr>
          <w:rFonts w:ascii="Arial" w:cs="Arial" w:eastAsia="Arial" w:hAnsi="Arial"/>
          <w:sz w:val="16"/>
          <w:szCs w:val="16"/>
          <w:color w:val="auto"/>
        </w:rPr>
        <w:t>Any of the foregoing events could prevent us from achieving or maintaining market acceptance of a particular product candidate, if approved, and could result in the loss of significant revenue to us, which would materially and adversely affect our results of operations and business.</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face substantial competition and our competitors may discover, develop or commercialize products faster or more successfully than us.</w:t>
      </w:r>
    </w:p>
    <w:p>
      <w:pPr>
        <w:spacing w:after="0" w:line="1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biotechnology and pharmaceutical industries are highly competitive, and we face significant competition from companies in the biotechnology, pharmaceutical and other related markets that are researching and marketing products designed to address diseases that we are currently developing products to treat. If approved for marketing by the FDA or other regulatory agencies, tenapanor and RDX7675, as well as our other product candidates, would compete against existing treatments.</w:t>
      </w:r>
    </w:p>
    <w:p>
      <w:pPr>
        <w:spacing w:after="0" w:line="146"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For example, tenapanor will, if approved, compete directly with phosphate binders for the treatment of hyperphosphatemia in ESRD patients on dialysis. The various types of phosphate binders commercialized in the United States include the following:</w:t>
      </w:r>
    </w:p>
    <w:p>
      <w:pPr>
        <w:spacing w:after="0" w:line="35" w:lineRule="exact"/>
        <w:rPr>
          <w:sz w:val="20"/>
          <w:szCs w:val="20"/>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Calcium carbonate (many over-the-counter brands including Tums and Caltrate)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Calcium acetate (several prescription brands including PhosLo and Phoslyra)</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Lanthanum carbonate (Fosrenol marketed by Shire)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Sevelamer hydrochloride (Renagel, marketed by Sanofi)</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Sevelamer carbonate (Renvela, marketed by Sanofi)</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Sucroferric oxyhydroxide (Velphoro, marketed by Vifor Fresenius)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Ferric citrate (Auryxia, marketed by Keryx)</w:t>
      </w:r>
    </w:p>
    <w:p>
      <w:pPr>
        <w:spacing w:after="0" w:line="19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hydrochloride form of sevelamer, Renagel, was launched in the United States by Genzyme Corporation in 1998 prior to its acquisition by Sanofi,</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and the carbonate form, Renvela, was launched in 2008. Sanofi booked €922 million ($1.05 billion) in worldwide sales of sevelamer during 2016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€494 million in first half of 2017. Generic sevelamer carbonate has been approved in certain jurisdictions in Europe since 2015 and in the U.S. market since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June 2017. In addition to the currently marketed phosphate binders, we are aware of at least two other binders in development, including fermagate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(Alpharen), an iron-based binder in Phase 3 being developed by Opko Health, Inc., and PT20, an iron-based binder in Phase 3 being developed by Shield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Therapeutics.</w:t>
      </w:r>
    </w:p>
    <w:p>
      <w:pPr>
        <w:spacing w:after="0" w:line="170" w:lineRule="exact"/>
        <w:rPr>
          <w:sz w:val="20"/>
          <w:szCs w:val="20"/>
          <w:color w:val="auto"/>
        </w:rPr>
      </w:pPr>
    </w:p>
    <w:p>
      <w:pPr>
        <w:ind w:right="200" w:firstLine="456"/>
        <w:spacing w:after="0" w:line="302" w:lineRule="auto"/>
        <w:rPr>
          <w:sz w:val="20"/>
          <w:szCs w:val="20"/>
          <w:color w:val="auto"/>
        </w:rPr>
      </w:pPr>
      <w:r>
        <w:rPr>
          <w:rFonts w:ascii="Arial" w:cs="Arial" w:eastAsia="Arial" w:hAnsi="Arial"/>
          <w:sz w:val="16"/>
          <w:szCs w:val="16"/>
          <w:color w:val="auto"/>
        </w:rPr>
        <w:t>Numerous treatments exist for constipation and the constipation component of IBS-C, many of which are over-the-counter. These include psyllium husk (such as Metamucil), methylcellulose (such as Citrucel), calcium polycarbophil (such as FiberCon), lactulose (such as Cephulac), polyethylene glycol (such as MiraLax), sennosides (such as Exlax), bisacodyl (such as Ducolax), docusate sodium (such as Colace), magnesium hydroxide (such as Milk of Magnesia), saline enemas (such as Fleet) and sorbitol. These agents are generally inexpensive and work well to temporarily relieve constipation.</w:t>
      </w:r>
    </w:p>
    <w:p>
      <w:pPr>
        <w:spacing w:after="0" w:line="114" w:lineRule="exact"/>
        <w:rPr>
          <w:sz w:val="20"/>
          <w:szCs w:val="20"/>
          <w:color w:val="auto"/>
        </w:rPr>
      </w:pPr>
    </w:p>
    <w:p>
      <w:pPr>
        <w:ind w:right="200" w:firstLine="456"/>
        <w:spacing w:after="0" w:line="279" w:lineRule="auto"/>
        <w:rPr>
          <w:sz w:val="20"/>
          <w:szCs w:val="20"/>
          <w:color w:val="auto"/>
        </w:rPr>
      </w:pPr>
      <w:r>
        <w:rPr>
          <w:rFonts w:ascii="Arial" w:cs="Arial" w:eastAsia="Arial" w:hAnsi="Arial"/>
          <w:sz w:val="17"/>
          <w:szCs w:val="17"/>
          <w:color w:val="auto"/>
        </w:rPr>
        <w:t>We are also aware of two prescription products marketed for IBS-C, Linzess (linaclotide) marketed by Ironwood Pharmaceuticals and Allergan and Amitiza (lubiprostone) marketed by Sucampo and Takeda. Additionally, Trulance (plecanatide) was approved by FDA in January 2017 for use in adults for treatment of chronic idiopathic constipation, and Synergy Pharmaceuticals, the drug’s manufacturer, presented Phase 3 data from two clinical studies of Trulance in patients with IBS-C in December 2016 and submitted an NDA for this indication in March 2017.</w:t>
      </w:r>
    </w:p>
    <w:p>
      <w:pPr>
        <w:spacing w:after="0" w:line="144"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Finally, we are aware of at least two drugs approaching or on the market for the treatment of hyperkalemia. Veltassa (patiromer FOS), an oral, polymer-based potassium binder, was approved for marketing by the FDA in October 2015 and was commercially launched by Relypsa, a company that was acquired by Galenica in September 2016. Additionally, ZS Pharma submitted an NDA to the FDA in June 2015 for ZS-9, a sodium zirconium cyclosilicate-based oral potassium binder and received approval in Europe in February 2017 by the European Medicines Agency. If approved in the United States, ZS-9 will be commercially launched by AstraZeneca, a company that acquired ZS Pharma in December 2015.</w:t>
      </w:r>
    </w:p>
    <w:p>
      <w:pPr>
        <w:spacing w:after="0" w:line="132"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It is possible that our competitors will develop and market drugs or other treatments that are less expensive and more effective than our product candidates, or that will render our product candidates obsolete. It is also possible that our competitors will commercialize competing drugs or treatments before we, or our collaboration partners, can launch any products developed from our product candidates. We also anticipate that we will face increased competition in the future as new companies enter into our target markets.</w:t>
      </w:r>
    </w:p>
    <w:p>
      <w:pPr>
        <w:spacing w:after="0" w:line="14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Many of our competitors have materially greater name recognition and financial, manufacturing, marketing, research and drug development resources than we do. Additional mergers and acquisitions in the biotechnology and pharmaceutical industries may result in even more resources being concentrated in our competitors. Large pharmaceutical companies in particular have extensive expertise in preclinical and clinical testing and in obtaining regulatory approvals for drugs. In addition, academic institutions, government agencies, and other public and private organizations conducting research may seek patent protection with respect to potentially competitive products or technologies. These organizations may also establish exclusive collaboration partnerships or licensing relationships with our competitors.</w:t>
      </w:r>
    </w:p>
    <w:p>
      <w:pPr>
        <w:spacing w:after="0" w:line="166" w:lineRule="exact"/>
        <w:rPr>
          <w:sz w:val="20"/>
          <w:szCs w:val="20"/>
          <w:color w:val="auto"/>
        </w:rPr>
      </w:pPr>
    </w:p>
    <w:p>
      <w:pPr>
        <w:jc w:val="center"/>
        <w:ind w:right="160"/>
        <w:spacing w:after="0"/>
        <w:rPr>
          <w:sz w:val="20"/>
          <w:szCs w:val="20"/>
          <w:color w:val="auto"/>
        </w:rPr>
      </w:pPr>
      <w:r>
        <w:rPr>
          <w:rFonts w:ascii="Arial" w:cs="Arial" w:eastAsia="Arial" w:hAnsi="Arial"/>
          <w:sz w:val="15"/>
          <w:szCs w:val="15"/>
          <w:b w:val="1"/>
          <w:bCs w:val="1"/>
          <w:i w:val="1"/>
          <w:iCs w:val="1"/>
          <w:color w:val="auto"/>
        </w:rPr>
        <w:t>We may experience difficulties in managing our current activities and growth given our level of managerial, operational, financial and other resources.</w:t>
      </w:r>
    </w:p>
    <w:p>
      <w:pPr>
        <w:spacing w:after="0" w:line="219"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On August 7, 2017, our Board of Directors approved a restructuring plan, pursuant to which we reduced our workforce by 29%, resulting in 75 remaining employees. We will need to manage our operations and clinical trials, and continue our development and pre-commercial activities for our product candidates with this reduced workforce. Our management and personnel, and systems currently in place may not be adequate to support our current activities or future growth. Our need to effectively execute our business strategy requires that we:</w:t>
      </w:r>
    </w:p>
    <w:p>
      <w:pPr>
        <w:spacing w:after="0" w:line="52" w:lineRule="exact"/>
        <w:rPr>
          <w:sz w:val="20"/>
          <w:szCs w:val="20"/>
          <w:color w:val="auto"/>
        </w:rPr>
      </w:pPr>
    </w:p>
    <w:p>
      <w:pPr>
        <w:ind w:left="900" w:right="140" w:hanging="325"/>
        <w:spacing w:after="0" w:line="264"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manage our clinical trials effectively, including the ongoing T3MPO-3 clinical trials of tenapanor in IBS-C, the Phase 3 trial of tenapanor for hyperphosphatemia, the ongoing onset-of-action clinical trial in RDX7675 and the Phase 3 clinical trial for RDX7675, all of which are being or will be conducted at multiple trial sites;</w:t>
      </w:r>
    </w:p>
    <w:p>
      <w:pPr>
        <w:spacing w:after="0" w:line="46" w:lineRule="exact"/>
        <w:rPr>
          <w:rFonts w:ascii="Arial" w:cs="Arial" w:eastAsia="Arial" w:hAnsi="Arial"/>
          <w:sz w:val="18"/>
          <w:szCs w:val="18"/>
          <w:color w:val="auto"/>
        </w:rPr>
      </w:pPr>
    </w:p>
    <w:p>
      <w:pPr>
        <w:ind w:left="900" w:right="660" w:hanging="325"/>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manage our internal research and development efforts effectively while carrying out our contractual obligations to licensors, contractors, collaborators, government agencies and other third parties;</w:t>
      </w:r>
    </w:p>
    <w:p>
      <w:pPr>
        <w:spacing w:after="0" w:line="35"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continue to improve our operational, financial and management controls, reporting systems and procedures; and</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45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retain and motivate our remaining employees and potentially identify, recruit, and integrate additional employees.</w:t>
      </w:r>
    </w:p>
    <w:p>
      <w:pPr>
        <w:spacing w:after="0" w:line="225"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If we are unable to maintain or expand our managerial, operational, financial and other resources to the extent required to manage our development and pre-commercialization activities, our business will be materially adversely affected.</w:t>
      </w:r>
    </w:p>
    <w:p>
      <w:pPr>
        <w:spacing w:after="0" w:line="17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We currently have no sales organization. If we are unable to establish sales capabilities on our own or through third parties, we may not be able to commercialize tenapanor or any of our other product candidates.</w:t>
      </w:r>
    </w:p>
    <w:p>
      <w:pPr>
        <w:spacing w:after="0" w:line="170"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We currently do not have a sales organization. In order to commercialize or co-promote tenapanor, RDX7675 or any of our other product candidates, either alone, or with a collaboration partner, we must enter collaborative relationships with one or more third parties; or build marketing, sales, distribution, managerial and other non-technical capabilities. There can be no assurances that we will be successful in establishing collaborative relationships in a timely manner or on terms that are acceptable to us. If one or more of our product candidates receives regulatory approval, and we have not entered collaborative relationships for the commercialization of such product candidate in the approved territory, we would have to establish appropriate sales organizations with technical expertise supporting distribution capabilities to commercialize the product candidate, which will be expensive and time consuming. As a company, we have no prior experience in the marketing, sale and distribution of pharmaceutical products and there are significant risks involved in building and managing a sales organization, including our ability to secure the capital necessary to fund such efforts on acceptable terms, hire, retain, and incentivize qualified individuals, generate sufficient sales leads, provide adequate training to sales and marketing personnel, comply with regulatory requirements applicable to the marketing and sale of drug products and effectively manage a geographically dispersed sales and marketing team.</w:t>
      </w:r>
    </w:p>
    <w:p>
      <w:pPr>
        <w:spacing w:after="0" w:line="169"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If we are unable to enter collaborative relationships a timely manner, or on acceptable terms, and/or we fail or are delayed in the development of our internal sales, marketing and distribution capabilities, the commercialization of our products would be adversely impacted, and we may not be able to successfully commercialize our product candidates.</w:t>
      </w:r>
    </w:p>
    <w:p>
      <w:pPr>
        <w:spacing w:after="0" w:line="181" w:lineRule="exact"/>
        <w:rPr>
          <w:sz w:val="20"/>
          <w:szCs w:val="20"/>
          <w:color w:val="auto"/>
        </w:rPr>
      </w:pPr>
    </w:p>
    <w:p>
      <w:pPr>
        <w:ind w:right="640"/>
        <w:spacing w:after="0" w:line="259" w:lineRule="auto"/>
        <w:rPr>
          <w:sz w:val="20"/>
          <w:szCs w:val="20"/>
          <w:color w:val="auto"/>
        </w:rPr>
      </w:pPr>
      <w:r>
        <w:rPr>
          <w:rFonts w:ascii="Arial" w:cs="Arial" w:eastAsia="Arial" w:hAnsi="Arial"/>
          <w:sz w:val="18"/>
          <w:szCs w:val="18"/>
          <w:b w:val="1"/>
          <w:bCs w:val="1"/>
          <w:i w:val="1"/>
          <w:iCs w:val="1"/>
          <w:color w:val="auto"/>
        </w:rPr>
        <w:t>We rely completely on third parties to manufacture our nonclinical and clinical drug supplies, and we intend to rely on third parties to produce commercial supplies of any approved product candidate. Our business would be harmed if those third parties fail to obtain approval of the FDA, Competent Authorities of the Member States of the EEA or comparable regulatory authorities, fail to provide us with sufficient quantities of drug product, or fail to do so at acceptable quality levels or prices.</w:t>
      </w:r>
    </w:p>
    <w:p>
      <w:pPr>
        <w:spacing w:after="0" w:line="18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We do not currently have, nor do we plan to acquire, the infrastructure or capability internally to manufacture our drug supplies for use in the conduct of our nonclinical and clinical studies, and we lack the resources and the capability to manufacture any of our product candidates on a clinical or commercial scale. The facilities used by our contract manufacturers to manufacture any drug products must be approved by the FDA pursuant to inspections that will be conducted after an NDA is submitted to the FDA. We do not control the manufacturing process of our product candidates, and we are completely dependent on our contract manufacturing partners for compliance with the regulatory requirements, known as cGMPs, for manufacture of both active drug substances and finished drug products.</w:t>
      </w:r>
    </w:p>
    <w:p>
      <w:pPr>
        <w:spacing w:after="0" w:line="19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If our contract manufacturers cannot successfully manufacture material that conforms to our specifications and the strict regulatory requirements of the FDA or others, they will not be able to secure and/or maintain regulatory approval for their manufacturing facilities. In addition, we have no control over the ability of our contract manufacturers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w:t>
      </w:r>
    </w:p>
    <w:p>
      <w:pPr>
        <w:spacing w:after="0" w:line="193" w:lineRule="exact"/>
        <w:rPr>
          <w:sz w:val="20"/>
          <w:szCs w:val="20"/>
          <w:color w:val="auto"/>
        </w:rPr>
      </w:pPr>
    </w:p>
    <w:p>
      <w:pPr>
        <w:ind w:right="100" w:firstLine="456"/>
        <w:spacing w:after="0" w:line="271" w:lineRule="auto"/>
        <w:rPr>
          <w:sz w:val="20"/>
          <w:szCs w:val="20"/>
          <w:color w:val="auto"/>
        </w:rPr>
      </w:pPr>
      <w:r>
        <w:rPr>
          <w:rFonts w:ascii="Arial" w:cs="Arial" w:eastAsia="Arial" w:hAnsi="Arial"/>
          <w:sz w:val="17"/>
          <w:szCs w:val="17"/>
          <w:color w:val="auto"/>
        </w:rPr>
        <w:t>We rely on our manufacturers to purchase from third-party suppliers the materials necessary to produce our product candidates for our clinical studies. There are a limited number of suppliers for raw materials that we use to manufacture our drugs, and there may be a need to identify alternate suppliers to prevent a possible disruption of the manufacture of the materials necessary to produce our product candidates for our clinical studies, and, if approved, ultimately for commercial sale. We do not have any control over the process or timing of the acquisition of these raw materials by our manufacturers. Although we generally do not begin a clinical study unless we believe we have on hand, or will be able to manufacture, a sufficient supply of a product candidate to complete such study, any significant delay or discontinuity in the supply of a product candidate, or the raw material components thereof, for an ongoing clinical study due to the need to replace a third-party manufacturer could considerably delay completion of our clinical studies, product testing, and potential regulatory approval of our product candidates, which could harm our business and results of operations.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180"/>
        <w:spacing w:after="0" w:line="290" w:lineRule="auto"/>
        <w:rPr>
          <w:sz w:val="20"/>
          <w:szCs w:val="20"/>
          <w:color w:val="auto"/>
        </w:rPr>
      </w:pPr>
      <w:r>
        <w:rPr>
          <w:rFonts w:ascii="Arial" w:cs="Arial" w:eastAsia="Arial" w:hAnsi="Arial"/>
          <w:sz w:val="16"/>
          <w:szCs w:val="16"/>
          <w:b w:val="1"/>
          <w:bCs w:val="1"/>
          <w:i w:val="1"/>
          <w:iCs w:val="1"/>
          <w:color w:val="auto"/>
        </w:rPr>
        <w:t>Third-party payor coverage and reimbursement status of newly-approved products is uncertain. Failure to obtain or maintain adequate coverage and reimbursement for our products, if approved, could limit our ability to market those products and decrease our ability to generate revenue.</w:t>
      </w:r>
    </w:p>
    <w:p>
      <w:pPr>
        <w:spacing w:after="0" w:line="1" w:lineRule="exact"/>
        <w:rPr>
          <w:sz w:val="20"/>
          <w:szCs w:val="20"/>
          <w:color w:val="auto"/>
        </w:rPr>
      </w:pPr>
    </w:p>
    <w:p>
      <w:pPr>
        <w:ind w:firstLine="342"/>
        <w:spacing w:after="0" w:line="269" w:lineRule="auto"/>
        <w:rPr>
          <w:sz w:val="20"/>
          <w:szCs w:val="20"/>
          <w:color w:val="auto"/>
        </w:rPr>
      </w:pPr>
      <w:r>
        <w:rPr>
          <w:rFonts w:ascii="Arial" w:cs="Arial" w:eastAsia="Arial" w:hAnsi="Arial"/>
          <w:sz w:val="16"/>
          <w:szCs w:val="16"/>
          <w:color w:val="auto"/>
        </w:rPr>
        <w:t>The pricing, coverage and reimbursement of our product candidates, if approved, must be adequate to support a commercial infrastructure. The availability and adequacy of coverage and reimbursement by governmental and private payors are essential for most patients to be able to afford treatments such as ours, assuming approval. Sales of our product candidates will depend substantially, both domestically and abroad, on the extent to which the costs of our product candidates will be paid for by health maintenance, managed care, pharmacy benefit, and similar healthcare management organizations, or reimbursed by government authorities, private health insurers, and other third-party payors. If coverage and reimbursement are not available, or are available only to limited levels, we may not be able to successfully commercialize our product candidates. Even if coverage is provided, the approved reimbursement amount may not be high enough to allow us to establish or maintain pricing sufficient to realize a return on our investment.</w:t>
      </w:r>
    </w:p>
    <w:p>
      <w:pPr>
        <w:spacing w:after="0" w:line="15" w:lineRule="exact"/>
        <w:rPr>
          <w:sz w:val="20"/>
          <w:szCs w:val="20"/>
          <w:color w:val="auto"/>
        </w:rPr>
      </w:pPr>
    </w:p>
    <w:p>
      <w:pPr>
        <w:ind w:right="420" w:firstLine="342"/>
        <w:spacing w:after="0" w:line="300" w:lineRule="auto"/>
        <w:rPr>
          <w:sz w:val="20"/>
          <w:szCs w:val="20"/>
          <w:color w:val="auto"/>
        </w:rPr>
      </w:pPr>
      <w:r>
        <w:rPr>
          <w:rFonts w:ascii="Arial" w:cs="Arial" w:eastAsia="Arial" w:hAnsi="Arial"/>
          <w:sz w:val="15"/>
          <w:szCs w:val="15"/>
          <w:color w:val="auto"/>
        </w:rPr>
        <w:t>There is significant uncertainty related to the insurance coverage and reimbursement of newly approved products. In the United States, the principal decisions about coverage and reimbursement for new drugs are typically made by the Centers for Medicare &amp; Medicaid Services, or CMS, an agency within the U.S.</w:t>
      </w:r>
    </w:p>
    <w:p>
      <w:pPr>
        <w:spacing w:after="0" w:line="1" w:lineRule="exact"/>
        <w:rPr>
          <w:sz w:val="20"/>
          <w:szCs w:val="20"/>
          <w:color w:val="auto"/>
        </w:rPr>
      </w:pPr>
    </w:p>
    <w:p>
      <w:pPr>
        <w:ind w:right="140" w:firstLine="342"/>
        <w:spacing w:after="0" w:line="278" w:lineRule="auto"/>
        <w:rPr>
          <w:sz w:val="20"/>
          <w:szCs w:val="20"/>
          <w:color w:val="auto"/>
        </w:rPr>
      </w:pPr>
      <w:r>
        <w:rPr>
          <w:rFonts w:ascii="Arial" w:cs="Arial" w:eastAsia="Arial" w:hAnsi="Arial"/>
          <w:sz w:val="16"/>
          <w:szCs w:val="16"/>
          <w:color w:val="auto"/>
        </w:rPr>
        <w:t>Department of Health and Human Services responsible for administering the Medicare program, as CMS decides whether and to what extent a new drug will be covered and reimbursed under Medicare. Private payors tend to follow the coverage reimbursement policies established by CMS to a substantial degree. It is difficult to predict what CMS will decide with respect to reimbursement for products such as ours.</w:t>
      </w:r>
    </w:p>
    <w:p>
      <w:pPr>
        <w:spacing w:after="0" w:line="9" w:lineRule="exact"/>
        <w:rPr>
          <w:sz w:val="20"/>
          <w:szCs w:val="20"/>
          <w:color w:val="auto"/>
        </w:rPr>
      </w:pPr>
    </w:p>
    <w:p>
      <w:pPr>
        <w:ind w:right="60" w:firstLine="342"/>
        <w:spacing w:after="0" w:line="287" w:lineRule="auto"/>
        <w:rPr>
          <w:sz w:val="20"/>
          <w:szCs w:val="20"/>
          <w:color w:val="auto"/>
        </w:rPr>
      </w:pPr>
      <w:r>
        <w:rPr>
          <w:rFonts w:ascii="Arial" w:cs="Arial" w:eastAsia="Arial" w:hAnsi="Arial"/>
          <w:sz w:val="15"/>
          <w:szCs w:val="15"/>
          <w:color w:val="auto"/>
        </w:rPr>
        <w:t>In July 2010, CMS released its final rule to implement a bundled prospective payment system for the treatment of ESRD patients as required by the Medicare Improvements for Patients and Providers Act, or MIPPA. The bundled payment covers a bundle of items and services routinely required for dialysis treatments furnished to Medicare beneficiaries in Medicare-certified ESRD facilities or at their home, including the cost of certain routine drugs. The final rule delayed the inclusion of oral medications without intravenous equivalents in the bundled payment until January 1, 2014 and in April 2014, President Obama signed the Protecting Access to Medicare Act of 2014, which further extended this implementation date to January 1, 2024. Additionally, section 204 of the Stephen Beck, Jr., Achieving a Better Life Experience Act of 2014, or ABLE, provides that payment for oral-only ESRD drugs cannot be made under the ESRD Prospective Payment System prior to January 1, 2025. As a result of the recent legislation, beginning in 2025, ESRD-related drugs may be included in the bundle and separate Medicare reimbursement will no longer be available for such drugs, as it is today under Medicare Part D. While it is too early to project the full impact bundling may have on the industry, the impact could potentially cause dramatic price reductions for tenapanor and RDX7675, if approved. We may be unable to sell tenapanor and/or RDX7675, if approved, to dialysis providers on a profitable basis if third-party payors reduce their current levels of payment, or if our costs of production increase faster than increases in reimbursement levels.</w:t>
      </w:r>
    </w:p>
    <w:p>
      <w:pPr>
        <w:spacing w:after="0" w:line="4" w:lineRule="exact"/>
        <w:rPr>
          <w:sz w:val="20"/>
          <w:szCs w:val="20"/>
          <w:color w:val="auto"/>
        </w:rPr>
      </w:pPr>
    </w:p>
    <w:p>
      <w:pPr>
        <w:ind w:right="80" w:firstLine="342"/>
        <w:spacing w:after="0" w:line="288" w:lineRule="auto"/>
        <w:rPr>
          <w:sz w:val="20"/>
          <w:szCs w:val="20"/>
          <w:color w:val="auto"/>
        </w:rPr>
      </w:pPr>
      <w:r>
        <w:rPr>
          <w:rFonts w:ascii="Arial" w:cs="Arial" w:eastAsia="Arial" w:hAnsi="Arial"/>
          <w:sz w:val="15"/>
          <w:szCs w:val="15"/>
          <w:color w:val="auto"/>
        </w:rPr>
        <w:t>Outside the United States, international operations are generally subject to extensive governmental price controls and other market regulations, and we believe the increasing emphasis on cost-containment initiatives in Europe, Canada, Japan, China and other countries has and will continue to put pressure on the pricing and usage of our product candidates. In many countries, the prices of medical products are subject to varying price control mechanisms as part of national health systems. Other countries allow companies to fix their own prices for medicinal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 and profits.</w:t>
      </w:r>
    </w:p>
    <w:p>
      <w:pPr>
        <w:spacing w:after="0" w:line="1" w:lineRule="exact"/>
        <w:rPr>
          <w:sz w:val="20"/>
          <w:szCs w:val="20"/>
          <w:color w:val="auto"/>
        </w:rPr>
      </w:pPr>
    </w:p>
    <w:p>
      <w:pPr>
        <w:ind w:right="140" w:firstLine="342"/>
        <w:spacing w:after="0" w:line="314" w:lineRule="auto"/>
        <w:rPr>
          <w:sz w:val="20"/>
          <w:szCs w:val="20"/>
          <w:color w:val="auto"/>
        </w:rPr>
      </w:pPr>
      <w:r>
        <w:rPr>
          <w:rFonts w:ascii="Arial" w:cs="Arial" w:eastAsia="Arial" w:hAnsi="Arial"/>
          <w:sz w:val="14"/>
          <w:szCs w:val="14"/>
          <w:color w:val="auto"/>
        </w:rPr>
        <w:t>Moreover, increasing efforts by governmental and third-party payors in the United States and abroad to cap or reduce healthcare costs may cause such organizations to limit both coverage and the level of reimbursement for new products approved and, as a result, these caps may not cover or provide adequate payment for our product candidates.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w:t>
      </w:r>
    </w:p>
    <w:p>
      <w:pPr>
        <w:spacing w:after="0"/>
        <w:rPr>
          <w:sz w:val="20"/>
          <w:szCs w:val="20"/>
          <w:color w:val="auto"/>
        </w:rPr>
      </w:pPr>
      <w:r>
        <w:rPr>
          <w:rFonts w:ascii="Arial" w:cs="Arial" w:eastAsia="Arial" w:hAnsi="Arial"/>
          <w:sz w:val="14"/>
          <w:szCs w:val="14"/>
          <w:b w:val="1"/>
          <w:bCs w:val="1"/>
          <w:i w:val="1"/>
          <w:iCs w:val="1"/>
          <w:color w:val="auto"/>
        </w:rPr>
        <w:t>If product liability lawsuits are brought against us, we may incur substantial liabilities and may be required to limit commercialization of our product candidates.</w:t>
      </w:r>
    </w:p>
    <w:p>
      <w:pPr>
        <w:spacing w:after="0" w:line="82" w:lineRule="exact"/>
        <w:rPr>
          <w:sz w:val="20"/>
          <w:szCs w:val="20"/>
          <w:color w:val="auto"/>
        </w:rPr>
      </w:pPr>
    </w:p>
    <w:p>
      <w:pPr>
        <w:ind w:right="40" w:firstLine="342"/>
        <w:spacing w:after="0" w:line="291" w:lineRule="auto"/>
        <w:rPr>
          <w:sz w:val="20"/>
          <w:szCs w:val="20"/>
          <w:color w:val="auto"/>
        </w:rPr>
      </w:pPr>
      <w:r>
        <w:rPr>
          <w:rFonts w:ascii="Arial" w:cs="Arial" w:eastAsia="Arial" w:hAnsi="Arial"/>
          <w:sz w:val="15"/>
          <w:szCs w:val="15"/>
          <w:color w:val="auto"/>
        </w:rPr>
        <w:t>We face an inherent risk of product liability as a result of the clinical testing of our product candidates and will face an even greater risk if we commercialize any products. For example, we may be sued if any product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1" w:lineRule="exact"/>
        <w:rPr>
          <w:sz w:val="20"/>
          <w:szCs w:val="20"/>
          <w:color w:val="auto"/>
        </w:rPr>
      </w:pPr>
    </w:p>
    <w:p>
      <w:pPr>
        <w:ind w:left="780" w:hanging="326"/>
        <w:spacing w:after="0"/>
        <w:tabs>
          <w:tab w:leader="none" w:pos="7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decreased demand for our product candidates;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regulatory investigations, product recalls or withdrawals, or labeling, marketing or promotional restrictions;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loss of revenue;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inability to commercialize or co-promote our product candidates.</w:t>
      </w:r>
    </w:p>
    <w:p>
      <w:pPr>
        <w:spacing w:after="0" w:line="225" w:lineRule="exact"/>
        <w:rPr>
          <w:sz w:val="20"/>
          <w:szCs w:val="20"/>
          <w:color w:val="auto"/>
        </w:rPr>
      </w:pPr>
    </w:p>
    <w:p>
      <w:pPr>
        <w:ind w:right="240" w:firstLine="456"/>
        <w:spacing w:after="0" w:line="290" w:lineRule="auto"/>
        <w:rPr>
          <w:sz w:val="20"/>
          <w:szCs w:val="20"/>
          <w:color w:val="auto"/>
        </w:rPr>
      </w:pPr>
      <w:r>
        <w:rPr>
          <w:rFonts w:ascii="Arial" w:cs="Arial" w:eastAsia="Arial" w:hAnsi="Arial"/>
          <w:sz w:val="16"/>
          <w:szCs w:val="16"/>
          <w:color w:val="auto"/>
        </w:rPr>
        <w:t>Our inability to obtain and maintain sufficient product liability insurance at an acceptable cost and scope of coverage to protect against potential product liability claims could prevent or inhibit the commercialization of any products we develop. We currently carry product liability insurance covering use in our clinical trials in the amount of $10.0 million in the aggregate. Although we maintain such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deductibles,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 Moreover, in the future, we may not be able to maintain insurance coverage at a reasonable cost or in sufficient amounts to protect us against losses.</w:t>
      </w:r>
    </w:p>
    <w:p>
      <w:pPr>
        <w:spacing w:after="0" w:line="166"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b w:val="1"/>
          <w:bCs w:val="1"/>
          <w:i w:val="1"/>
          <w:iCs w:val="1"/>
          <w:color w:val="auto"/>
        </w:rPr>
        <w:t>We are highly dependent on the services of our President and Chief Executive Officer, Michael Raab, our Chief Operating Officer, Reginald Seeto, MBBS, our Chief Scientific Officer, Jeremy Caldwell, Ph.D., and our Chief Development Officer, David Rosenbaum, Ph.D. If we are not able to retain these members of our management team, or recruit additional management, clinical and scientific personnel, our business will suffer.</w:t>
      </w:r>
    </w:p>
    <w:p>
      <w:pPr>
        <w:spacing w:after="0" w:line="14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Our success depends in part on our continued ability to attract, retain and motivate highly qualified personnel. In particular, we are highly dependent upon Michael Raab, our President and Chief Executive Officer, Reginald Seeto, MBBS, our Chief Operating Officer, Jeremy Caldwell, Ph.D., our Chief Scientific Officer and David Rosenbaum, Ph.D., our Chief Development Officer. The loss of services of any of these individuals could delay or impair the successful development of our product pipeline, completion of our planned clinical trials or the commercialization of our product candidates. Although we have entered into employment agreements with our senior management team, including Mr. Raab and Drs. Seeto, Caldwell and Rosenbaum, these agreements are terminable at will with or without notice and, therefore, we may not be able to retain their services as expected. Although we have not historically experienced unique difficulties attracting and retaining qualified employees, we could experience such problems in the future. For example, competition for qualified personnel in the biotechnology and pharmaceuticals field is intense due to the limited number of individuals who possess the skills and experience required by our industry. In addition to the competition for personnel, the San Francisco Bay area in particular is characterized by a high cost of living. As such, we could have difficulty attracting experienced personnel to our company and may be required to expend significant financial resources in our employee recruitment and retention efforts.</w:t>
      </w:r>
    </w:p>
    <w:p>
      <w:pPr>
        <w:spacing w:after="0" w:line="183"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internal computer systems, or those of our CROs or other contractors or consultants, may fail or suffer data security breaches, which could adversely affect our business.</w:t>
      </w:r>
    </w:p>
    <w:p>
      <w:pPr>
        <w:spacing w:after="0" w:line="170"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Our business is increasingly dependent on critical, complex and interdependent information technology systems to support business processes as well as internal and external communications. Despite the implementation of security measures, the size and complexity of our internal computer systems, and those of our CROs and other contractors, make them vulnerable to damage from computer viruses, unauthorized access, natural disasters, terrorism, war and telecommunication and electrical failures. While we have not experienced any such system failure, accident or security breach to date, if such an event were to occur and cause interruptions in our operations, it could result in a material disruption of our programs. For example, the loss of clinical trial data from completed or ongoing clinical trials for any of our product candidates could result in delays in our regulatory approval efforts and significantly increase our costs to recover or reproduce the data. In addition, our systems are potentially vulnerable to data security breaches, whether by employees or others, which may expose sensitive data to unauthorized persons. Such data security breaches could lead to the loss of trade secrets or other intellectual property, or could lead to the public exposure of personal information of our employees, clinical trial patients, customers, and others. Such disruptions and breaches of security could expose us to liability and have a material adverse effect on the operating results and financial condition of our business.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b w:val="1"/>
          <w:bCs w:val="1"/>
          <w:i w:val="1"/>
          <w:iCs w:val="1"/>
          <w:color w:val="auto"/>
        </w:rPr>
        <w:t>We incur significant costs as a result of operating as a public company, and our management will devote substantial time to new compliance initiatives. We may fail to comply with the rules that apply to public companies, including Section 404 of the Sarbanes-Oxley Act of 2002, which could result in sanctions or other penalties that would harm our business.</w:t>
      </w:r>
    </w:p>
    <w:p>
      <w:pPr>
        <w:spacing w:after="0" w:line="154" w:lineRule="exact"/>
        <w:rPr>
          <w:sz w:val="20"/>
          <w:szCs w:val="20"/>
          <w:color w:val="auto"/>
        </w:rPr>
      </w:pPr>
    </w:p>
    <w:p>
      <w:pPr>
        <w:ind w:right="180" w:firstLine="456"/>
        <w:spacing w:after="0" w:line="288" w:lineRule="auto"/>
        <w:rPr>
          <w:sz w:val="20"/>
          <w:szCs w:val="20"/>
          <w:color w:val="auto"/>
        </w:rPr>
      </w:pPr>
      <w:r>
        <w:rPr>
          <w:rFonts w:ascii="Arial" w:cs="Arial" w:eastAsia="Arial" w:hAnsi="Arial"/>
          <w:sz w:val="16"/>
          <w:szCs w:val="16"/>
          <w:color w:val="auto"/>
        </w:rPr>
        <w:t>We incur significant legal, accounting and other expenses as a public company, including costs resulting from public company reporting obligations under the Securities Exchange Act of 1934, as amended, or the Exchange Act, and regulations regarding corporate governance practices. The listing requirements of The NASDAQ Global Market require that we satisfy certain corporate governance requirements relating to director independence, distributing annual and interim reports, stockholder meetings, approvals and voting, soliciting proxies, conflicts of interest and a code of conduct. Our management and other personnel will need to devote a substantial amount of time to ensure that we comply with all of these requirements. Moreover, the reporting requirements, rules and regulations will increase our legal and financial compliance costs and will make some activities more time consuming and costly. Any changes we make to comply with these obligations may not be sufficient to allow us to satisfy our obligations as a public company on a timely basis, or at all. These reporting requirements, rules and regulations, coupled with the increase in potential litigation exposure associated with being a public company, could also make it more difficult for us to attract and retain qualified persons to serve on our board of directors or board committees or to serve as executive officers, or to obtain certain types of insurance, including directors’ and officers’ insurance, on acceptable terms.</w:t>
      </w:r>
    </w:p>
    <w:p>
      <w:pPr>
        <w:spacing w:after="0" w:line="129" w:lineRule="exact"/>
        <w:rPr>
          <w:sz w:val="20"/>
          <w:szCs w:val="20"/>
          <w:color w:val="auto"/>
        </w:rPr>
      </w:pPr>
    </w:p>
    <w:p>
      <w:pPr>
        <w:ind w:right="40" w:firstLine="456"/>
        <w:spacing w:after="0" w:line="284" w:lineRule="auto"/>
        <w:rPr>
          <w:sz w:val="20"/>
          <w:szCs w:val="20"/>
          <w:color w:val="auto"/>
        </w:rPr>
      </w:pPr>
      <w:r>
        <w:rPr>
          <w:rFonts w:ascii="Arial" w:cs="Arial" w:eastAsia="Arial" w:hAnsi="Arial"/>
          <w:sz w:val="16"/>
          <w:szCs w:val="16"/>
          <w:color w:val="auto"/>
        </w:rPr>
        <w:t>We are subject to Section 404 of The Sarbanes-Oxley Act of 2002, or Section 404, and the related rules of the Securities and Exchange Commission, or SEC, which generally require our management and independent registered public accounting firm to report on the effectiveness of our internal control over financial reporting. Section 404 requires an annual management assessment of the effectiveness of our internal control over financial reporting. However, for so long as we remain an emerging growth company as defined in the Jumpstart Our Business Startups Act of 2012, or JOBS Act, we intend to take advantage of certain exemptions from various reporting requirements that are applicable to public companies that are emerging growth companies, including, but not limited to, not being required to comply with the auditor attestation requirements of Section 404. Once we are no longer an emerging growth company or, if prior to such date, we opt to no longer take advantage of the applicable exemption, we will be required to include an opinion from our independent registered public accounting firm on the effectiveness of our internal controls over financial reporting. We will remain an emerging growth company until the earlier of</w:t>
      </w:r>
    </w:p>
    <w:p>
      <w:pPr>
        <w:spacing w:after="0" w:line="1" w:lineRule="exact"/>
        <w:rPr>
          <w:sz w:val="20"/>
          <w:szCs w:val="20"/>
          <w:color w:val="auto"/>
        </w:rPr>
      </w:pPr>
    </w:p>
    <w:p>
      <w:pPr>
        <w:ind w:right="40" w:firstLine="8"/>
        <w:spacing w:after="0" w:line="254" w:lineRule="auto"/>
        <w:tabs>
          <w:tab w:leader="none" w:pos="2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last day of the fiscal year following the fifth anniversary of the completion of our IPO (December 31, 2019), (2) the last day of the fiscal year in which we have total annual gross revenue of at least $1.0 billion, (3) the last day of the fiscal year in which we are deemed to be a large accelerated filer, which means the market value of our common stock that is held by non-affiliates exceeds $700 million as of the prior June 30</w:t>
      </w:r>
      <w:r>
        <w:rPr>
          <w:rFonts w:ascii="Arial" w:cs="Arial" w:eastAsia="Arial" w:hAnsi="Arial"/>
          <w:sz w:val="15"/>
          <w:szCs w:val="15"/>
          <w:color w:val="auto"/>
        </w:rPr>
        <w:t>th</w:t>
      </w:r>
      <w:r>
        <w:rPr>
          <w:rFonts w:ascii="Arial" w:cs="Arial" w:eastAsia="Arial" w:hAnsi="Arial"/>
          <w:sz w:val="18"/>
          <w:szCs w:val="18"/>
          <w:color w:val="auto"/>
        </w:rPr>
        <w:t>, and (4) the date on which we have issued more than $1.0 billion in non-convertible debt during the prior three-year period.</w:t>
      </w:r>
    </w:p>
    <w:p>
      <w:pPr>
        <w:spacing w:after="0" w:line="149"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During the course of our review and testing of our internal controls, we may identify deficiencies and be unable to remediate them before we must provide the required reports. Furthermore, if we have a material weakness in our internal controls over financial reporting, we may not detect errors on a timely basis and our financial statements may be materially misstated. We or our independent registered public accounting firm may not be able to conclude on an ongoing basis that we have effective internal control over financial reporting, which could harm our operating results, cause investors to lose confidence in our reported financial information and cause the trading price of our stock to fall. In addition, as a public company we are required to file accurate and timely quarterly and annual reports with the SEC under the Exchange Act. Any failure to report our financial results on an accurate and timely basis could result in sanctions, lawsuits, delisting of our shares from The NASDAQ Global Market or other adverse consequences that would materially harm our business.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form collaboration partnerships in the future, and we may not realize the benefits of such collaborations.</w:t>
      </w:r>
    </w:p>
    <w:p>
      <w:pPr>
        <w:spacing w:after="0" w:line="185"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We currently expect to form collaboration partnerships, create joint ventures or enter into licensing arrangements with third parties that we believe will complement or augment our existing business. In particular, we currently expect to form one or more collaboration partnerships in connection with the commercialization of tenapanor, if approved. We face significant competition in seeking appropriate collaboration partners, and the negotiation process to secure appropriate terms is time-consuming and complex. Any delays in identifying suitable collaboration partners and entering into agreements to develop our product candidates could also delay the commercialization of our product candidates, which may reduce their competitiveness even if they reach the market. Moreover, we may not be successful in our efforts to establish such a collaboration partnership for any future product candidates and programs on terms that are acceptable to us, or at all. This may be because our product candidates and programs may be deemed to be at too early of a stage of development for collaborative effort, our research and development pipeline may be viewed as insufficient, and/or third parties may not view our product candidates and programs as having sufficient potential for commercialization, including the likelihood of an adequate safety and efficacy profile. Even if we are successful in entering a collaboration partnership or license arrangement, there is no guarantee that the collaboration partnership will be successful, or that any future collaboration partner will commit sufficient resources to the development, regulatory approval, and commercialization effort for such products, or that such alliances will result in us achieving revenues that justify such transactions.</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engage in strategic transactions that could impact our liquidity, increase our expenses and present significant distractions to our management.</w:t>
      </w:r>
    </w:p>
    <w:p>
      <w:pPr>
        <w:spacing w:after="0" w:line="152"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We may consider strategic transactions, such as acquisitions of companies, asset purchases, and or in-licensing of products, product candidates or technologies. Additional potential transactions that we may consider include a variety of different business arrangements, including spin-offs, collaboration partnerships, joint ventures, restructurings, divestitures, business combinations and investments. Any such transaction may require us to incur non-recurring or other charges, may increase our near- and long-term expenditures and may pose significant integration challenges or disrupt our management or business, which could adversely affect our operations and financial results. For example, these transactions may entail numerous operational and financial risks, including:</w:t>
      </w:r>
    </w:p>
    <w:p>
      <w:pPr>
        <w:spacing w:after="0" w:line="45" w:lineRule="exact"/>
        <w:rPr>
          <w:sz w:val="20"/>
          <w:szCs w:val="20"/>
          <w:color w:val="auto"/>
        </w:rPr>
      </w:pPr>
    </w:p>
    <w:p>
      <w:pPr>
        <w:ind w:left="900" w:right="500" w:hanging="325"/>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up-front, milestone and royalty payments, equity investments and financial support of new research and development candidates including increase of personnel, all of which may be substantial;</w:t>
      </w:r>
    </w:p>
    <w:p>
      <w:pPr>
        <w:spacing w:after="0" w:line="21"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exposure to unknown liabilities;</w:t>
      </w:r>
    </w:p>
    <w:p>
      <w:pPr>
        <w:spacing w:after="0" w:line="76" w:lineRule="exact"/>
        <w:rPr>
          <w:rFonts w:ascii="Arial" w:cs="Arial" w:eastAsia="Arial" w:hAnsi="Arial"/>
          <w:sz w:val="18"/>
          <w:szCs w:val="18"/>
          <w:color w:val="auto"/>
        </w:rPr>
      </w:pPr>
    </w:p>
    <w:p>
      <w:pPr>
        <w:ind w:left="900" w:right="300" w:hanging="325"/>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disruption of our business and diversion of our management’s time and attention in order to develop acquired products, product candidates or technologies;</w:t>
      </w:r>
    </w:p>
    <w:p>
      <w:pPr>
        <w:spacing w:after="0" w:line="21"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incurrence of substantial debt or dilutive issuances of equity securities to pay for acquisitions;</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higher-than-expected acquisition and integration costs;</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write-downs of assets or goodwill or impairment charges;</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increased amortization expenses;</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difficulty and cost in combining the operations and personnel of any acquired businesses with our operations and personnel;</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impairment of relationships with key suppliers or customers of any acquired businesses due to changes in management and ownership; and</w:t>
      </w:r>
    </w:p>
    <w:p>
      <w:pPr>
        <w:spacing w:after="0" w:line="99" w:lineRule="exact"/>
        <w:rPr>
          <w:rFonts w:ascii="Arial" w:cs="Arial" w:eastAsia="Arial" w:hAnsi="Arial"/>
          <w:sz w:val="16"/>
          <w:szCs w:val="16"/>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inability to retain key employees of any acquired businesses.</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Accordingly, although there can be no assurance that we will undertake or successfully complete any transactions of the nature described above, any transactions that we do complete may be subject to the foregoing or other risks and could have a material adverse effect on our business, results of operations, financial condition and prospects.</w:t>
      </w:r>
    </w:p>
    <w:p>
      <w:pPr>
        <w:spacing w:after="0" w:line="73"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b w:val="1"/>
          <w:bCs w:val="1"/>
          <w:i w:val="1"/>
          <w:iCs w:val="1"/>
          <w:color w:val="auto"/>
        </w:rPr>
        <w:t>If we seek and obtain approval to commercialize our product candidates outside of the United States, or otherwise engage in business outside of the United States, a variety of risks associated with international operations could materially adversely affect our business.</w:t>
      </w:r>
    </w:p>
    <w:p>
      <w:pPr>
        <w:spacing w:after="0" w:line="38"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We may decide to seek marketing approval for certain of our product candidates outside the United States or otherwise engage in business outside the United States, including entering into contractual agreements with third-parties. We expect that we will be subject to additional risks related to entering these international business markets and relationships, including:</w:t>
      </w:r>
    </w:p>
    <w:p>
      <w:pPr>
        <w:spacing w:after="0" w:line="33" w:lineRule="exact"/>
        <w:rPr>
          <w:sz w:val="20"/>
          <w:szCs w:val="20"/>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different regulatory requirements for drug approvals in foreign countries;</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differing United States and foreign drug import and export rules;</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 in foreign countries;</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different reimbursement systems, and different competitive drugs;</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76" w:lineRule="exact"/>
        <w:rPr>
          <w:rFonts w:ascii="Arial" w:cs="Arial" w:eastAsia="Arial" w:hAnsi="Arial"/>
          <w:sz w:val="18"/>
          <w:szCs w:val="18"/>
          <w:color w:val="auto"/>
        </w:rPr>
      </w:pPr>
    </w:p>
    <w:p>
      <w:pPr>
        <w:ind w:left="900" w:right="160" w:hanging="325"/>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revenues, and other obligations incident to doing business in another country;</w:t>
      </w:r>
    </w:p>
    <w:p>
      <w:pPr>
        <w:spacing w:after="0" w:line="21"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potential liability resulting from development work conducted by these distributors; and</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45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Our business involves the use of hazardous materials and we and third-parties with whom we contract must comply with environmental laws and regulations, which can be expensive and restrict how we do business.</w:t>
      </w:r>
    </w:p>
    <w:p>
      <w:pPr>
        <w:spacing w:after="0" w:line="170"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Our research and development activities involve the controlled storage, use and disposal of hazardous materials, including the components of our product candidates and other hazardous compounds. We and manufacturers and suppliers with whom we may contract are subject to laws and regulations governing the use, manufacture, storage, handling and disposal of these hazardous materials. In some cases, these hazardous materials and various wastes resulting from their use are stored at our and our manufacturers’ facilities pending their use and disposal. We cannot eliminate the risk of contamination, which could cause an interruption of our commercialization efforts, research and development efforts and business operations, environmental damage resulting in costly clean-up and liabilities under applicable laws and regulations governing the use, storage, handling and disposal of these materials and specified waste products. We cannot guarantee that that the safety procedures utilized by third-party manufacturers and suppliers with whom we may contract will comply with the standards prescribed by laws and regulations or will eliminate the risk of accidental contamination or injury from these materials. In such an event, we may be held liable for any resulting damages and such liability could exceed our resources and state or federal or other applicable authorities may curtail our use of certain materials and/or interrupt our business operations. Furthermore, environmental laws and regulations are complex, change frequently and have tended to become more stringent. We cannot predict the impact of such changes and cannot be certain of our future compliance. We do not currently carry biological or hazardous waste insurance coverage.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adversely affected by the current global economic environment.</w:t>
      </w:r>
    </w:p>
    <w:p>
      <w:pPr>
        <w:spacing w:after="0" w:line="225"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Our ability to attract and retain collaboration partners or customers, invest in and grow our business and meet our financial obligations depends on our operating and financial performance, which, in turn, is subject to numerous factors, including the prevailing economic conditions and financial, business and other factors beyond our control, such as the rate of unemployment, the number of uninsured persons in the United States, presidential elections, other political influences and inflationary pressures. Our results of operations could be adversely affected by general conditions in the global economy and in the global financial markets. The recent global financial crisis caused extreme volatility and disruptions in the capital and credit markets. We cannot anticipate all the ways in which the current global economic climate and global financial market conditions could adversely impact our business.</w:t>
      </w:r>
    </w:p>
    <w:p>
      <w:pPr>
        <w:spacing w:after="0" w:line="165"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are exposed to risks associated with reduced profitability and the potential financial instability of our collaboration partners or customers, many of which may be adversely affected by volatile conditions in the financial markets. For example, unemployment and underemployment, and the resultant loss of insurance, may decrease the demand for healthcare services and pharmaceuticals. If fewer patients are seeking medical care because they do not have insurance coverage, our collaboration partners or customers may experience reductions in revenues, profitability and/or cash flow that could lead them to reduce their support of our programs or financing activities. If collaboration partners or customers are not successful in generating sufficient revenue or are precluded from securing financing, they may not be able to pay, or may delay payment of, accounts receivable that are owed to us. In addition, the volatility in the financial markets could cause significant fluctuations in the interest rate and currency markets. We currently do not hedge for these risks. The foregoing events, in turn, could adversely affect our financial condition and liquidity. In addition, if economic challenges in the United States result in widespread and prolonged unemployment, either regionally or on a national basis, prior to the effectiveness or after the repeal of certain provisions of the Patient Protection and Affordable Care Act, as amended by the Health Care and Education Reconciliation Act, collectively known as the Affordable Care Act, a substantial number of people may become uninsured or underinsured. To the extent economic challenges result in fewer individuals pursuing or being able to afford our product candidates once commercialized, our business, results of operations, financial condition and cash flows could be adversely affected.</w:t>
      </w:r>
    </w:p>
    <w:p>
      <w:pPr>
        <w:spacing w:after="0" w:line="16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We may be adversely affected by earthquakes or other natural disasters and our business continuity and disaster recovery plans may not adequately protect us from a serious disaster.</w:t>
      </w:r>
    </w:p>
    <w:p>
      <w:pPr>
        <w:spacing w:after="0" w:line="17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Our corporate headquarters and other facilities are located in the San Francisco Bay Area, which in the past has experienced severe earthquakes. We do not carry earthquake insurance. Earthquakes or other natural disasters could severely disrupt our operations, and have a material adverse effect on our business, results of operations, financial condition and prospects.</w:t>
      </w:r>
    </w:p>
    <w:p>
      <w:pPr>
        <w:spacing w:after="0" w:line="18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If a natural disaster, power outage or other event occurred that prevented us from using all or a significant portion of our headquarters, that damaged critical infrastructure, such as our enterprise financial systems or manufacturing resource planning and enterprise quality systems, or that otherwise disrupted operations, it may be difficult or, in certain cases, impossible for us to continue our business for a substantial period of time. The disaster recovery and business continuity plans we have in place currently are limited and are unlikely to prove adequate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45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54" w:lineRule="exact"/>
        <w:rPr>
          <w:sz w:val="20"/>
          <w:szCs w:val="20"/>
          <w:color w:val="auto"/>
        </w:rPr>
      </w:pPr>
    </w:p>
    <w:p>
      <w:pPr>
        <w:ind w:right="220"/>
        <w:spacing w:after="0" w:line="308" w:lineRule="auto"/>
        <w:rPr>
          <w:sz w:val="20"/>
          <w:szCs w:val="20"/>
          <w:color w:val="auto"/>
        </w:rPr>
      </w:pPr>
      <w:r>
        <w:rPr>
          <w:rFonts w:ascii="Arial" w:cs="Arial" w:eastAsia="Arial" w:hAnsi="Arial"/>
          <w:sz w:val="16"/>
          <w:szCs w:val="16"/>
          <w:b w:val="1"/>
          <w:bCs w:val="1"/>
          <w:i w:val="1"/>
          <w:iCs w:val="1"/>
          <w:color w:val="auto"/>
        </w:rPr>
        <w:t>The regulatory approval processes of the FDA and comparable foreign authorities are lengthy, time consuming and inherently unpredictable. If we are ultimately unable to obtain regulatory approval for our product candidates, our business will be substantially harmed.</w:t>
      </w:r>
    </w:p>
    <w:p>
      <w:pPr>
        <w:ind w:right="120" w:firstLine="456"/>
        <w:spacing w:after="0" w:line="290" w:lineRule="auto"/>
        <w:rPr>
          <w:sz w:val="20"/>
          <w:szCs w:val="20"/>
          <w:color w:val="auto"/>
        </w:rPr>
      </w:pPr>
      <w:r>
        <w:rPr>
          <w:rFonts w:ascii="Arial" w:cs="Arial" w:eastAsia="Arial" w:hAnsi="Arial"/>
          <w:sz w:val="16"/>
          <w:szCs w:val="16"/>
          <w:color w:val="auto"/>
        </w:rPr>
        <w:t>The research, testing, manufacturing, labeling, approval, selling, import, export, marketing and distribution of drug products are subject to extensive regulation by the FDA and other regulatory authorities in the United States and other countries, which regulations differ from country to country. Neither we nor any of our collaboration partners is permitted to market any drug product in the United States until we receive marketing approval from the FDA. We have not submitted an application or obtained marketing approval for any of our product candidates anywhere in the world. Obtaining regulatory approval of a NDA can be a lengthy, expensive and uncertain process. In addition, failure to comply with FDA and other applicable United States and foreign regulatory requirements may subject us to administrative or judicially imposed sanctions or other actions, including:</w:t>
      </w:r>
    </w:p>
    <w:p>
      <w:pPr>
        <w:spacing w:after="0" w:line="3" w:lineRule="exact"/>
        <w:rPr>
          <w:sz w:val="20"/>
          <w:szCs w:val="20"/>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warning letters;</w:t>
      </w:r>
    </w:p>
    <w:p>
      <w:pPr>
        <w:spacing w:after="0" w:line="49"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civil and criminal penalties;</w:t>
      </w:r>
    </w:p>
    <w:p>
      <w:pPr>
        <w:spacing w:after="0" w:line="49"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injunctions;</w:t>
      </w:r>
    </w:p>
    <w:p>
      <w:pPr>
        <w:spacing w:after="0" w:line="49"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withdrawal of regulatory approval of products;</w:t>
      </w:r>
    </w:p>
    <w:p>
      <w:pPr>
        <w:spacing w:after="0" w:line="49"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product seizure or detention;</w:t>
      </w:r>
    </w:p>
    <w:p>
      <w:pPr>
        <w:spacing w:after="0" w:line="49"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product recalls;</w:t>
      </w:r>
    </w:p>
    <w:p>
      <w:pPr>
        <w:spacing w:after="0" w:line="49"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total or partial suspension of production; and</w:t>
      </w:r>
    </w:p>
    <w:p>
      <w:pPr>
        <w:spacing w:after="0" w:line="49"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refusal to approve pending NDAs or supplements to approved NDAs.</w:t>
      </w:r>
    </w:p>
    <w:p>
      <w:pPr>
        <w:spacing w:after="0" w:line="36"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Prior to obtaining approval to commercialize a drug candidate in the United States or abroad, we or our collaboration partners must demonstrate with substantial evidence from well-controlled clinical trials, and to the satisfaction of the FDA or other foreign regulatory agencies, that such drug candidates are safe and effective for their intended uses. The number of nonclinical studies and clinical trials that will be required for FDA approval varies depending on the drug candidate, the disease or condition that the drug candidate is designed to address, and the regulations applicable to any particular drug candidate. Results from nonclinical studies and clinical trials can be interpreted in different ways. Even if we believe the nonclinical or clinical data for our drug candidates are promising, such data may not be sufficient to support approval by the FDA and other regulatory authorities. Administering drug candidates to humans may produce undesirable side effects, which could interrupt, delay or halt clinical trials and result in the FDA or other regulatory authorities denying approval of a drug candidate for any or all targeted indications.</w:t>
      </w:r>
    </w:p>
    <w:p>
      <w:pPr>
        <w:spacing w:after="0" w:line="3" w:lineRule="exact"/>
        <w:rPr>
          <w:sz w:val="20"/>
          <w:szCs w:val="20"/>
          <w:color w:val="auto"/>
        </w:rPr>
      </w:pPr>
    </w:p>
    <w:p>
      <w:pPr>
        <w:ind w:firstLine="456"/>
        <w:spacing w:after="0" w:line="267" w:lineRule="auto"/>
        <w:rPr>
          <w:sz w:val="20"/>
          <w:szCs w:val="20"/>
          <w:color w:val="auto"/>
        </w:rPr>
      </w:pPr>
      <w:r>
        <w:rPr>
          <w:rFonts w:ascii="Arial" w:cs="Arial" w:eastAsia="Arial" w:hAnsi="Arial"/>
          <w:sz w:val="17"/>
          <w:szCs w:val="17"/>
          <w:color w:val="auto"/>
        </w:rPr>
        <w:t>The time required to obtain approval by the FDA and comparable foreign authorities is unpredictable, typically takes many years following the commencement of clinical studies, and depends upon numerous factors. The FDA and comparable foreign authorities have substantial discretion in the approval process and we may encounter matters with the FDA or such comparable authorities that requires us to expend additional time and resources and delay or prevent the approval of our product candidates. For example, the FDA may require us to conduct additional studies or trials for drug product either prior to or post-approval, such as additional drug-drug interaction studies or safety or efficacy studies or trials, or it may object to elements of our clinical development program such as the number of subjects in our current clinical trials from the United States. In addition, approval policies, regulations or the type and amount of clinical data necessary to gain approval may change during the course of a product candidate’s clinical development and may vary among jurisdictions, which may cause delays in the approval or result in a decision not to approve an application for regulatory approval. Despite the time and expense exerted, failure can occur at any stage.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Applications for our product candidates could fail to receive regulatory approval for many reasons, including but not limited to the following:</w:t>
      </w:r>
    </w:p>
    <w:p>
      <w:pPr>
        <w:spacing w:after="0" w:line="35" w:lineRule="exact"/>
        <w:rPr>
          <w:sz w:val="20"/>
          <w:szCs w:val="20"/>
          <w:color w:val="auto"/>
        </w:rPr>
      </w:pPr>
    </w:p>
    <w:p>
      <w:pPr>
        <w:ind w:left="900" w:right="420" w:hanging="325"/>
        <w:spacing w:after="0" w:line="274"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our, or our collaboration partners’, clinical studies;</w:t>
      </w:r>
    </w:p>
    <w:p>
      <w:pPr>
        <w:ind w:left="900" w:right="380" w:hanging="325"/>
        <w:spacing w:after="0" w:line="274"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population studied in the clinical program may not be sufficiently broad or representative to assure safety in the full population for which approval is sought;</w:t>
      </w:r>
    </w:p>
    <w:p>
      <w:pPr>
        <w:ind w:left="900" w:hanging="325"/>
        <w:spacing w:after="0"/>
        <w:tabs>
          <w:tab w:leader="none" w:pos="9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may disagree with the interpretation of data from preclinical studies or clinical studies;</w:t>
      </w:r>
    </w:p>
    <w:p>
      <w:pPr>
        <w:spacing w:after="0" w:line="61" w:lineRule="exact"/>
        <w:rPr>
          <w:rFonts w:ascii="Arial" w:cs="Arial" w:eastAsia="Arial" w:hAnsi="Arial"/>
          <w:sz w:val="17"/>
          <w:szCs w:val="17"/>
          <w:color w:val="auto"/>
        </w:rPr>
      </w:pPr>
    </w:p>
    <w:p>
      <w:pPr>
        <w:ind w:left="900" w:right="200" w:hanging="325"/>
        <w:spacing w:after="0" w:line="274"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data collected from clinical studies of our product candidates may not be sufficient to support the submission of a NDA or other submission or to obtain regulatory approval in the United States or elsewhere;</w:t>
      </w:r>
    </w:p>
    <w:p>
      <w:pPr>
        <w:ind w:left="900" w:right="20" w:hanging="325"/>
        <w:spacing w:after="0" w:line="274"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or our collaboration partners may be unable to demonstrate to the FDA or comparable foreign regulatory authorities that a product candidate’s risk-benefit ratio for its proposed indication is acceptable;</w:t>
      </w:r>
    </w:p>
    <w:p>
      <w:pPr>
        <w:ind w:left="900" w:right="360" w:hanging="325"/>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fail to approve the manufacturing processes, test procedures and specifications, or facilities of third-party manufacturers responsible for clinical and commercial supplies; and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80" w:hanging="325"/>
        <w:spacing w:after="0" w:line="277"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for approval.</w:t>
      </w:r>
    </w:p>
    <w:p>
      <w:pPr>
        <w:spacing w:after="0" w:line="17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This lengthy approval process, as well as the unpredictability of the results of clinical studies, may result in our failure and/or that of our collaboration partners to obtain regulatory approval to market any of our product candidates, which would significantly harm our business, results of operations, and prospects. Additionally, if the FDA requires that we conduct additional clinical studies, places limitations in our label, delays approval to market our product candidates or limits the use of our products, our business and results of operations may be harmed.</w:t>
      </w:r>
    </w:p>
    <w:p>
      <w:pPr>
        <w:spacing w:after="0" w:line="187"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In addition, even if we were to obtain approval, regulatory authorities may approve any of our product candidates for fewer or more limited indications than we request, may not approve the price we intend to charge for our products,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p>
    <w:p>
      <w:pPr>
        <w:spacing w:after="0" w:line="15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b w:val="1"/>
          <w:bCs w:val="1"/>
          <w:i w:val="1"/>
          <w:iCs w:val="1"/>
          <w:color w:val="auto"/>
        </w:rPr>
        <w:t>Even if we receive regulatory approval for a product candidate, we will be subject to ongoing regulatory obligations and continued regulatory review, which may result in significant additional expense. Additionally, any product candidates, if approved, could be subject to labeling and other restrictions and market withdrawal, and we may be subject to penalties if we fail to comply with regulatory requirements or experience unanticipated problems with our products.</w:t>
      </w:r>
    </w:p>
    <w:p>
      <w:pPr>
        <w:spacing w:after="0" w:line="18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Even if a drug is approved by the FDA or foreign regulatory authorities, the manufacturing processes, labeling, packaging, distribution, adverse event reporting, storage, advertising, promotion and recordkeeping for the product will be subject to extensive and ongoing regulatory requirements. These requirements include submissions of safety and other post-marketing information and reports, registration, as well as continued compliance with cGMPs and GCP regulations for any clinical trials that we conduct post-approval. As such, we and our third party contract manufacturers will be subject to continual review and periodic inspections to assess compliance with regulatory requirements. Accordingly, we and others with whom we work must continue to expend time, money, and effort in all areas of regulatory compliance, including manufacturing, production, and quality control. Regulatory authorities may also impose significant restrictions on a product’s indicated uses or marketing or impose ongoing requirements for potentially costly post-marketing studies. Furthermore, any new legislation addressing drug safety issues could result in delays or increased costs to assure compliance.</w:t>
      </w:r>
    </w:p>
    <w:p>
      <w:pPr>
        <w:spacing w:after="0" w:line="17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will also be required to report certain adverse reactions and production problems, if any, to the FDA, and to comply with requirements concerning advertising and promotion for our products. Promotional communications with respect to prescription drugs are subject to a variety of legal and regulatory restrictions and must be consistent with the information in the product’s approved label. As such, we may not promote our products for indications or uses for which they do not have FDA approval.</w:t>
      </w:r>
    </w:p>
    <w:p>
      <w:pPr>
        <w:spacing w:after="0" w:line="187" w:lineRule="exact"/>
        <w:rPr>
          <w:sz w:val="20"/>
          <w:szCs w:val="20"/>
          <w:color w:val="auto"/>
        </w:rPr>
      </w:pPr>
    </w:p>
    <w:p>
      <w:pPr>
        <w:ind w:right="300" w:firstLine="456"/>
        <w:spacing w:after="0" w:line="308" w:lineRule="auto"/>
        <w:rPr>
          <w:sz w:val="20"/>
          <w:szCs w:val="20"/>
          <w:color w:val="auto"/>
        </w:rPr>
      </w:pPr>
      <w:r>
        <w:rPr>
          <w:rFonts w:ascii="Arial" w:cs="Arial" w:eastAsia="Arial" w:hAnsi="Arial"/>
          <w:sz w:val="17"/>
          <w:szCs w:val="17"/>
          <w:color w:val="auto"/>
        </w:rPr>
        <w:t>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spacing w:after="0" w:line="52" w:lineRule="exact"/>
        <w:rPr>
          <w:sz w:val="20"/>
          <w:szCs w:val="20"/>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warning letters, fines or holds on clinical trials;</w:t>
      </w:r>
    </w:p>
    <w:p>
      <w:pPr>
        <w:spacing w:after="0" w:line="130" w:lineRule="exact"/>
        <w:rPr>
          <w:rFonts w:ascii="Arial" w:cs="Arial" w:eastAsia="Arial" w:hAnsi="Arial"/>
          <w:sz w:val="18"/>
          <w:szCs w:val="18"/>
          <w:color w:val="auto"/>
        </w:rPr>
      </w:pPr>
    </w:p>
    <w:p>
      <w:pPr>
        <w:ind w:left="900" w:right="380" w:hanging="325"/>
        <w:spacing w:after="0" w:line="27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withdrawal of the product from the market or voluntary or mandatory product recalls;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suspension or revocation of existing regulatory approvals;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suspension of any of our ongoing clinical trials;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submitted by us;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restrictions on our or our contract manufacturers’ operations;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w:t>
      </w:r>
    </w:p>
    <w:p>
      <w:pPr>
        <w:spacing w:after="0" w:line="225"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our product candidates. If regulatory sanctions are applied or if regulatory approval is withdrawn, the value of our company and our operating results will be adversely affected.</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459"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addition, the FDA’s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spacing w:after="0" w:line="11" w:lineRule="exact"/>
        <w:rPr>
          <w:sz w:val="20"/>
          <w:szCs w:val="20"/>
          <w:color w:val="auto"/>
        </w:rPr>
      </w:pPr>
    </w:p>
    <w:p>
      <w:pPr>
        <w:ind w:right="480"/>
        <w:spacing w:after="0" w:line="308" w:lineRule="auto"/>
        <w:rPr>
          <w:sz w:val="20"/>
          <w:szCs w:val="20"/>
          <w:color w:val="auto"/>
        </w:rPr>
      </w:pPr>
      <w:r>
        <w:rPr>
          <w:rFonts w:ascii="Arial" w:cs="Arial" w:eastAsia="Arial" w:hAnsi="Arial"/>
          <w:sz w:val="16"/>
          <w:szCs w:val="16"/>
          <w:b w:val="1"/>
          <w:bCs w:val="1"/>
          <w:i w:val="1"/>
          <w:iCs w:val="1"/>
          <w:color w:val="auto"/>
        </w:rPr>
        <w:t>We and our contract manufacturers are subject to significant regulation with respect to manufacturing our product candidates. The manufacturing facilities on which we rely may not continue to meet regulatory requirements or may not be able to meet supply demands.</w:t>
      </w:r>
    </w:p>
    <w:p>
      <w:pPr>
        <w:ind w:firstLine="456"/>
        <w:spacing w:after="0" w:line="284" w:lineRule="auto"/>
        <w:rPr>
          <w:sz w:val="20"/>
          <w:szCs w:val="20"/>
          <w:color w:val="auto"/>
        </w:rPr>
      </w:pPr>
      <w:r>
        <w:rPr>
          <w:rFonts w:ascii="Arial" w:cs="Arial" w:eastAsia="Arial" w:hAnsi="Arial"/>
          <w:sz w:val="16"/>
          <w:szCs w:val="16"/>
          <w:color w:val="auto"/>
        </w:rPr>
        <w:t>All entities involved in the preparation of product candidates for clinical studies or commercial sale, including our existing contract manufacturers for our product candidates are subject to extensive regulation. Components of a finished therapeutic product approved for commercial sale or used in late-stage clinical studies must be manufactured in accordance with cGMP regulations. These regulations govern manufacturing processes and procedures (including record keeping) and the implementation and operation of quality systems to control and assure the quality of investigational products and products approved for sale. Poor control of production processes can lead to the introduction of contaminants or to inadvertent changes in the properties or stability of our product candidates that may not be detectable in final product testing. We or our contract manufacturers must supply all necessary documentation in support of an NDA or comparable regulatory filing on a timely basis and must adhere to cGMP regulations enforced by the FDA and other regulatory agencies through their facilities inspection programs. The facilities and quality systems of some or all of our third-party contractors must pass a pre-approval inspection for compliance with the applicable regulations as a condition of regulatory approval of our product candidates. In addition, the regulatory authorities may, at any time, audit or inspect a manufacturing facility involved with the preparation of our product candidates or our other potential products or the associated quality systems for compliance with the regulations applicable to the activities being conducted. Although we oversee the contract manufacturers, we cannot control the manufacturing process of, and are completely dependent on, our contract manufacturing partners for compliance with the regulatory requirements. If these facilities do not pass a pre-approval plant inspection, regulatory approval of the products may not be granted or may be substantially delayed until any violations are corrected to the satisfaction of the regulatory authority, if ever. In addition, we have no control over the ability of our contract manufacturers to maintain adequate quality control, quality assurance and qualified personnel.</w:t>
      </w:r>
    </w:p>
    <w:p>
      <w:pPr>
        <w:spacing w:after="0" w:line="3"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The regulatory authorities also may, at any time following approval of a product for sale, audit the manufacturing facilities of our third-party contractors. If any such inspection or audit identifies a failure to comply with applicable regulations or if a violation of our product specifications or applicable regulations occurs independent of such an inspection or audit, we or the relevant regulatory authority may require remedial measures that may be costly and/or time consuming for us or a third party to implement, and that may include the temporary or permanent suspension of a clinical study or commercial sales or the temporary or permanent suspension of production or closure of a facility. Any such remedial measures imposed upon us or third parties with whom we contract could materially harm our business.</w:t>
      </w:r>
    </w:p>
    <w:p>
      <w:pPr>
        <w:spacing w:after="0" w:line="1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If we or any of our third-party manufacturers fail to maintain regulatory compliance, the FDA or other applicable regulatory authority can impose regulatory sanctions including, among other things, refusal to approve a pending application for a new drug product, withdrawal of an approval, or suspension of production. As a result, our business, financial condition, and results of operations may be materially harmed.</w:t>
      </w:r>
    </w:p>
    <w:p>
      <w:pPr>
        <w:spacing w:after="0" w:line="6" w:lineRule="exact"/>
        <w:rPr>
          <w:sz w:val="20"/>
          <w:szCs w:val="20"/>
          <w:color w:val="auto"/>
        </w:rPr>
      </w:pPr>
    </w:p>
    <w:p>
      <w:pPr>
        <w:ind w:right="20" w:firstLine="456"/>
        <w:spacing w:after="0" w:line="258" w:lineRule="auto"/>
        <w:rPr>
          <w:sz w:val="20"/>
          <w:szCs w:val="20"/>
          <w:color w:val="auto"/>
        </w:rPr>
      </w:pPr>
      <w:r>
        <w:rPr>
          <w:rFonts w:ascii="Arial" w:cs="Arial" w:eastAsia="Arial" w:hAnsi="Arial"/>
          <w:sz w:val="18"/>
          <w:szCs w:val="18"/>
          <w:color w:val="auto"/>
        </w:rPr>
        <w:t>Additionally, if supply from one approved manufacturer is interrupted, an alternative manufacturer would need to be qualified through an NDA, a supplemental NDA or equivalent foreign regulatory filing, which could result in further delay. The regulatory agencies may also require additional studies if a new manufacturer is relied upon for commercial production. Switching manufacturers may involve substantial costs and is likely to result in a delay in our desired clinical and commercial timelines.</w:t>
      </w:r>
    </w:p>
    <w:p>
      <w:pPr>
        <w:spacing w:after="0" w:line="1" w:lineRule="exact"/>
        <w:rPr>
          <w:sz w:val="20"/>
          <w:szCs w:val="20"/>
          <w:color w:val="auto"/>
        </w:rPr>
      </w:pPr>
    </w:p>
    <w:p>
      <w:pPr>
        <w:ind w:firstLine="456"/>
        <w:spacing w:after="0" w:line="299" w:lineRule="auto"/>
        <w:rPr>
          <w:sz w:val="20"/>
          <w:szCs w:val="20"/>
          <w:color w:val="auto"/>
        </w:rPr>
      </w:pPr>
      <w:r>
        <w:rPr>
          <w:rFonts w:ascii="Arial" w:cs="Arial" w:eastAsia="Arial" w:hAnsi="Arial"/>
          <w:sz w:val="16"/>
          <w:szCs w:val="16"/>
          <w:color w:val="auto"/>
        </w:rPr>
        <w:t>These factors could cause us to incur higher costs and could cause the delay or termination of clinical studies, regulatory submissions, required approvals, or commercialization of our product candidates. Furthermore, if our suppliers fail to meet contractual requirements and we are unable to secure one or more replacement suppliers capable of production at a substantially equivalent cost, our clinical studies may be delayed or we could lose potential revenue.</w:t>
      </w:r>
    </w:p>
    <w:p>
      <w:pPr>
        <w:spacing w:after="0" w:line="1" w:lineRule="exact"/>
        <w:rPr>
          <w:sz w:val="20"/>
          <w:szCs w:val="20"/>
          <w:color w:val="auto"/>
        </w:rPr>
      </w:pPr>
    </w:p>
    <w:p>
      <w:pPr>
        <w:ind w:right="180"/>
        <w:spacing w:after="0" w:line="274" w:lineRule="auto"/>
        <w:rPr>
          <w:sz w:val="20"/>
          <w:szCs w:val="20"/>
          <w:color w:val="auto"/>
        </w:rPr>
      </w:pPr>
      <w:r>
        <w:rPr>
          <w:rFonts w:ascii="Arial" w:cs="Arial" w:eastAsia="Arial" w:hAnsi="Arial"/>
          <w:sz w:val="18"/>
          <w:szCs w:val="18"/>
          <w:b w:val="1"/>
          <w:bCs w:val="1"/>
          <w:i w:val="1"/>
          <w:iCs w:val="1"/>
          <w:color w:val="auto"/>
        </w:rPr>
        <w:t>If we fail to comply or are found to have failed to comply with FDA and other regulations related to the promotion of our products for unapproved uses, we could be subject to criminal penalties, substantial fines or other sanctions and damage awards.</w:t>
      </w:r>
    </w:p>
    <w:p>
      <w:pPr>
        <w:ind w:right="180" w:firstLine="456"/>
        <w:spacing w:after="0" w:line="271" w:lineRule="auto"/>
        <w:rPr>
          <w:sz w:val="20"/>
          <w:szCs w:val="20"/>
          <w:color w:val="auto"/>
        </w:rPr>
      </w:pPr>
      <w:r>
        <w:rPr>
          <w:rFonts w:ascii="Arial" w:cs="Arial" w:eastAsia="Arial" w:hAnsi="Arial"/>
          <w:sz w:val="17"/>
          <w:szCs w:val="17"/>
          <w:color w:val="auto"/>
        </w:rPr>
        <w:t>The regulations relating to the promotion of products for unapproved uses are complex and subject to substantial interpretation by the FDA and other government agencies. If tenapanor, RDX7675 or our other product candidates receive marketing approval, we and our collaborating partners, if any, will be restricted from marketing the product outside of its approved labeling, also referred to as off-label promotion. However, physicians may nevertheless prescribe an approved product to their patients in a manner that is inconsistent with the approved label, which is an off-label use. We intend to implement compliance and training programs designed to ensure that our sales and marketing practices comply with applicable regulations regarding off-label promotion. Notwithstanding these programs, the FDA or other government agencies may allege or find that our practices constitute prohibited promotion of our product candidates for unapproved uses. We also cannot be sure that our employees will comply with company policies and applicable regulations regarding the promotion of products for unapproved uses.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Over the past several years, a significant number of pharmaceutical and biotechnology companies have been the target of inquiries and investigations by various federal and state regulatory, investigative, prosecutorial and administrative entities in connection with the promotion of products for unapproved uses and other sales practices, including the Department of Justice and various U.S. Attorneys’ Offices, the Office of Inspector General of the Department of Health and Human Services, the FDA, the Federal Trade Commission and various state Attorneys General offices. These investigations have alleged violations of various federal and state laws and regulations, including claims asserting antitrust violations, violations of the Food, Drug and Cosmetic Act, the False Claims Act, the Prescription Drug Marketing Act, anti-kickback laws, and other alleged violations in connection with the promotion of products for unapproved uses, pricing and Medicare and/or Medicaid reimbursement. Many of these investigations originate as “qui tam” actions under the False Claims Act. Under the False Claims Act, any individual can bring a claim on behalf of the government alleging that a person or entity has presented a false claim, or caused a false claim to be submitted, to the government for payment. The person bringing a qui tam suit is entitled to a share of any recovery or settlement. Qui tam suits, also commonly referred to as “whistleblower suits,” are often brought by current or former employees. In a qui tam suit, the government must decide whether to intervene and prosecute the case. If it declines, the individual may pursue the case alone.</w:t>
      </w:r>
    </w:p>
    <w:p>
      <w:pPr>
        <w:spacing w:after="0" w:line="146"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If the FDA or any other governmental agency initiates an enforcement action against us or if we are the subject of a qui tam suit and it is determined that we violated prohibitions relating to the promotion of products for unapproved uses, we could be subject to substantial civil or criminal fines or damage awards and other sanctions such as consent decrees and corporate integrity agreements pursuant to which our activities would be subject to ongoing scrutiny and monitoring to ensure compliance with applicable laws and regulations. Any such fines, awards or other sanctions would have an adverse effect on our revenue, business, financial prospects and reputation.</w:t>
      </w:r>
    </w:p>
    <w:p>
      <w:pPr>
        <w:spacing w:after="0" w:line="148"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b w:val="1"/>
          <w:bCs w:val="1"/>
          <w:i w:val="1"/>
          <w:iCs w:val="1"/>
          <w:color w:val="auto"/>
        </w:rPr>
        <w:t>If approved, tenapanor, RDX7675 and our other product candidates may cause or contribute to adverse medical events that we are required to report to regulatory agencies and if we fail to do so we could be subject to sanctions that would materially harm our business.</w:t>
      </w:r>
    </w:p>
    <w:p>
      <w:pPr>
        <w:spacing w:after="0" w:line="10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Some participants in clinical studies of tenapanor have reported adverse effects after being treated with tenapanor, including diarrhea, nausea, flatulence, abdominal discomfort, abdominal pain, abdominal distention and changes in electrolytes. If we are successful in commercializing any products, FDA and foreign regulatory agency regulations require that we report certain information about adverse medical events if those products may have caused or contributed to those adverse events. The timing of our obligation to report would be triggered by the date we become aware of the adverse event as well as the nature of the event. We may fail to report adverse events we become aware of within the prescribed timeframe. We may also fail to appreciate that we have become aware of a reportable adverse event, especially if it is not reported to us as an adverse event or if it is an adverse event that is unexpected or removed in time from the use of our products. If we fail to comply with our reporting obligations, the FDA or a foreign regulatory agency could take action, including criminal prosecution, the imposition of civil monetary penalties, seizure of our products or delay in approval or clearance of future products.</w:t>
      </w:r>
    </w:p>
    <w:p>
      <w:pPr>
        <w:spacing w:after="0" w:line="13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Our employees, independent contractors, principal investigators, CROs, collaboration partners, consultants and vendors may engage in misconduct or other improper activities, including noncompliance with regulatory standards and requirements.</w:t>
      </w:r>
    </w:p>
    <w:p>
      <w:pPr>
        <w:spacing w:after="0" w:line="13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We are exposed to the risk that our employees, independent contractors, principal investigators, CROs, collaboration partners, consultants and vendors may engage in fraudulent conduct or other illegal activity. Misconduct by these parties could include intentional, reckless and/or negligent conduct or unauthorized activities that violate: (1) FDA regulations, including those laws that require the reporting of true, complete and accurate information to the FDA; (2) manufacturing standards; (3) federal and state healthcare fraud and abuse laws and regulations; or (4) laws that require the reporting of true and accurate financial information and data. Specifically,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These activities also include the improper use of information obtained in the course of clinical trials, which could result in regulatory sanctions and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including the imposition of significant civil, criminal and administrative penalties, damages, monetary fines, disgorgements, possible exclusion from participation in Medicare, Medicaid and other federal healthcare programs, individual imprisonment, other sanctions, contractual damages, reputational harm, diminished profits and future earnings, and curtailment of our operations, any of which could adversely affect our ability to operate our business and our results of operations.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obtain regulatory approvals in foreign jurisdictions would prevent us from marketing our products internationally.</w:t>
      </w:r>
    </w:p>
    <w:p>
      <w:pPr>
        <w:spacing w:after="0" w:line="117"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In order to market any product in the EEA (which is composed of the 28 Member States of the European Union plus Norway, Iceland and Liechtenstein), and many other foreign jurisdictions, separate regulatory approvals are required. In the EEA, medicinal products can only be commercialized after obtaining a Marketing Authorization, or MA. Before granting the MA, the EMA or the competent authorities of the Member States of the EEA make an assessment of the risk–benefit balance of the product on the basis of scientific criteria concerning its quality, safety and efficacy.</w:t>
      </w:r>
    </w:p>
    <w:p>
      <w:pPr>
        <w:spacing w:after="0" w:line="6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approval procedures vary among countries and can involve additional clinical testing, and the time required to obtain approval may differ from that required to obtain FDA approval. Clinical trials conducted in one country may not be accepted by regulatory authorities in other countries. Approval by the FDA does not ensure approval by regulatory authorities in other countries, and approval by one or more foreign regulatory authorities does not ensure approval by regulatory authorities in other foreign countries or by the FDA. However, a failure or delay in obtaining regulatory approval in one country may have a negative effect on the regulatory process in others. The foreign regulatory approval process may include all of the risks associated with obtaining FDA approval. We may not be able to file for regulatory approvals or to do so on a timely basis, and even if we do file we may not receive necessary approvals to commercialize our products in any market.</w:t>
      </w:r>
    </w:p>
    <w:p>
      <w:pPr>
        <w:spacing w:after="0" w:line="81" w:lineRule="exact"/>
        <w:rPr>
          <w:sz w:val="20"/>
          <w:szCs w:val="20"/>
          <w:color w:val="auto"/>
        </w:rPr>
      </w:pPr>
    </w:p>
    <w:p>
      <w:pPr>
        <w:ind w:right="760"/>
        <w:spacing w:after="0" w:line="375" w:lineRule="auto"/>
        <w:rPr>
          <w:sz w:val="20"/>
          <w:szCs w:val="20"/>
          <w:color w:val="auto"/>
        </w:rPr>
      </w:pPr>
      <w:r>
        <w:rPr>
          <w:rFonts w:ascii="Arial" w:cs="Arial" w:eastAsia="Arial" w:hAnsi="Arial"/>
          <w:sz w:val="15"/>
          <w:szCs w:val="15"/>
          <w:b w:val="1"/>
          <w:bCs w:val="1"/>
          <w:i w:val="1"/>
          <w:iCs w:val="1"/>
          <w:color w:val="auto"/>
        </w:rPr>
        <w:t>We and our collaboration partners, if any, may be subject to healthcare laws, regulation and enforcement; our failure or the failure of any such collaboration partners to comply with these laws could have a material adverse effect on our results of operations and financial conditions.</w:t>
      </w:r>
    </w:p>
    <w:p>
      <w:pPr>
        <w:spacing w:after="0" w:line="1"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Although we do not currently have any products on the market, once we begin commercializing our products, we and our collaboration partners, if any, may be subject to additional healthcare statutory and regulatory requirements and enforcement by the federal government and the states and foreign governments in which we conduct our business. The laws that may affect our ability to operate as a commercial organization include:</w:t>
      </w:r>
    </w:p>
    <w:p>
      <w:pPr>
        <w:spacing w:after="0" w:line="17" w:lineRule="exact"/>
        <w:rPr>
          <w:sz w:val="20"/>
          <w:szCs w:val="20"/>
          <w:color w:val="auto"/>
        </w:rPr>
      </w:pPr>
    </w:p>
    <w:p>
      <w:pPr>
        <w:ind w:left="900" w:right="80" w:hanging="325"/>
        <w:spacing w:after="0" w:line="259"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from knowingly and willfully soliciting, receiving, offering or paying remuneration, directly or indirectly, in exchange for or to induce either the referral of an individual for, or the purchase, order or recommendation of, any good or service for which payment may be made under federal healthcare programs such as the Medicare and Medicaid programs;</w:t>
      </w:r>
    </w:p>
    <w:p>
      <w:pPr>
        <w:spacing w:after="0" w:line="38" w:lineRule="exact"/>
        <w:rPr>
          <w:rFonts w:ascii="Arial" w:cs="Arial" w:eastAsia="Arial" w:hAnsi="Arial"/>
          <w:sz w:val="18"/>
          <w:szCs w:val="18"/>
          <w:color w:val="auto"/>
        </w:rPr>
      </w:pPr>
    </w:p>
    <w:p>
      <w:pPr>
        <w:ind w:left="900" w:right="480" w:hanging="325"/>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federal false claims laws which prohibit, among other things, individuals or entities from knowingly presenting, or causing to be presented, claims for payment from Medicare, Medicaid, or other third-party payors that are false or fraudulent;</w:t>
      </w:r>
    </w:p>
    <w:p>
      <w:pPr>
        <w:spacing w:after="0" w:line="21"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federal criminal laws that prohibit executing a scheme to defraud any healthcare benefit program or making false statements relating to healthcare matters;</w:t>
      </w:r>
    </w:p>
    <w:p>
      <w:pPr>
        <w:spacing w:after="0" w:line="21" w:lineRule="exact"/>
        <w:rPr>
          <w:rFonts w:ascii="Arial" w:cs="Arial" w:eastAsia="Arial" w:hAnsi="Arial"/>
          <w:sz w:val="18"/>
          <w:szCs w:val="18"/>
          <w:color w:val="auto"/>
        </w:rPr>
      </w:pPr>
    </w:p>
    <w:p>
      <w:pPr>
        <w:jc w:val="both"/>
        <w:ind w:left="900" w:right="260" w:hanging="325"/>
        <w:spacing w:after="0" w:line="264"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as amended by the Health Information Technology for Economic and Clinical Health Act, which governs the conduct of certain electronic healthcare transactions and protects the security and privacy of protected health information;</w:t>
      </w:r>
    </w:p>
    <w:p>
      <w:pPr>
        <w:spacing w:after="0" w:line="32" w:lineRule="exact"/>
        <w:rPr>
          <w:rFonts w:ascii="Arial" w:cs="Arial" w:eastAsia="Arial" w:hAnsi="Arial"/>
          <w:sz w:val="18"/>
          <w:szCs w:val="18"/>
          <w:color w:val="auto"/>
        </w:rPr>
      </w:pPr>
    </w:p>
    <w:p>
      <w:pPr>
        <w:ind w:left="900" w:right="100" w:hanging="325"/>
        <w:spacing w:after="0" w:line="259"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federal physician sunshine requirements under the Affordable Care Act, which requires manufacturers of drugs, devices, biologics, and medical supplies to report annually to the CMS information related to payments and other transfers of value to physicians, other healthcare providers, and teaching hospitals, and ownership and investment interests held by physicians and other healthcare providers and their immediate family members;</w:t>
      </w:r>
    </w:p>
    <w:p>
      <w:pPr>
        <w:spacing w:after="0" w:line="38" w:lineRule="exact"/>
        <w:rPr>
          <w:rFonts w:ascii="Arial" w:cs="Arial" w:eastAsia="Arial" w:hAnsi="Arial"/>
          <w:sz w:val="18"/>
          <w:szCs w:val="18"/>
          <w:color w:val="auto"/>
        </w:rPr>
      </w:pPr>
    </w:p>
    <w:p>
      <w:pPr>
        <w:ind w:left="900" w:right="640" w:hanging="325"/>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state law equivalents of each of the above federal laws, such as anti-kickback and false claims laws which may apply to items or services reimbursed by any third-party payor, including commercial insurers;</w:t>
      </w:r>
    </w:p>
    <w:p>
      <w:pPr>
        <w:spacing w:after="0" w:line="21" w:lineRule="exact"/>
        <w:rPr>
          <w:rFonts w:ascii="Arial" w:cs="Arial" w:eastAsia="Arial" w:hAnsi="Arial"/>
          <w:sz w:val="18"/>
          <w:szCs w:val="18"/>
          <w:color w:val="auto"/>
        </w:rPr>
      </w:pPr>
    </w:p>
    <w:p>
      <w:pPr>
        <w:ind w:left="900" w:right="20" w:hanging="325"/>
        <w:spacing w:after="0" w:line="264"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state laws that require pharmaceutical companies to comply with the pharmaceutical industry’s voluntary compliance guidelines and the applicable compliance guidance promulgated by the federal government, or otherwise restrict payments that may be made to healthcare providers and other potential referral sources;</w:t>
      </w:r>
    </w:p>
    <w:p>
      <w:pPr>
        <w:spacing w:after="0" w:line="32" w:lineRule="exact"/>
        <w:rPr>
          <w:rFonts w:ascii="Arial" w:cs="Arial" w:eastAsia="Arial" w:hAnsi="Arial"/>
          <w:sz w:val="18"/>
          <w:szCs w:val="18"/>
          <w:color w:val="auto"/>
        </w:rPr>
      </w:pPr>
    </w:p>
    <w:p>
      <w:pPr>
        <w:ind w:left="900" w:right="120" w:hanging="325"/>
        <w:spacing w:after="0" w:line="286" w:lineRule="auto"/>
        <w:tabs>
          <w:tab w:leader="none" w:pos="9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state laws that require drug manufacturers to report information related to payments and other transfers of value to physicians and other healthcare providers or pricing information and marketing expenditures; and state laws governing the privacy and security of health information in certain circumstances, many of which differ from each other in significant ways, thus complicating compliance efforts; and</w:t>
      </w:r>
    </w:p>
    <w:p>
      <w:pPr>
        <w:spacing w:after="0" w:line="16" w:lineRule="exact"/>
        <w:rPr>
          <w:rFonts w:ascii="Arial" w:cs="Arial" w:eastAsia="Arial" w:hAnsi="Arial"/>
          <w:sz w:val="17"/>
          <w:szCs w:val="17"/>
          <w:color w:val="auto"/>
        </w:rPr>
      </w:pPr>
    </w:p>
    <w:p>
      <w:pPr>
        <w:ind w:left="900" w:right="340" w:hanging="325"/>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European and other foreign law equivalents of each of the laws, including reporting requirements detailing interactions with and payments to healthcare providers.</w:t>
      </w:r>
    </w:p>
    <w:p>
      <w:pPr>
        <w:spacing w:after="0" w:line="62"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Because of the breadth of these laws and the narrowness of the statutory exceptions and safe harbors available, it is possible that some of our business activities could be subject to challenge under one or more of such laws. The risk of our being found in violation of these laws is increased by the fact that many of them have not been fully interpreted by the regulatory authorities or the courts, and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their provisions are open to a variety of interpretations. Further, the Affordable Care Act, among other things, amends the intent requirement of the federal anti-kickback and criminal health care fraud statutes. A person or entity no longer needs to have actual knowledge of this statute or specific intent to violate it. In addition, the Affordable Care Act provides that the government may assert that a claim including items or services resulting from a violation of the federal anti-kickback statute constitutes a false or fraudulent claim for purposes of the false claims statutes. Any action against us for violation of these laws, even if we successfully defend against it, could cause us to incur significant legal expenses and divert our management’s attention from the operation of our business. If our operations are found to be in violation of any of the laws described above or any other governmental laws and regulations that apply to us, we may be subject to penalties, including civil and criminal penalties, damages, fines, the curtailment or restructuring of our operations, the exclusion from participation in federal and state healthcare programs and imprisonment, any of which could adversely affect our ability to market our products and adversely impact our financial results.</w:t>
      </w:r>
    </w:p>
    <w:p>
      <w:pPr>
        <w:spacing w:after="0" w:line="170"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b w:val="1"/>
          <w:bCs w:val="1"/>
          <w:i w:val="1"/>
          <w:iCs w:val="1"/>
          <w:color w:val="auto"/>
        </w:rPr>
        <w:t>Legislative or regulatory healthcare reforms in the United States may make it more difficult and costly for us to obtain regulatory clearance or approval of our product candidates and to produce, market and distribute our products after clearance or approval is obtained.</w:t>
      </w:r>
    </w:p>
    <w:p>
      <w:pPr>
        <w:spacing w:after="0" w:line="10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From time to time, legislation is drafted and introduced in Congress that could significantly change the statutory provisions governing the regulatory clearance or approval, manufacture, and marketing of regulated products or the reimbursement thereof. In addition, FDA regulations and guidance are often revised or reinterpreted by the FDA in ways that may significantly affect our business and our products. Any new regulations or revisions or reinterpretations of existing regulations may impose additional costs or lengthen review times of our product candidates. We cannot determine what effect changes in regulations, statutes, legal interpretation or policies, when and if promulgated, enacted or adopted may have on our business in the future. Such changes could, among other things, require:</w:t>
      </w:r>
    </w:p>
    <w:p>
      <w:pPr>
        <w:spacing w:after="0" w:line="17" w:lineRule="exact"/>
        <w:rPr>
          <w:sz w:val="20"/>
          <w:szCs w:val="20"/>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additional clinical trials to be conducted prior to obtaining approval;</w:t>
      </w:r>
    </w:p>
    <w:p>
      <w:pPr>
        <w:spacing w:after="0" w:line="49"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to manufacturing methods;</w:t>
      </w:r>
    </w:p>
    <w:p>
      <w:pPr>
        <w:spacing w:after="0" w:line="49"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recall, replacement, or discontinuance of one or more of our products; and</w:t>
      </w:r>
    </w:p>
    <w:p>
      <w:pPr>
        <w:spacing w:after="0" w:line="49"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additional record keeping.</w:t>
      </w:r>
    </w:p>
    <w:p>
      <w:pPr>
        <w:spacing w:after="0" w:line="50" w:lineRule="exact"/>
        <w:rPr>
          <w:sz w:val="20"/>
          <w:szCs w:val="20"/>
          <w:color w:val="auto"/>
        </w:rPr>
      </w:pPr>
    </w:p>
    <w:p>
      <w:pPr>
        <w:ind w:right="500" w:firstLine="456"/>
        <w:spacing w:after="0" w:line="260" w:lineRule="auto"/>
        <w:rPr>
          <w:sz w:val="20"/>
          <w:szCs w:val="20"/>
          <w:color w:val="auto"/>
        </w:rPr>
      </w:pPr>
      <w:r>
        <w:rPr>
          <w:rFonts w:ascii="Arial" w:cs="Arial" w:eastAsia="Arial" w:hAnsi="Arial"/>
          <w:sz w:val="18"/>
          <w:szCs w:val="18"/>
          <w:color w:val="auto"/>
        </w:rPr>
        <w:t>Each of these would likely entail substantial time and cost and could materially harm our business and our financial results. In addition, delays in receipt of or failure to receive regulatory clearances or approvals for any future products would harm our business, financial condition and results of operations.</w:t>
      </w:r>
    </w:p>
    <w:p>
      <w:pPr>
        <w:spacing w:after="0" w:line="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 addition, the full impact of recent healthcare reform and other changes in the healthcare industry and in healthcare spending is currently unknown, and may adversely affect our business model. In the United States, the Affordable Care Act was enacted in 2010 with a goal of reducing the cost of healthcare and substantially changing the way healthcare is financed by both government and private insurers. The Affordable Care Act, among other things,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created a new Medicare Part D coverage gap discount program, in which manufacturers must agree to offer 50% point-of-sale discounts off negotiated prices of applicable brand drugs to eligible beneficiaries during their coverage gap period as a condition for the manufacturer’s outpatient drugs to be covered under Medicare Part D.</w:t>
      </w:r>
    </w:p>
    <w:p>
      <w:pPr>
        <w:spacing w:after="0" w:line="2"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We currently expect that federal and state legislatures within the United States and foreign governments will continue to consider changes to existing healthcare legislation, and we currently expect that the new Presidential Administration and U.S. Congress will seek to modify or repeal all, or certain provisions of, the Affordable Care Act. There is still uncertainty with respect to any regulatory changes, and such regulatory changes could have an impact on coverage and reimbursement for healthcare items and services covered by plans that were otherwise authorized by the Affordable Care Act. However, we cannot predict the reform initiatives that may be adopted in the future or whether initiatives that have been adopted will be repealed or modified. The continuing efforts of the government, insurance companies, managed care organizations and other payors of healthcare services to contain or reduce costs of healthcare may adversely affect the demand for any drug products for which we may obtain regulatory approval, our ability to set a price that we believe is fair for our products, our ability to obtain coverage and reimbursement approval for a product, our ability to generate revenues and achieve or maintain profitability, and the level of taxes that we are required to pay.</w:t>
      </w:r>
    </w:p>
    <w:p>
      <w:pPr>
        <w:spacing w:after="0" w:line="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Other legislative changes have been proposed and adopted in the United States since the Affordable Care Act was enacted. These new laws, among other things, included aggregate reductions of Medicare payments to providers of 2% per fiscal year that will remain in effect through 2025 unless additional action is taken by Congress, additional specific reductions in Medicare payments to several types of providers, including hospitals, imaging centers and cancer treatment centers, and an increase in the statute of limitations period for the government to recover overpayments to providers from three to five years. Recently, there has also been heightened governmental scrutiny over the manner in which drug manufacturers set prices for their marketed products, which has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80"/>
        <w:spacing w:after="0" w:line="342" w:lineRule="auto"/>
        <w:rPr>
          <w:sz w:val="20"/>
          <w:szCs w:val="20"/>
          <w:color w:val="auto"/>
        </w:rPr>
      </w:pPr>
      <w:r>
        <w:rPr>
          <w:rFonts w:ascii="Arial" w:cs="Arial" w:eastAsia="Arial" w:hAnsi="Arial"/>
          <w:sz w:val="16"/>
          <w:szCs w:val="16"/>
          <w:color w:val="auto"/>
        </w:rPr>
        <w:t>resulted in several Congressional inquiries and proposed bills designed to, among other things, bring more transparency to product pricing, review the relationship between pricing and manufacturer patient programs, and reform government program reimbursement methodologies for drug products.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21" w:lineRule="exact"/>
        <w:rPr>
          <w:sz w:val="20"/>
          <w:szCs w:val="20"/>
          <w:color w:val="auto"/>
        </w:rPr>
      </w:pPr>
    </w:p>
    <w:p>
      <w:pPr>
        <w:ind w:right="240"/>
        <w:spacing w:after="0" w:line="340" w:lineRule="auto"/>
        <w:rPr>
          <w:sz w:val="20"/>
          <w:szCs w:val="20"/>
          <w:color w:val="auto"/>
        </w:rPr>
      </w:pPr>
      <w:r>
        <w:rPr>
          <w:rFonts w:ascii="Arial" w:cs="Arial" w:eastAsia="Arial" w:hAnsi="Arial"/>
          <w:sz w:val="15"/>
          <w:szCs w:val="15"/>
          <w:b w:val="1"/>
          <w:bCs w:val="1"/>
          <w:i w:val="1"/>
          <w:iCs w:val="1"/>
          <w:color w:val="auto"/>
        </w:rPr>
        <w:t>We may become subject to claims alleging infringement of third parties’ patents or proprietary rights and/or claims seeking to invalidate our patents, which would be costly, time consuming and, if successfully asserted against us, delay or prevent the development and commercialization of tenapanor, RDX7675 or our other product candidates, or prevent or delay the continued use of our drug discovery and development platform, including APECCS.</w:t>
      </w:r>
    </w:p>
    <w:p>
      <w:pPr>
        <w:spacing w:after="0" w:line="23"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There have been many lawsuits and other proceedings asserting infringement or misappropriation of patents and other intellectual property rights in the pharmaceutical and biotechnology industries. There can be no assurances that we will not be subject to claims alleging that the manufacture, use or sale of tenapanor, RDX7675 or any other product candidates, or that the use of our drug discovery and development platform, including APECCS, infringes existing or future third-party patents, or that such claims, if any, will not be successful. Because patent applications can take many years to issue and may be confidential for 18 months or more after filing, and because pending patent claims can be revised before issuance, there may be applications now pending which may later result in issued patents that may be infringed by the manufacture, use or sale of tenapanor, RDX7675 or other product candidates or by the use of APECCS. Moreover, we may face patent infringement claims from non-practicing entities that have no relevant product revenue and against whom our own patent portfolio may thus have no deterrent effect. We may be unaware of one or more issued patents that would be infringed by the manufacture, sale or use of tenapanor, RDX7675 or our other product candidates, or by the use of APECCS.</w:t>
      </w:r>
    </w:p>
    <w:p>
      <w:pPr>
        <w:spacing w:after="0" w:line="74"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may be subject to third-party patent infringement claims in the future against us or our that would cause us to incur substantial expenses and, if successful against us, could cause us to pay substantial damages, including treble damages and attorney’s fees if we are found to be willfully infringing a third party’s patents. We may be required to indemnify future collaboration partners against such claims. We are not aware of any threatened or pending claims related to these matters, but in the future litigation may be necessary to defend against such claims. If a patent infringement suit were brought against us we could be forced to stop or delay research, development, manufacturing or sales of the product or product candidate that is the subject of the suit. In addition, if a patent infringement suit were brought against us regarding the use of APECCS, we could be forced to stop our use of APECCS or modify our processes to avoid infringement, which may not be possible at a reasonable cost, if at all, and which could result in substantial delay in our use of APECCS for the discovery of new product candidates or potential targets. As a result of patent infringement claims, or in order to avoid potential claims, we may choose to seek, or be required to seek, a license from the third party and would most likely be required to pay license fees or royalties or both. These licenses may not be available on acceptable terms, or at all. Even if we were able to obtain a license, we may be unable to maintain such licenses and the rights may be nonexclusive, which would give our competitors access to the same intellectual property. Ultimately, we could be prevented from commercializing a product, or forced to redesign it, or to cease our use of APECCS or some other aspect of our business operations if, as a result of actual or threatened patent infringement claims, we are unable to enter into licenses on acceptable terms, or unable to maintain such licenses when granted. Even if we are successful in defending against such claims, such litigation can be expensive and time consuming to litigate and would divert management’s attention from our core business. Any of these events could harm our business significantly.</w:t>
      </w:r>
    </w:p>
    <w:p>
      <w:pPr>
        <w:spacing w:after="0" w:line="6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 addition to infringement claims against us, if third parties prepare and file patent applications in the United States that also claim technology similar or identical to ours, we may have to participate in interference or derivation proceedings in the United States Patent and Trademark Office, or the USPTO, to determine which party is entitled to a patent on the disputed invention. We may also become involved in similar opposition proceedings in the European Patent Office or similar offices in other jurisdictions regarding our intellectual property rights with respect to our products and technology. Since patent applications are confidential for a period of time after filing, we cannot be certain that we were the first to file any patent application related to our product candidates.</w:t>
      </w:r>
    </w:p>
    <w:p>
      <w:pPr>
        <w:spacing w:after="0" w:line="85"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b w:val="1"/>
          <w:bCs w:val="1"/>
          <w:i w:val="1"/>
          <w:iCs w:val="1"/>
          <w:color w:val="auto"/>
        </w:rPr>
        <w:t>If our intellectual property related to our product candidates is not adequate or if we are not able to protect our trade secrets or our confidential information, we may not be able to compete effectively in our market.</w:t>
      </w:r>
    </w:p>
    <w:p>
      <w:pPr>
        <w:spacing w:after="0" w:line="6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rely upon a combination of patents, trade secret protection and confidentiality agreements to protect the intellectual property related to our product candidates, our drug discovery and development platform and our development programs. Any disclosure to or misappropriation by third parties of our confidential or proprietary information could enable competitors to quickly duplicate or surpass our technological achievements, thus eroding our competitive position in our market.</w:t>
      </w:r>
    </w:p>
    <w:p>
      <w:pPr>
        <w:spacing w:after="0" w:line="7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strength of patents in the biotechnology and pharmaceutical field involves complex legal and scientific questions and can be uncertain. The patent applications that we own or license may fail to result in issued patents in the United States or in foreign countries. Additionally, our research and development efforts may result in product candidates for which patent protection is limited or not available. Even if patents do successfully issue, third parties may challenge the validity, enforceability or scope thereof, which</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may result in such patents being narrowed, invalidated or held unenforceable. For example, U.S. patents can be challenged by any person before the new USPTO Patent Trial and Appeals Board at any time before one year after that person is served an infringement complaint based on the patents. Patents granted by the European Patent Office may be similarly opposed by any person within nine months from the publication of the grant. Similar proceedings are available in other jurisdictions, and in the United States, Europe and other jurisdictions third parties can raise questions of validity with a patent office even before a patent has granted. Furthermore, even if they are unchallenged, our patents and patent applications may not adequately protect our intellectual property or prevent others from designing around our claims. For example, a third party may develop a competitive product that provides therapeutic benefits similar to one or more of our product candidates but has a sufficiently different composition to fall outside the scope of our patent protection. If the breadth or strength of protection provided by the patents and patent applications we hold or pursue with respect to our product candidates is successfully challenged, then our ability to commercialize such product candidates could be negatively affected, and we may face unexpected competition that could have a material adverse impact on our business. Further, if we encounter delays in our clinical trials, the period of time during which we or our collaboration partners could market tenapanor or other product candidates under patent protection would be reduced.</w:t>
      </w:r>
    </w:p>
    <w:p>
      <w:pPr>
        <w:spacing w:after="0" w:line="8" w:lineRule="exact"/>
        <w:rPr>
          <w:sz w:val="20"/>
          <w:szCs w:val="20"/>
          <w:color w:val="auto"/>
        </w:rPr>
      </w:pPr>
    </w:p>
    <w:p>
      <w:pPr>
        <w:ind w:right="40" w:firstLine="456"/>
        <w:spacing w:after="0" w:line="265" w:lineRule="auto"/>
        <w:rPr>
          <w:sz w:val="20"/>
          <w:szCs w:val="20"/>
          <w:color w:val="auto"/>
        </w:rPr>
      </w:pPr>
      <w:r>
        <w:rPr>
          <w:rFonts w:ascii="Arial" w:cs="Arial" w:eastAsia="Arial" w:hAnsi="Arial"/>
          <w:sz w:val="17"/>
          <w:szCs w:val="17"/>
          <w:color w:val="auto"/>
        </w:rPr>
        <w:t>Even where laws provide protection, costly and time-consuming litigation could be necessary to enforce and determine the scope of our proprietary rights, and the outcome of such litigation would be uncertain. If we or one of our collaboration partners were to initiate legal proceedings against a third party to enforce a patent covering the product candidate, the defendant could counterclaim that our patent is invalid and/or unenforceable. In patent litigation in the United States, defendant counterclaims alleging invalidity and/or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is unpredictable. With respect to validity, for example, we cannot be certain that there is no invalidating prior art, of which we and the patent examiner were unaware during prosecution. If a defendant were to prevail on a legal assertion of invalidity and/or unenforceability against our intellectual property related to a product candidate, we would lose at least part, and perhaps all, of the patent protection on such product candidate. Such a loss of patent protection would have a material adverse impact on our business. Moreover, our competitors could counterclaim that we infringe their intellectual property, and some of our competitors have substantially greater intellectual property portfolios than we do.</w:t>
      </w:r>
    </w:p>
    <w:p>
      <w:pPr>
        <w:spacing w:after="0" w:line="3" w:lineRule="exact"/>
        <w:rPr>
          <w:sz w:val="20"/>
          <w:szCs w:val="20"/>
          <w:color w:val="auto"/>
        </w:rPr>
      </w:pPr>
    </w:p>
    <w:p>
      <w:pPr>
        <w:ind w:firstLine="456"/>
        <w:spacing w:after="0" w:line="265" w:lineRule="auto"/>
        <w:rPr>
          <w:sz w:val="20"/>
          <w:szCs w:val="20"/>
          <w:color w:val="auto"/>
        </w:rPr>
      </w:pPr>
      <w:r>
        <w:rPr>
          <w:rFonts w:ascii="Arial" w:cs="Arial" w:eastAsia="Arial" w:hAnsi="Arial"/>
          <w:sz w:val="17"/>
          <w:szCs w:val="17"/>
          <w:color w:val="auto"/>
        </w:rPr>
        <w:t>We also rely on trade secret protection and confidentiality agreements to protect proprietary know-how that may not be patentable, processes for which patents may be difficult to obtain and/or enforce and any other elements of our drug discovery and development processes that involve proprietary know-how, information or technology that is not covered by patents. Although we require all of our employees, consultants, advisors and any third parties who have access to our proprietary know-how, information or technology, to assign their inventions to us, and endeavor to execute confidentiality agreements with all such parties, we cannot be certain that we have executed such agreements with all parties who may have helped to develop our intellectual property or who had access to our proprietary information, nor can we be certain that our agreements will not be breached by such consultants, advisors or third parties, or by our former employees. The breach of such agreements by individuals or entities who are actively involved in the discovery and design of our potential drug candidates, or in the development of our discovery and design platform, including APECCS, could require us to pursue legal action to protect our trade secrets and confidential information, which would be expensive, and the outcome of which would be unpredictable. If we are not successful in prohibiting the continued breach of such agreements, our business could be negatively impacted. We cannot guarantee that our trade secrets and other confidential proprietary information will not be disclosed or that competitors will not otherwise gain access to our trade secrets or independently develop substantially equivalent information and techniques.</w:t>
      </w:r>
    </w:p>
    <w:p>
      <w:pPr>
        <w:spacing w:after="0" w:line="3" w:lineRule="exact"/>
        <w:rPr>
          <w:sz w:val="20"/>
          <w:szCs w:val="20"/>
          <w:color w:val="auto"/>
        </w:rPr>
      </w:pPr>
    </w:p>
    <w:p>
      <w:pPr>
        <w:ind w:right="160" w:firstLine="456"/>
        <w:spacing w:after="0" w:line="273" w:lineRule="auto"/>
        <w:rPr>
          <w:sz w:val="20"/>
          <w:szCs w:val="20"/>
          <w:color w:val="auto"/>
        </w:rPr>
      </w:pPr>
      <w:r>
        <w:rPr>
          <w:rFonts w:ascii="Arial" w:cs="Arial" w:eastAsia="Arial" w:hAnsi="Arial"/>
          <w:sz w:val="17"/>
          <w:szCs w:val="17"/>
          <w:color w:val="auto"/>
        </w:rPr>
        <w:t>Further,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If we are unable to prevent material disclosure of the intellectual property related to our technologies to third parties, we will not be able to establish or maintain a competitive advantage in our market, which could materially adversely affect our business, results of operations and financial condition.</w:t>
      </w:r>
    </w:p>
    <w:p>
      <w:pPr>
        <w:spacing w:after="0" w:line="150"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b w:val="1"/>
          <w:bCs w:val="1"/>
          <w:i w:val="1"/>
          <w:iCs w:val="1"/>
          <w:color w:val="auto"/>
        </w:rPr>
        <w:t>If we do not obtain patent term extension in the United States under the Hatch-Waxman Act and in foreign countries under similar legislation, thereby potentially extending the term of marketing exclusivity for our product candidates, our business may be materially harmed.</w:t>
      </w:r>
    </w:p>
    <w:p>
      <w:pPr>
        <w:spacing w:after="0" w:line="8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Depending upon the timing, duration and specifics of FDA marketing approval of our product candidates, if any, one of the U.S. patents covering each of such approved product(s) or the use thereof may be eligible for up to five years of patent term restoration under the Hatch-Waxman Act. The Hatch-Waxman Act allows a maximum of one patent to be extended per FDA approved product. Patent term extension also may be available in certain foreign countries upon regulatory approval of our product candidates. Nevertheless, we may not be granted patent term extension either in the United States or in any foreign country because of, for example, failing to apply within applicable deadlines, failing to apply prior to expiration of relevant patents or otherwise failing to satisfy applicable requirements. Moreover, the term of extension, as well as the scope of patent protection during any such extension, afforded by the governmental authority could be less than we request.</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If we are unable to obtain patent term extension or restoration, or the term of any such extension is less than we request, the period during which we will have the right to exclusively market our product will be shortened and our competitors may obtain approval of competing products following our patent expiration, and our revenue could be reduced, possibly materially.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U.S. patent law could diminish the value of patents in general, thereby impairing our ability to protect our products.</w:t>
      </w:r>
    </w:p>
    <w:p>
      <w:pPr>
        <w:spacing w:after="0" w:line="117"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As is the case with other biopharmaceutical companies, our success is heavily dependent on intellectual property, particularly patents. Obtaining and enforcing patents in the biopharmaceutical industry involve both technological and legal complexity.</w:t>
      </w:r>
    </w:p>
    <w:p>
      <w:pPr>
        <w:spacing w:after="0" w:line="62"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Therefore, obtaining and enforcing biopharmaceutical patents is costly, time consuming and inherently uncertain. In addition, the United States has recently enacted and is currently implementing wide-ranging patent reform legislation, including the Leahy-Smith America Invents Act signed into law on September 16, 2011. That Act includes a number of significant changes to U.S. patent law. These include provisions that affect the way patent applications are prosecuted and new venues and opportunities for competitors to challenge patent portfolios. Because of that Act, the U.S. patent system is now a “first to file” system, which may make it more difficult to obtain patent protection for inventions and increase the uncertainties and costs surrounding the prosecution of our or our collaboration partners’ patent applications and the enforcement or defense of our or our collaboration partners’ issued patents, all of which could materially adversely affect our business, results of operations and financial condition. The United States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future actions by the U.S. Congress, the federal courts, and the USPTO, the laws and regulations governing patents could change in unpredictable ways that would weaken our ability to obtain new patents or to enforce our existing patents and patents that we might obtain in the future.</w:t>
      </w:r>
    </w:p>
    <w:p>
      <w:pPr>
        <w:spacing w:after="0" w:line="72" w:lineRule="exact"/>
        <w:rPr>
          <w:sz w:val="20"/>
          <w:szCs w:val="20"/>
          <w:color w:val="auto"/>
        </w:rPr>
      </w:pPr>
    </w:p>
    <w:p>
      <w:pPr>
        <w:jc w:val="both"/>
        <w:ind w:right="700"/>
        <w:spacing w:after="0" w:line="264"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USPTO and various foreign patent agencies require compliance with a number of procedural, documentary, fee payment and other provisions to maintain patent applications and issued patents. Noncompliance with these requirements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enforce our intellectual property rights throughout the world.</w:t>
      </w:r>
    </w:p>
    <w:p>
      <w:pPr>
        <w:spacing w:after="0" w:line="117" w:lineRule="exact"/>
        <w:rPr>
          <w:sz w:val="20"/>
          <w:szCs w:val="20"/>
          <w:color w:val="auto"/>
        </w:rPr>
      </w:pPr>
    </w:p>
    <w:p>
      <w:pPr>
        <w:jc w:val="both"/>
        <w:ind w:right="40" w:firstLine="456"/>
        <w:spacing w:after="0" w:line="297" w:lineRule="auto"/>
        <w:rPr>
          <w:sz w:val="20"/>
          <w:szCs w:val="20"/>
          <w:color w:val="auto"/>
        </w:rPr>
      </w:pPr>
      <w:r>
        <w:rPr>
          <w:rFonts w:ascii="Arial" w:cs="Arial" w:eastAsia="Arial" w:hAnsi="Arial"/>
          <w:sz w:val="16"/>
          <w:szCs w:val="16"/>
          <w:color w:val="auto"/>
        </w:rPr>
        <w:t>The laws of some foreign countries do not protect intellectual property rights to the same extent as the laws of the United States.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protection, especially those relating to life sciences. This could make it difficult for us to stop the infringement of our patents or the misappropriation of our other intellectual property rights. For example, many foreign countries have compulsory licensing laws under which a patent owner must grant licenses to third parties.</w:t>
      </w:r>
    </w:p>
    <w:p>
      <w:pPr>
        <w:spacing w:after="0" w:line="50" w:lineRule="exact"/>
        <w:rPr>
          <w:sz w:val="20"/>
          <w:szCs w:val="20"/>
          <w:color w:val="auto"/>
        </w:rPr>
      </w:pPr>
    </w:p>
    <w:p>
      <w:pPr>
        <w:ind w:right="200" w:firstLine="456"/>
        <w:spacing w:after="0" w:line="297" w:lineRule="auto"/>
        <w:rPr>
          <w:sz w:val="20"/>
          <w:szCs w:val="20"/>
          <w:color w:val="auto"/>
        </w:rPr>
      </w:pPr>
      <w:r>
        <w:rPr>
          <w:rFonts w:ascii="Arial" w:cs="Arial" w:eastAsia="Arial" w:hAnsi="Arial"/>
          <w:sz w:val="16"/>
          <w:szCs w:val="16"/>
          <w:color w:val="auto"/>
        </w:rPr>
        <w:t>Proceedings to enforce our patent rights in foreign jurisdictions, whether or not successful, could result in substantial costs and divert our efforts and attention from other aspects of our business. Furthermore, while we intend to protect our intellectual property rights in our expected significant markets, we cannot ensure that we will be able to initiate or maintain similar efforts in all jurisdictions in which we may wish to market our products. Accordingly, our efforts to protect our intellectual property rights in such countries may be inadequate. In addition, changes in the law and legal decisions by courts in the United States and foreign countries may affect our ability to obtain and enforce adequate intellectual property protection for our technology.</w:t>
      </w:r>
    </w:p>
    <w:p>
      <w:pPr>
        <w:spacing w:after="0" w:line="5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We may be subject to claims that we or our employees have misappropriated the intellectual property, including know-how or trade secrets, of a third party, or claiming ownership of what we regard as our own intellectual property.</w:t>
      </w:r>
    </w:p>
    <w:p>
      <w:pPr>
        <w:spacing w:after="0" w:line="62"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Many of our employees, consultants and contractors were previously employed at or engaged by other biotechnology or pharmaceutical companies, including our competitors or potential competitors. Some of these employees, consultants and contractors, executed proprietary rights, non-disclosure and non-competition agreements in connection with such previous employment. Although we try to ensure that our employees, consultants and contractors do not use the intellectual property and other proprietary information or know-how or trade secrets of others in their work for us, and do not perform work for us that is in conflict with their obligations to another employer or any other entity, we may be subject to claims that we or these employees, consultants</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and contractors have used or disclosed such intellectual property, including know-how, trade secrets or other proprietary information. In addition, an employee, advisor or consultant who performs work for us may have obligations to a third party that are in conflict with their obligations to us, and as a result such third party may claim an ownership interest in the intellectual property arising out of work performed for us. We are not aware of any threatened or pending claims related to these matters, but in the future litigation may be necessary to defend against such claims. If we fail in defending any such claims, in addition to paying monetary damages, we may lose valuable intellectual property rights or personnel, or access to consultants and contractors. Even if we are successful in defending against such claims, litigation could result in substantial costs and be a distraction to management.</w:t>
      </w:r>
    </w:p>
    <w:p>
      <w:pPr>
        <w:spacing w:after="0" w:line="7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addition, while we typically require our employees, consultants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which may result in claims by or against us related to the ownership of such intellectual property. If we fail in prosecuting or defending any such claims, in addition to paying monetary damages, we may lose valuable intellectual property rights. Even if we are successful in prosecuting or defending against such claims, litigation could result in substantial costs and be a distraction to our management and scientific personnel.</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stock price may be volatile and our stockholders may not be able to resell shares of our common stock at or above the price they paid.</w:t>
      </w:r>
    </w:p>
    <w:p>
      <w:pPr>
        <w:spacing w:after="0" w:line="129" w:lineRule="exact"/>
        <w:rPr>
          <w:sz w:val="20"/>
          <w:szCs w:val="20"/>
          <w:color w:val="auto"/>
        </w:rPr>
      </w:pPr>
    </w:p>
    <w:p>
      <w:pPr>
        <w:ind w:right="280" w:firstLine="456"/>
        <w:spacing w:after="0" w:line="274" w:lineRule="auto"/>
        <w:rPr>
          <w:sz w:val="20"/>
          <w:szCs w:val="20"/>
          <w:color w:val="auto"/>
        </w:rPr>
      </w:pPr>
      <w:r>
        <w:rPr>
          <w:rFonts w:ascii="Arial" w:cs="Arial" w:eastAsia="Arial" w:hAnsi="Arial"/>
          <w:sz w:val="18"/>
          <w:szCs w:val="18"/>
          <w:color w:val="auto"/>
        </w:rPr>
        <w:t>The trading price of our common stock is highly volatile and could be subject to wide fluctuations in response to various factors, some of which are beyond our control. These factors include those discussed in this “Risk Factors” section and others such as:</w:t>
      </w:r>
    </w:p>
    <w:p>
      <w:pPr>
        <w:ind w:left="900" w:right="280" w:hanging="325"/>
        <w:spacing w:after="0" w:line="274"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results from, or any delays in, clinical trial programs relating to our product candidates, including the ongoing clinical trials for tenapanor and RDX7675;</w:t>
      </w:r>
    </w:p>
    <w:p>
      <w:pPr>
        <w:ind w:left="900" w:hanging="325"/>
        <w:spacing w:after="0"/>
        <w:tabs>
          <w:tab w:leader="none" w:pos="9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ability to commercialize or obtain regulatory approval for our product candidates, or delays in commercializing or obtaining regulatory approval;</w:t>
      </w:r>
    </w:p>
    <w:p>
      <w:pPr>
        <w:spacing w:after="0" w:line="72" w:lineRule="exact"/>
        <w:rPr>
          <w:rFonts w:ascii="Arial" w:cs="Arial" w:eastAsia="Arial" w:hAnsi="Arial"/>
          <w:sz w:val="16"/>
          <w:szCs w:val="16"/>
          <w:color w:val="auto"/>
        </w:rPr>
      </w:pPr>
    </w:p>
    <w:p>
      <w:pPr>
        <w:ind w:left="900" w:right="40" w:hanging="325"/>
        <w:spacing w:after="0" w:line="274"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announcements of regulatory approval, a complete response letter or a refuse to file letter to tenapanor or RDX7675, or specific label restrictions or patient populations for its use, or changes or delays in the regulatory review process;</w:t>
      </w: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announcements relating to future collaboration partnerships;</w:t>
      </w:r>
    </w:p>
    <w:p>
      <w:pPr>
        <w:spacing w:after="0" w:line="49"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announcements of therapeutic innovations or new products by us or our competitors;</w:t>
      </w:r>
    </w:p>
    <w:p>
      <w:pPr>
        <w:spacing w:after="0" w:line="49"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adverse actions taken by regulatory agencies with respect to our clinical trials, manufacturing supply chain or sales and marketing activities;</w:t>
      </w:r>
    </w:p>
    <w:p>
      <w:pPr>
        <w:spacing w:after="0" w:line="72" w:lineRule="exact"/>
        <w:rPr>
          <w:rFonts w:ascii="Arial" w:cs="Arial" w:eastAsia="Arial" w:hAnsi="Arial"/>
          <w:sz w:val="16"/>
          <w:szCs w:val="16"/>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changes or developments in laws or regulations applicable to our product candidates;</w:t>
      </w:r>
    </w:p>
    <w:p>
      <w:pPr>
        <w:spacing w:after="0" w:line="49"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success of our testing and clinical trials;</w:t>
      </w:r>
    </w:p>
    <w:p>
      <w:pPr>
        <w:spacing w:after="0" w:line="49"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failure to meet any of our projected timelines or goals with regard to the clinical development of any of our product candidates</w:t>
      </w:r>
    </w:p>
    <w:p>
      <w:pPr>
        <w:spacing w:after="0" w:line="49"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success of our efforts to acquire or license or discover additional product candidates;</w:t>
      </w:r>
    </w:p>
    <w:p>
      <w:pPr>
        <w:spacing w:after="0" w:line="49"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intellectual property infringement actions in which we may become involved;</w:t>
      </w:r>
    </w:p>
    <w:p>
      <w:pPr>
        <w:spacing w:after="0" w:line="49"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success of our efforts to obtain adequate intellectual property protection for our product candidates;</w:t>
      </w:r>
    </w:p>
    <w:p>
      <w:pPr>
        <w:spacing w:after="0" w:line="49"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announcements concerning our competitors or the pharmaceutical industry in general;</w:t>
      </w:r>
    </w:p>
    <w:p>
      <w:pPr>
        <w:spacing w:after="0" w:line="49"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achievement of expected product sales and profitability;</w:t>
      </w:r>
    </w:p>
    <w:p>
      <w:pPr>
        <w:spacing w:after="0" w:line="49"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manufacture, supply or distribution shortages;</w:t>
      </w:r>
    </w:p>
    <w:p>
      <w:pPr>
        <w:spacing w:after="0" w:line="49"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w:t>
      </w:r>
    </w:p>
    <w:p>
      <w:pPr>
        <w:spacing w:after="0" w:line="49"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FDA or other U.S. or foreign regulatory actions affecting us or our industry or other healthcare reform measures in the United States;</w:t>
      </w:r>
    </w:p>
    <w:p>
      <w:pPr>
        <w:spacing w:after="0" w:line="61" w:lineRule="exact"/>
        <w:rPr>
          <w:rFonts w:ascii="Arial" w:cs="Arial" w:eastAsia="Arial" w:hAnsi="Arial"/>
          <w:sz w:val="17"/>
          <w:szCs w:val="17"/>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changes in financial estimates or recommendations by securities analysts;</w:t>
      </w:r>
    </w:p>
    <w:p>
      <w:pPr>
        <w:spacing w:after="0" w:line="49"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trading volume of our common stock;</w:t>
      </w:r>
    </w:p>
    <w:p>
      <w:pPr>
        <w:spacing w:after="0" w:line="49"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sales of our common stock by us, our executive officers and directors or our stockholders in the future;</w:t>
      </w:r>
    </w:p>
    <w:p>
      <w:pPr>
        <w:spacing w:after="0" w:line="49"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general economic and market conditions and overall fluctuations in the United States equity markets; and</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459" w:right="2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loss of any of our key scientific or management personnel.</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In addition, the stock markets in general, and the markets for pharmaceutical, biopharmaceutical and biotechnology stocks in particular, have experienced extreme volatility that may have been unrelated to the operating performance of the issuer. These broad market fluctuations may adversely affect the trading price or liquidity of our common stock. In the past, when the market price of a stock has been volatile, holders of that stock have sometimes instituted securities class action litigation against the issuer. If any of our stockholders were to bring such a lawsuit against us, we could incur substantial costs defending the lawsuit and the attention of our management would be diverted from the operation of our business, which could seriously harm our financial position. Any adverse determination in litigation could also subject us to significant liabilities.</w:t>
      </w:r>
    </w:p>
    <w:p>
      <w:pPr>
        <w:spacing w:after="0" w:line="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One of our principal stockholders owns a significant percentage of our stock and, together with our management, will be able to exert significant control over matters subject to stockholder approval.</w:t>
      </w:r>
    </w:p>
    <w:p>
      <w:pPr>
        <w:spacing w:after="0" w:line="62"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As of September 30, 2017, entities affiliated with New Enterprise Associates, or NEA, a venture capital fund associated with one of our directors, collectively beneficially owned approximately 29.6% of our common stock, and NEA together with our executive officers and directors beneficially owned approximately 34.3% of our capital stock, including outstanding restricted stock units that will vest within 60 days of September 30, 2017, and warrants and stock options exercisable for shares of our common stock within 60 days of September 30, 2017. Therefore, these stockholders may be able to determine all matters requiring stockholder approval, and the entities affiliated with New Enterprise Associates alone, will have significant ability to influence decisions through their ownership position. For example, these stockholders may be able to influence or control elections of directors, amendments to our organizational documents, or approval of any merger, sale of assets, or other major corporate transaction. This may prevent or discourage unsolicited acquisition proposals or offers for our common stock that certain stockholders may feel are in their best interest as one of our stockholders.</w:t>
      </w: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sell shares of our common stock in future financings, stockholders may experience immediate dilution and, as a result, our stock price may decline.</w:t>
      </w:r>
    </w:p>
    <w:p>
      <w:pPr>
        <w:spacing w:after="0" w:line="152"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We may from time to time issue additional shares of common stock at a discount from the current trading price of our common stock. As a result, our stockholders would experience immediate dilution upon the purchase of any shares of our common stock sold at such discount. In addition, as opportunities present themselves, we may enter into financing or similar arrangements in the future, including the issuance of debt securities, preferred stock or common stock. If we issue common stock or securities convertible into common stock, our common stockholders would experience additional dilution and, as a result, our stock price may decline.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w:t>
      </w:r>
    </w:p>
    <w:p>
      <w:pPr>
        <w:spacing w:after="0" w:line="11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If our existing stockholders sell, or indicate an intention to sell, substantial amounts of our common stock in the public market, the trading price of our common stock could decline. As of September 30, 2017, we had approximately 47.5 million shares of common stock outstanding. Of those shares, approximately 14.4 million were held by current directors, executive officers and other affiliates, or may otherwise be subject to Rule 144 under the Securities Act of 1933, or the Securities Act.</w:t>
      </w:r>
    </w:p>
    <w:p>
      <w:pPr>
        <w:spacing w:after="0" w:line="79"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As of September 30, 2017, approximately 0.7 million shares of common stock issuable upon vesting of outstanding restricted stock units and approximately 4.0 million shares of common stock issuable upon exercise of outstanding options were eligible for sale in the public market to the extent permitted by the provisions of the applicable vesting schedules, and Rule 144 and Rule 701 under the Securities Act. In addition, as of September 30, 2017, approximately 2.2 million shares of common stock issuable upon exercise of outstanding warrants were eligible for sale in the public market. If these additional shares of common stock are issued and sold, or if it is perceived that they will be sold, in the public market, the trading price of our common stock could decline.</w:t>
      </w:r>
    </w:p>
    <w:p>
      <w:pPr>
        <w:spacing w:after="0" w:line="85"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As of September 30, 2017, the holders of approximately 5.6 million shares of our outstanding common stock are entitled to rights with respect to the registration of their shares under the Securities Act. Registration of these shares under the Securities Act would result in the shares becoming freely tradable without restriction under the Securities Act, except for shares purchased by affiliates. Any sales of securities by these stockholders could have a material adverse effect on the trading price of our common stock.</w:t>
      </w:r>
    </w:p>
    <w:p>
      <w:pPr>
        <w:spacing w:after="0" w:line="7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Provisions in our charter documents and under Delaware law could discourage a takeover that stockholders may consider favorable and may lead to entrenchment of management.</w:t>
      </w:r>
    </w:p>
    <w:p>
      <w:pPr>
        <w:spacing w:after="0" w:line="62"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Our amended and restated certificate of incorporation and amended and restated bylaws contain provisions that could significantly reduce the value of our shares to a potential acquirer or delay or prevent changes in control or changes in our management without the consent of our board of directors. The provisions in our charter documents include the following:</w:t>
      </w:r>
    </w:p>
    <w:p>
      <w:pPr>
        <w:spacing w:after="0" w:line="87" w:lineRule="exact"/>
        <w:rPr>
          <w:sz w:val="20"/>
          <w:szCs w:val="20"/>
          <w:color w:val="auto"/>
        </w:rPr>
      </w:pPr>
    </w:p>
    <w:p>
      <w:pPr>
        <w:ind w:left="900" w:right="580" w:hanging="325"/>
        <w:spacing w:after="0" w:line="277"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which may delay the ability of stockholders to change the membership of a majority of our board of directors;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no cumulative voting in the election of directors, which limits the ability of minority stockholders to elect director candidates;</w:t>
      </w:r>
    </w:p>
    <w:p>
      <w:pPr>
        <w:spacing w:after="0" w:line="49" w:lineRule="exact"/>
        <w:rPr>
          <w:rFonts w:ascii="Arial" w:cs="Arial" w:eastAsia="Arial" w:hAnsi="Arial"/>
          <w:sz w:val="18"/>
          <w:szCs w:val="18"/>
          <w:color w:val="auto"/>
        </w:rPr>
      </w:pPr>
    </w:p>
    <w:p>
      <w:pPr>
        <w:ind w:left="900" w:right="800" w:hanging="325"/>
        <w:spacing w:after="0" w:line="308" w:lineRule="auto"/>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exclusive right of our board of directors to elect a director to fill a vacancy created by the expansion of the board of directors or the resignation, death or removal of a director, which prevents stockholders from being able to fill vacancies on our board of directors;</w:t>
      </w:r>
    </w:p>
    <w:p>
      <w:pPr>
        <w:ind w:left="900" w:right="640" w:hanging="325"/>
        <w:spacing w:after="0" w:line="274"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required approval of at least two-thirds of the shares entitled to vote to remove a director for cause, and the prohibition on removal of directors without cause;</w:t>
      </w:r>
    </w:p>
    <w:p>
      <w:pPr>
        <w:jc w:val="both"/>
        <w:ind w:left="900" w:right="420" w:hanging="325"/>
        <w:spacing w:after="0" w:line="264"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ability of our board of directors to authorize the issuance of shares of preferred stock and to determine the price and other terms of those shares, including preferences and voting rights, without stockholder approval, which could be used to significantly dilute the ownership of a hostile acquirer;</w:t>
      </w:r>
    </w:p>
    <w:p>
      <w:pPr>
        <w:spacing w:after="0" w:line="5"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ability of our board of directors to alter our bylaws without obtaining stockholder approval;</w:t>
      </w:r>
    </w:p>
    <w:p>
      <w:pPr>
        <w:spacing w:after="0" w:line="49" w:lineRule="exact"/>
        <w:rPr>
          <w:rFonts w:ascii="Arial" w:cs="Arial" w:eastAsia="Arial" w:hAnsi="Arial"/>
          <w:sz w:val="18"/>
          <w:szCs w:val="18"/>
          <w:color w:val="auto"/>
        </w:rPr>
      </w:pPr>
    </w:p>
    <w:p>
      <w:pPr>
        <w:ind w:left="900" w:right="80" w:hanging="325"/>
        <w:spacing w:after="0" w:line="290" w:lineRule="auto"/>
        <w:tabs>
          <w:tab w:leader="none" w:pos="9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required approval of at least two-thirds of the shares entitled to vote at an election of directors to adopt, amend or repeal our bylaws or repeal the provisions of our amended and restated certificate of incorporation regarding the election and removal of directors;</w:t>
      </w:r>
    </w:p>
    <w:p>
      <w:pPr>
        <w:ind w:left="900" w:right="620" w:hanging="325"/>
        <w:spacing w:after="0" w:line="274"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ind w:left="900" w:right="200" w:hanging="325"/>
        <w:spacing w:after="0" w:line="264"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requirement that a special meeting of stockholders may be called only by the chairman of the board of directors, the chief executive officer, the president or the board of directors, which may delay the ability of our stockholders to force consideration of a proposal or to take action, including the removal of directors; and</w:t>
      </w:r>
    </w:p>
    <w:p>
      <w:pPr>
        <w:spacing w:after="0" w:line="5" w:lineRule="exact"/>
        <w:rPr>
          <w:rFonts w:ascii="Arial" w:cs="Arial" w:eastAsia="Arial" w:hAnsi="Arial"/>
          <w:sz w:val="18"/>
          <w:szCs w:val="18"/>
          <w:color w:val="auto"/>
        </w:rPr>
      </w:pPr>
    </w:p>
    <w:p>
      <w:pPr>
        <w:ind w:left="900" w:hanging="325"/>
        <w:spacing w:after="0" w:line="264"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advance notice procedures that stockholders must comply with in order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these provisions would apply even if we were to receive an offer that some stockholders may consider beneficial.</w:t>
      </w:r>
    </w:p>
    <w:p>
      <w:pPr>
        <w:spacing w:after="0" w:line="11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We are also subject to the anti-takeover provisions contained in Section 203 of the Delaware General Corporation Law. Under Section 203, a corporation may not, in general, engage in a business combination with any holder of 15% or more of its capital stock unless the holder has held the stock for three years or, among other exceptions, the board of directors has approved the transaction.</w:t>
      </w:r>
    </w:p>
    <w:p>
      <w:pPr>
        <w:spacing w:after="0" w:line="73"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62"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Our amended and restated certificate of incorporation and amended and restated bylaws provide that we will indemnify our directors and officers, in each case to the fullest extent permitted by Delaware law.</w:t>
      </w:r>
    </w:p>
    <w:p>
      <w:pPr>
        <w:spacing w:after="0" w:line="62" w:lineRule="exact"/>
        <w:rPr>
          <w:sz w:val="20"/>
          <w:szCs w:val="20"/>
          <w:color w:val="auto"/>
        </w:rPr>
      </w:pPr>
    </w:p>
    <w:p>
      <w:pPr>
        <w:ind w:right="720" w:firstLine="456"/>
        <w:spacing w:after="0" w:line="277" w:lineRule="auto"/>
        <w:rPr>
          <w:sz w:val="20"/>
          <w:szCs w:val="20"/>
          <w:color w:val="auto"/>
        </w:rPr>
      </w:pPr>
      <w:r>
        <w:rPr>
          <w:rFonts w:ascii="Arial" w:cs="Arial" w:eastAsia="Arial" w:hAnsi="Arial"/>
          <w:sz w:val="18"/>
          <w:szCs w:val="18"/>
          <w:color w:val="auto"/>
        </w:rPr>
        <w:t>In addition, as permitted by Section 145 of the Delaware General Corporation Law, our amended and restated bylaws and our indemnification agreements that we have entered into with our directors and officers provide that:</w:t>
      </w:r>
    </w:p>
    <w:p>
      <w:pPr>
        <w:spacing w:after="0" w:line="35" w:lineRule="exact"/>
        <w:rPr>
          <w:sz w:val="20"/>
          <w:szCs w:val="20"/>
          <w:color w:val="auto"/>
        </w:rPr>
      </w:pPr>
    </w:p>
    <w:p>
      <w:pPr>
        <w:ind w:left="900" w:right="40" w:hanging="325"/>
        <w:spacing w:after="0" w:line="279" w:lineRule="auto"/>
        <w:tabs>
          <w:tab w:leader="none" w:pos="9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36" w:lineRule="exact"/>
        <w:rPr>
          <w:rFonts w:ascii="Arial" w:cs="Arial" w:eastAsia="Arial" w:hAnsi="Arial"/>
          <w:sz w:val="17"/>
          <w:szCs w:val="17"/>
          <w:color w:val="auto"/>
        </w:rPr>
      </w:pPr>
    </w:p>
    <w:p>
      <w:pPr>
        <w:ind w:left="900" w:hanging="325"/>
        <w:spacing w:after="0"/>
        <w:tabs>
          <w:tab w:leader="none" w:pos="9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We may, in our discretion, indemnify employees and agents in those circumstances where indemnification is permitted by applicable law.</w:t>
      </w:r>
    </w:p>
    <w:p>
      <w:pPr>
        <w:spacing w:after="0" w:line="101" w:lineRule="exact"/>
        <w:rPr>
          <w:rFonts w:ascii="Arial" w:cs="Arial" w:eastAsia="Arial" w:hAnsi="Arial"/>
          <w:sz w:val="17"/>
          <w:szCs w:val="17"/>
          <w:color w:val="auto"/>
        </w:rPr>
      </w:pPr>
    </w:p>
    <w:p>
      <w:pPr>
        <w:jc w:val="both"/>
        <w:ind w:left="900" w:right="480" w:hanging="325"/>
        <w:spacing w:after="0" w:line="334" w:lineRule="auto"/>
        <w:tabs>
          <w:tab w:leader="none" w:pos="9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1" w:lineRule="exact"/>
        <w:rPr>
          <w:rFonts w:ascii="Arial" w:cs="Arial" w:eastAsia="Arial" w:hAnsi="Arial"/>
          <w:sz w:val="16"/>
          <w:szCs w:val="16"/>
          <w:color w:val="auto"/>
        </w:rPr>
      </w:pPr>
    </w:p>
    <w:p>
      <w:pPr>
        <w:ind w:left="900" w:right="100" w:hanging="325"/>
        <w:spacing w:after="0" w:line="264"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will not be obligated pursuant to our amended and restated bylaws to indemnify a person with respect to proceedings initiated by that person against us or our other indemnitees, except with respect to proceedings authorized by our board of directors or brought to enforce a right to indemnification.</w:t>
      </w:r>
    </w:p>
    <w:p>
      <w:pPr>
        <w:spacing w:after="0" w:line="46"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rights conferred in our amended and restated bylaws are not exclusive, and we are authorized to enter into indemnification agreements with our directors, officers, employees and agents and to obtain insurance to indemnify such persons.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440" w:hanging="325"/>
        <w:spacing w:after="0" w:line="277"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may not retroactively amend our amended and restated bylaw provisions to reduce our indemnification obligations to directors, officers, employees and agents.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do not currently intend to pay dividends on our common stock, and, consequently, our stockholders’ ability to achieve a return on their investment will depend on appreciation in the price of our common stock.</w:t>
      </w:r>
    </w:p>
    <w:p>
      <w:pPr>
        <w:spacing w:after="0" w:line="170"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We do not currently intend to pay any cash dividends on our common stock for the foreseeable future. We currently intend to invest our future earnings, if any, to fund our growth. Additionally, the terms of our loan and security agreements could restrict our ability to pay dividends. Therefore, our stockholders are not likely to receive any dividends on our common stock for the foreseeable future. Since we do not intend to pay dividends, our stockholders’ ability to receive a return on their investment will depend on any future appreciation in the market value of our common stock. There is no guarantee that our common stock will appreciate or even maintain the price at which our holders have purchased it.</w:t>
      </w:r>
    </w:p>
    <w:p>
      <w:pPr>
        <w:spacing w:after="0" w:line="33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00" w:lineRule="exact"/>
        <w:rPr>
          <w:sz w:val="20"/>
          <w:szCs w:val="20"/>
          <w:color w:val="auto"/>
        </w:rPr>
      </w:pPr>
    </w:p>
    <w:p>
      <w:pPr>
        <w:spacing w:after="0" w:line="22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000" w:type="dxa"/>
            <w:vAlign w:val="bottom"/>
          </w:tcPr>
          <w:p>
            <w:pPr>
              <w:ind w:left="40"/>
              <w:spacing w:after="0"/>
              <w:rPr>
                <w:sz w:val="20"/>
                <w:szCs w:val="20"/>
                <w:color w:val="auto"/>
              </w:rPr>
            </w:pPr>
            <w:r>
              <w:rPr>
                <w:rFonts w:ascii="Arial" w:cs="Arial" w:eastAsia="Arial" w:hAnsi="Arial"/>
                <w:sz w:val="14"/>
                <w:szCs w:val="14"/>
                <w:b w:val="1"/>
                <w:bCs w:val="1"/>
                <w:color w:val="auto"/>
              </w:rPr>
              <w:t>Exhibit</w:t>
            </w: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00"/>
        </w:trPr>
        <w:tc>
          <w:tcPr>
            <w:tcW w:w="100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540" w:type="dxa"/>
            <w:vAlign w:val="bottom"/>
            <w:gridSpan w:val="4"/>
          </w:tcPr>
          <w:p>
            <w:pPr>
              <w:ind w:left="520"/>
              <w:spacing w:after="0"/>
              <w:rPr>
                <w:sz w:val="20"/>
                <w:szCs w:val="20"/>
                <w:color w:val="auto"/>
              </w:rPr>
            </w:pPr>
            <w:r>
              <w:rPr>
                <w:rFonts w:ascii="Arial" w:cs="Arial" w:eastAsia="Arial" w:hAnsi="Arial"/>
                <w:sz w:val="14"/>
                <w:szCs w:val="14"/>
                <w:b w:val="1"/>
                <w:bCs w:val="1"/>
                <w:color w:val="auto"/>
              </w:rPr>
              <w:t>Exhibit Description</w:t>
            </w:r>
          </w:p>
        </w:tc>
      </w:tr>
      <w:tr>
        <w:trPr>
          <w:trHeight w:val="269"/>
        </w:trPr>
        <w:tc>
          <w:tcPr>
            <w:tcW w:w="1000" w:type="dxa"/>
            <w:vAlign w:val="bottom"/>
          </w:tcPr>
          <w:p>
            <w:pPr>
              <w:ind w:left="80"/>
              <w:spacing w:after="0"/>
              <w:rPr>
                <w:sz w:val="20"/>
                <w:szCs w:val="20"/>
                <w:color w:val="auto"/>
              </w:rPr>
            </w:pPr>
            <w:r>
              <w:rPr>
                <w:rFonts w:ascii="Arial" w:cs="Arial" w:eastAsia="Arial" w:hAnsi="Arial"/>
                <w:sz w:val="18"/>
                <w:szCs w:val="18"/>
                <w:color w:val="auto"/>
              </w:rPr>
              <w:t>10.1 #</w:t>
            </w:r>
          </w:p>
        </w:tc>
        <w:tc>
          <w:tcPr>
            <w:tcW w:w="690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49">
              <w:r>
                <w:rPr>
                  <w:rFonts w:ascii="Arial" w:cs="Arial" w:eastAsia="Arial" w:hAnsi="Arial"/>
                  <w:sz w:val="18"/>
                  <w:szCs w:val="18"/>
                  <w:color w:val="0000EE"/>
                  <w:w w:val="89"/>
                </w:rPr>
                <w:t>Transition and Separation Agreement dated August 21, 2017, by and between the Company and</w:t>
              </w:r>
            </w:hyperlink>
          </w:p>
        </w:tc>
      </w:tr>
      <w:tr>
        <w:trPr>
          <w:trHeight w:val="196"/>
        </w:trPr>
        <w:tc>
          <w:tcPr>
            <w:tcW w:w="1000" w:type="dxa"/>
            <w:vAlign w:val="bottom"/>
          </w:tcPr>
          <w:p>
            <w:pPr>
              <w:spacing w:after="0"/>
              <w:rPr>
                <w:sz w:val="17"/>
                <w:szCs w:val="17"/>
                <w:color w:val="auto"/>
              </w:rPr>
            </w:pPr>
          </w:p>
        </w:tc>
        <w:tc>
          <w:tcPr>
            <w:tcW w:w="6900" w:type="dxa"/>
            <w:vAlign w:val="bottom"/>
            <w:gridSpan w:val="8"/>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Dr. Paul Korner.</w:t>
              </w:r>
            </w:hyperlink>
          </w:p>
        </w:tc>
      </w:tr>
      <w:tr>
        <w:trPr>
          <w:trHeight w:val="20"/>
        </w:trPr>
        <w:tc>
          <w:tcPr>
            <w:tcW w:w="10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1000" w:type="dxa"/>
            <w:vAlign w:val="bottom"/>
          </w:tcPr>
          <w:p>
            <w:pPr>
              <w:ind w:left="80"/>
              <w:spacing w:after="0"/>
              <w:rPr>
                <w:sz w:val="20"/>
                <w:szCs w:val="20"/>
                <w:color w:val="auto"/>
              </w:rPr>
            </w:pPr>
            <w:r>
              <w:rPr>
                <w:rFonts w:ascii="Arial" w:cs="Arial" w:eastAsia="Arial" w:hAnsi="Arial"/>
                <w:sz w:val="18"/>
                <w:szCs w:val="18"/>
                <w:color w:val="auto"/>
              </w:rPr>
              <w:t>31.1</w:t>
            </w:r>
          </w:p>
        </w:tc>
        <w:tc>
          <w:tcPr>
            <w:tcW w:w="6900" w:type="dxa"/>
            <w:vAlign w:val="bottom"/>
            <w:gridSpan w:val="8"/>
          </w:tcPr>
          <w:p>
            <w:pPr>
              <w:spacing w:after="0"/>
              <w:rPr>
                <w:rFonts w:ascii="Arial" w:cs="Arial" w:eastAsia="Arial" w:hAnsi="Arial"/>
                <w:sz w:val="18"/>
                <w:szCs w:val="18"/>
                <w:color w:val="0000EE"/>
                <w:w w:val="93"/>
              </w:rPr>
            </w:pPr>
            <w:hyperlink w:anchor="page62">
              <w:r>
                <w:rPr>
                  <w:rFonts w:ascii="Arial" w:cs="Arial" w:eastAsia="Arial" w:hAnsi="Arial"/>
                  <w:sz w:val="18"/>
                  <w:szCs w:val="18"/>
                  <w:color w:val="0000EE"/>
                  <w:w w:val="93"/>
                </w:rPr>
                <w:t>Certification of Chief Executive Officer Pursuant to Section 302 of the Sarbanes-Oxley Act of</w:t>
              </w:r>
            </w:hyperlink>
          </w:p>
        </w:tc>
      </w:tr>
      <w:tr>
        <w:trPr>
          <w:trHeight w:val="196"/>
        </w:trPr>
        <w:tc>
          <w:tcPr>
            <w:tcW w:w="1000" w:type="dxa"/>
            <w:vAlign w:val="bottom"/>
          </w:tcPr>
          <w:p>
            <w:pPr>
              <w:spacing w:after="0"/>
              <w:rPr>
                <w:sz w:val="17"/>
                <w:szCs w:val="17"/>
                <w:color w:val="auto"/>
              </w:rPr>
            </w:pPr>
          </w:p>
        </w:tc>
        <w:tc>
          <w:tcPr>
            <w:tcW w:w="400" w:type="dxa"/>
            <w:vAlign w:val="bottom"/>
            <w:tcBorders>
              <w:top w:val="single" w:sz="8" w:color="0000EE"/>
            </w:tcBorders>
            <w:gridSpan w:val="2"/>
          </w:tcPr>
          <w:p>
            <w:pPr>
              <w:spacing w:after="0" w:line="196" w:lineRule="exact"/>
              <w:rPr>
                <w:rFonts w:ascii="Arial" w:cs="Arial" w:eastAsia="Arial" w:hAnsi="Arial"/>
                <w:sz w:val="18"/>
                <w:szCs w:val="18"/>
                <w:color w:val="0000EE"/>
                <w:w w:val="84"/>
              </w:rPr>
            </w:pPr>
            <w:hyperlink w:anchor="page62">
              <w:r>
                <w:rPr>
                  <w:rFonts w:ascii="Arial" w:cs="Arial" w:eastAsia="Arial" w:hAnsi="Arial"/>
                  <w:sz w:val="18"/>
                  <w:szCs w:val="18"/>
                  <w:color w:val="0000EE"/>
                  <w:w w:val="84"/>
                </w:rPr>
                <w:t>2002</w:t>
              </w:r>
              <w:r>
                <w:rPr>
                  <w:rFonts w:ascii="Arial" w:cs="Arial" w:eastAsia="Arial" w:hAnsi="Arial"/>
                  <w:sz w:val="18"/>
                  <w:szCs w:val="18"/>
                  <w:color w:val="000000"/>
                  <w:w w:val="84"/>
                </w:rPr>
                <w:t>.</w:t>
              </w:r>
            </w:hyperlink>
          </w:p>
        </w:tc>
        <w:tc>
          <w:tcPr>
            <w:tcW w:w="780" w:type="dxa"/>
            <w:vAlign w:val="bottom"/>
            <w:tcBorders>
              <w:top w:val="single" w:sz="8" w:color="0000EE"/>
            </w:tcBorders>
          </w:tcPr>
          <w:p>
            <w:pPr>
              <w:spacing w:after="0"/>
              <w:rPr>
                <w:sz w:val="17"/>
                <w:szCs w:val="17"/>
                <w:color w:val="auto"/>
              </w:rPr>
            </w:pPr>
          </w:p>
        </w:tc>
        <w:tc>
          <w:tcPr>
            <w:tcW w:w="1180" w:type="dxa"/>
            <w:vAlign w:val="bottom"/>
            <w:tcBorders>
              <w:top w:val="single" w:sz="8" w:color="0000EE"/>
            </w:tcBorders>
          </w:tcPr>
          <w:p>
            <w:pPr>
              <w:spacing w:after="0"/>
              <w:rPr>
                <w:sz w:val="17"/>
                <w:szCs w:val="17"/>
                <w:color w:val="auto"/>
              </w:rPr>
            </w:pPr>
          </w:p>
        </w:tc>
        <w:tc>
          <w:tcPr>
            <w:tcW w:w="43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1000" w:type="dxa"/>
            <w:vAlign w:val="bottom"/>
          </w:tcPr>
          <w:p>
            <w:pPr>
              <w:ind w:left="80"/>
              <w:spacing w:after="0"/>
              <w:rPr>
                <w:sz w:val="20"/>
                <w:szCs w:val="20"/>
                <w:color w:val="auto"/>
              </w:rPr>
            </w:pPr>
            <w:r>
              <w:rPr>
                <w:rFonts w:ascii="Arial" w:cs="Arial" w:eastAsia="Arial" w:hAnsi="Arial"/>
                <w:sz w:val="18"/>
                <w:szCs w:val="18"/>
                <w:color w:val="auto"/>
              </w:rPr>
              <w:t>31.2</w:t>
            </w:r>
          </w:p>
        </w:tc>
        <w:tc>
          <w:tcPr>
            <w:tcW w:w="6900" w:type="dxa"/>
            <w:vAlign w:val="bottom"/>
            <w:gridSpan w:val="8"/>
          </w:tcPr>
          <w:p>
            <w:pPr>
              <w:spacing w:after="0"/>
              <w:rPr>
                <w:rFonts w:ascii="Arial" w:cs="Arial" w:eastAsia="Arial" w:hAnsi="Arial"/>
                <w:sz w:val="18"/>
                <w:szCs w:val="18"/>
                <w:color w:val="0000EE"/>
                <w:w w:val="94"/>
              </w:rPr>
            </w:pPr>
            <w:hyperlink w:anchor="page63">
              <w:r>
                <w:rPr>
                  <w:rFonts w:ascii="Arial" w:cs="Arial" w:eastAsia="Arial" w:hAnsi="Arial"/>
                  <w:sz w:val="18"/>
                  <w:szCs w:val="18"/>
                  <w:color w:val="0000EE"/>
                  <w:w w:val="94"/>
                </w:rPr>
                <w:t>Certification of Chief Financial Officer Pursuant to Section 302 of the Sarbanes-Oxley Act of</w:t>
              </w:r>
            </w:hyperlink>
          </w:p>
        </w:tc>
      </w:tr>
      <w:tr>
        <w:trPr>
          <w:trHeight w:val="196"/>
        </w:trPr>
        <w:tc>
          <w:tcPr>
            <w:tcW w:w="1000" w:type="dxa"/>
            <w:vAlign w:val="bottom"/>
          </w:tcPr>
          <w:p>
            <w:pPr>
              <w:spacing w:after="0"/>
              <w:rPr>
                <w:sz w:val="17"/>
                <w:szCs w:val="17"/>
                <w:color w:val="auto"/>
              </w:rPr>
            </w:pPr>
          </w:p>
        </w:tc>
        <w:tc>
          <w:tcPr>
            <w:tcW w:w="4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4"/>
              </w:rPr>
            </w:pPr>
            <w:hyperlink w:anchor="page63">
              <w:r>
                <w:rPr>
                  <w:rFonts w:ascii="Arial" w:cs="Arial" w:eastAsia="Arial" w:hAnsi="Arial"/>
                  <w:sz w:val="18"/>
                  <w:szCs w:val="18"/>
                  <w:color w:val="0000EE"/>
                  <w:w w:val="84"/>
                </w:rPr>
                <w:t>2002.</w:t>
              </w:r>
            </w:hyperlink>
          </w:p>
        </w:tc>
        <w:tc>
          <w:tcPr>
            <w:tcW w:w="780" w:type="dxa"/>
            <w:vAlign w:val="bottom"/>
            <w:tcBorders>
              <w:top w:val="single" w:sz="8" w:color="0000EE"/>
            </w:tcBorders>
          </w:tcPr>
          <w:p>
            <w:pPr>
              <w:spacing w:after="0"/>
              <w:rPr>
                <w:sz w:val="17"/>
                <w:szCs w:val="17"/>
                <w:color w:val="auto"/>
              </w:rPr>
            </w:pPr>
          </w:p>
        </w:tc>
        <w:tc>
          <w:tcPr>
            <w:tcW w:w="1180" w:type="dxa"/>
            <w:vAlign w:val="bottom"/>
            <w:tcBorders>
              <w:top w:val="single" w:sz="8" w:color="0000EE"/>
            </w:tcBorders>
          </w:tcPr>
          <w:p>
            <w:pPr>
              <w:spacing w:after="0"/>
              <w:rPr>
                <w:sz w:val="17"/>
                <w:szCs w:val="17"/>
                <w:color w:val="auto"/>
              </w:rPr>
            </w:pPr>
          </w:p>
        </w:tc>
        <w:tc>
          <w:tcPr>
            <w:tcW w:w="438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04"/>
        </w:trPr>
        <w:tc>
          <w:tcPr>
            <w:tcW w:w="1000" w:type="dxa"/>
            <w:vAlign w:val="bottom"/>
          </w:tcPr>
          <w:p>
            <w:pPr>
              <w:ind w:left="80"/>
              <w:spacing w:after="0"/>
              <w:rPr>
                <w:sz w:val="20"/>
                <w:szCs w:val="20"/>
                <w:color w:val="auto"/>
              </w:rPr>
            </w:pPr>
            <w:r>
              <w:rPr>
                <w:rFonts w:ascii="Arial" w:cs="Arial" w:eastAsia="Arial" w:hAnsi="Arial"/>
                <w:sz w:val="18"/>
                <w:szCs w:val="18"/>
                <w:color w:val="auto"/>
              </w:rPr>
              <w:t>32.1</w:t>
            </w:r>
          </w:p>
        </w:tc>
        <w:tc>
          <w:tcPr>
            <w:tcW w:w="6860" w:type="dxa"/>
            <w:vAlign w:val="bottom"/>
            <w:tcBorders>
              <w:bottom w:val="single" w:sz="8" w:color="0000EE"/>
            </w:tcBorders>
            <w:gridSpan w:val="7"/>
          </w:tcPr>
          <w:p>
            <w:pPr>
              <w:spacing w:after="0"/>
              <w:rPr>
                <w:rFonts w:ascii="Arial" w:cs="Arial" w:eastAsia="Arial" w:hAnsi="Arial"/>
                <w:sz w:val="18"/>
                <w:szCs w:val="18"/>
                <w:color w:val="0000EE"/>
                <w:w w:val="92"/>
              </w:rPr>
            </w:pPr>
            <w:hyperlink w:anchor="page64">
              <w:r>
                <w:rPr>
                  <w:rFonts w:ascii="Arial" w:cs="Arial" w:eastAsia="Arial" w:hAnsi="Arial"/>
                  <w:sz w:val="18"/>
                  <w:szCs w:val="18"/>
                  <w:color w:val="0000EE"/>
                  <w:w w:val="92"/>
                </w:rPr>
                <w:t>Certification of Chief Executive Officer and Chief Financial Officer Pursuant to Section 906 of</w:t>
              </w:r>
            </w:hyperlink>
          </w:p>
        </w:tc>
        <w:tc>
          <w:tcPr>
            <w:tcW w:w="40" w:type="dxa"/>
            <w:vAlign w:val="bottom"/>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6900" w:type="dxa"/>
            <w:vAlign w:val="bottom"/>
            <w:gridSpan w:val="8"/>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the Sarbanes-Oxley Act of 2002.</w:t>
              </w:r>
            </w:hyperlink>
          </w:p>
        </w:tc>
      </w:tr>
      <w:tr>
        <w:trPr>
          <w:trHeight w:val="20"/>
        </w:trPr>
        <w:tc>
          <w:tcPr>
            <w:tcW w:w="10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21" w:lineRule="exact"/>
        <w:rPr>
          <w:sz w:val="20"/>
          <w:szCs w:val="20"/>
          <w:color w:val="auto"/>
        </w:rPr>
      </w:pPr>
    </w:p>
    <w:p>
      <w:pPr>
        <w:ind w:left="1020" w:right="100" w:hanging="922"/>
        <w:spacing w:after="0" w:line="255" w:lineRule="auto"/>
        <w:tabs>
          <w:tab w:leader="none" w:pos="1020"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The following financial statements, formatted in XBRL: (i) Condensed Consolidated Balance Sheets as of September 30, 2017 and December 31, 2016, (ii) Condensed Consolidated Statements of Operations and Comprehensive Loss for the three and nine months ended September 30, 2017 and 2016, (iii) Condensed Consolidated Statements of Cash Flows for the nine months ended September 30, 2017 and 2016; and (iv) Notes to Unaudited Condensed Consolidated Financial Statements.</w:t>
      </w:r>
    </w:p>
    <w:p>
      <w:pPr>
        <w:spacing w:after="0" w:line="166" w:lineRule="exact"/>
        <w:rPr>
          <w:rFonts w:ascii="Arial" w:cs="Arial" w:eastAsia="Arial" w:hAnsi="Arial"/>
          <w:sz w:val="18"/>
          <w:szCs w:val="18"/>
          <w:color w:val="auto"/>
        </w:rPr>
      </w:pPr>
    </w:p>
    <w:p>
      <w:pPr>
        <w:ind w:left="220" w:hanging="212"/>
        <w:spacing w:after="0"/>
        <w:tabs>
          <w:tab w:leader="none" w:pos="2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289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700"/>
        <w:spacing w:after="0"/>
        <w:rPr>
          <w:sz w:val="20"/>
          <w:szCs w:val="20"/>
          <w:color w:val="auto"/>
        </w:rPr>
      </w:pPr>
      <w:r>
        <w:rPr>
          <w:rFonts w:ascii="Arial" w:cs="Arial" w:eastAsia="Arial" w:hAnsi="Arial"/>
          <w:sz w:val="14"/>
          <w:szCs w:val="14"/>
          <w:b w:val="1"/>
          <w:bCs w:val="1"/>
          <w:u w:val="single" w:color="auto"/>
          <w:color w:val="auto"/>
        </w:rPr>
        <w:t>Incorporated by Reference</w:t>
      </w:r>
    </w:p>
    <w:p>
      <w:pPr>
        <w:spacing w:after="0" w:line="5" w:lineRule="exact"/>
        <w:rPr>
          <w:sz w:val="20"/>
          <w:szCs w:val="20"/>
          <w:color w:val="auto"/>
        </w:rPr>
      </w:pPr>
    </w:p>
    <w:p>
      <w:pPr>
        <w:ind w:left="2600"/>
        <w:spacing w:after="0"/>
        <w:rPr>
          <w:sz w:val="20"/>
          <w:szCs w:val="20"/>
          <w:color w:val="auto"/>
        </w:rPr>
      </w:pPr>
      <w:r>
        <w:rPr>
          <w:rFonts w:ascii="Arial" w:cs="Arial" w:eastAsia="Arial" w:hAnsi="Arial"/>
          <w:sz w:val="14"/>
          <w:szCs w:val="14"/>
          <w:b w:val="1"/>
          <w:bCs w:val="1"/>
          <w:color w:val="auto"/>
        </w:rPr>
        <w:t>Filed</w:t>
      </w:r>
    </w:p>
    <w:p>
      <w:pPr>
        <w:spacing w:after="0"/>
        <w:tabs>
          <w:tab w:leader="none" w:pos="760" w:val="left"/>
          <w:tab w:leader="none" w:pos="1500" w:val="left"/>
          <w:tab w:leader="none" w:pos="2440" w:val="left"/>
        </w:tabs>
        <w:rPr>
          <w:sz w:val="20"/>
          <w:szCs w:val="20"/>
          <w:color w:val="auto"/>
        </w:rPr>
      </w:pPr>
      <w:r>
        <w:rPr>
          <w:rFonts w:ascii="Arial" w:cs="Arial" w:eastAsia="Arial" w:hAnsi="Arial"/>
          <w:sz w:val="14"/>
          <w:szCs w:val="14"/>
          <w:b w:val="1"/>
          <w:bCs w:val="1"/>
          <w:u w:val="single" w:color="auto"/>
          <w:color w:val="auto"/>
        </w:rPr>
        <w:t>Form</w:t>
      </w:r>
      <w:r>
        <w:rPr>
          <w:sz w:val="20"/>
          <w:szCs w:val="20"/>
          <w:color w:val="auto"/>
        </w:rPr>
        <w:tab/>
      </w:r>
      <w:r>
        <w:rPr>
          <w:rFonts w:ascii="Arial" w:cs="Arial" w:eastAsia="Arial" w:hAnsi="Arial"/>
          <w:sz w:val="14"/>
          <w:szCs w:val="14"/>
          <w:b w:val="1"/>
          <w:bCs w:val="1"/>
          <w:u w:val="single" w:color="auto"/>
          <w:color w:val="auto"/>
        </w:rPr>
        <w:t>Date</w:t>
      </w:r>
      <w:r>
        <w:rPr>
          <w:sz w:val="20"/>
          <w:szCs w:val="20"/>
          <w:color w:val="auto"/>
        </w:rPr>
        <w:tab/>
      </w: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20"/>
          <w:szCs w:val="20"/>
          <w:b w:val="1"/>
          <w:bCs w:val="1"/>
          <w:u w:val="single" w:color="auto"/>
          <w:color w:val="auto"/>
          <w:vertAlign w:val="superscript"/>
        </w:rPr>
        <w:t>Herewith</w:t>
      </w:r>
    </w:p>
    <w:p>
      <w:pPr>
        <w:spacing w:after="0" w:line="76"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X</w:t>
      </w:r>
    </w:p>
    <w:p>
      <w:pPr>
        <w:spacing w:after="0" w:line="317"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X</w:t>
      </w:r>
    </w:p>
    <w:p>
      <w:pPr>
        <w:spacing w:after="0" w:line="333"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X</w:t>
      </w:r>
    </w:p>
    <w:p>
      <w:pPr>
        <w:spacing w:after="0" w:line="333"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X</w:t>
      </w:r>
    </w:p>
    <w:p>
      <w:pPr>
        <w:spacing w:after="0" w:line="333"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X</w:t>
      </w:r>
    </w:p>
    <w:p>
      <w:pPr>
        <w:sectPr>
          <w:pgSz w:w="11900" w:h="16838" w:orient="portrait"/>
          <w:cols w:equalWidth="0" w:num="2">
            <w:col w:w="7920" w:space="460"/>
            <w:col w:w="304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5900"/>
        <w:spacing w:after="0"/>
        <w:rPr>
          <w:sz w:val="20"/>
          <w:szCs w:val="20"/>
          <w:color w:val="auto"/>
        </w:rPr>
      </w:pPr>
      <w:r>
        <w:rPr>
          <w:rFonts w:ascii="Arial" w:cs="Arial" w:eastAsia="Arial" w:hAnsi="Arial"/>
          <w:sz w:val="18"/>
          <w:szCs w:val="18"/>
          <w:b w:val="1"/>
          <w:bCs w:val="1"/>
          <w:color w:val="auto"/>
        </w:rPr>
        <w:t>Ardelyx, Inc.</w:t>
      </w:r>
    </w:p>
    <w:p>
      <w:pPr>
        <w:spacing w:after="0" w:line="229"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 November 7, 2017</w:t>
      </w:r>
      <w:r>
        <w:rPr>
          <w:sz w:val="20"/>
          <w:szCs w:val="20"/>
          <w:color w:val="auto"/>
        </w:rPr>
        <w:tab/>
      </w:r>
      <w:r>
        <w:rPr>
          <w:rFonts w:ascii="Arial" w:cs="Arial" w:eastAsia="Arial" w:hAnsi="Arial"/>
          <w:sz w:val="17"/>
          <w:szCs w:val="17"/>
          <w:color w:val="auto"/>
        </w:rPr>
        <w:t>By:  /s/ Mark Kaufmann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2"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Mark Kaufmann</w:t>
      </w:r>
    </w:p>
    <w:p>
      <w:pPr>
        <w:spacing w:after="0" w:line="27"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(Principal Financial and Accounting Officer)</w:t>
      </w:r>
    </w:p>
    <w:p>
      <w:pPr>
        <w:spacing w:after="0" w:line="15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800"/>
          </w:cols>
          <w:pgMar w:left="240" w:top="459" w:right="85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TRANSITION AND SEPARATION AGREEMENT</w:t>
      </w:r>
    </w:p>
    <w:p>
      <w:pPr>
        <w:spacing w:after="0" w:line="229"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This Transition and Separation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 by and between Paul Korner, M.D. (“</w:t>
      </w:r>
      <w:r>
        <w:rPr>
          <w:rFonts w:ascii="Arial" w:cs="Arial" w:eastAsia="Arial" w:hAnsi="Arial"/>
          <w:sz w:val="18"/>
          <w:szCs w:val="18"/>
          <w:u w:val="single" w:color="auto"/>
          <w:color w:val="auto"/>
        </w:rPr>
        <w:t>Executive</w:t>
      </w:r>
      <w:r>
        <w:rPr>
          <w:rFonts w:ascii="Arial" w:cs="Arial" w:eastAsia="Arial" w:hAnsi="Arial"/>
          <w:sz w:val="18"/>
          <w:szCs w:val="18"/>
          <w:color w:val="auto"/>
        </w:rPr>
        <w:t>”) and Ardelyx, Inc. (the “</w:t>
      </w:r>
      <w:r>
        <w:rPr>
          <w:rFonts w:ascii="Arial" w:cs="Arial" w:eastAsia="Arial" w:hAnsi="Arial"/>
          <w:sz w:val="18"/>
          <w:szCs w:val="18"/>
          <w:u w:val="single" w:color="auto"/>
          <w:color w:val="auto"/>
        </w:rPr>
        <w:t>Company</w:t>
      </w:r>
      <w:r>
        <w:rPr>
          <w:rFonts w:ascii="Arial" w:cs="Arial" w:eastAsia="Arial" w:hAnsi="Arial"/>
          <w:sz w:val="18"/>
          <w:szCs w:val="18"/>
          <w:color w:val="auto"/>
        </w:rPr>
        <w:t>”), is made effective as of the date Executive signs this Agreement (the “</w:t>
      </w:r>
      <w:r>
        <w:rPr>
          <w:rFonts w:ascii="Arial" w:cs="Arial" w:eastAsia="Arial" w:hAnsi="Arial"/>
          <w:sz w:val="18"/>
          <w:szCs w:val="18"/>
          <w:u w:val="single" w:color="auto"/>
          <w:color w:val="auto"/>
        </w:rPr>
        <w:t>Effective Date</w:t>
      </w:r>
      <w:r>
        <w:rPr>
          <w:rFonts w:ascii="Arial" w:cs="Arial" w:eastAsia="Arial" w:hAnsi="Arial"/>
          <w:sz w:val="18"/>
          <w:szCs w:val="18"/>
          <w:color w:val="auto"/>
        </w:rPr>
        <w:t>”) with reference to the following facts:</w:t>
      </w:r>
    </w:p>
    <w:p>
      <w:pPr>
        <w:spacing w:after="0" w:line="170" w:lineRule="exact"/>
        <w:rPr>
          <w:sz w:val="20"/>
          <w:szCs w:val="20"/>
          <w:color w:val="auto"/>
        </w:rPr>
      </w:pPr>
    </w:p>
    <w:p>
      <w:pPr>
        <w:ind w:left="1280" w:hanging="359"/>
        <w:spacing w:after="0"/>
        <w:tabs>
          <w:tab w:leader="none" w:pos="12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Executive is the Company’s Executive Vice President, Chief Medical Officer.</w:t>
      </w:r>
    </w:p>
    <w:p>
      <w:pPr>
        <w:spacing w:after="0" w:line="225" w:lineRule="exact"/>
        <w:rPr>
          <w:rFonts w:ascii="Arial" w:cs="Arial" w:eastAsia="Arial" w:hAnsi="Arial"/>
          <w:sz w:val="18"/>
          <w:szCs w:val="18"/>
          <w:color w:val="auto"/>
        </w:rPr>
      </w:pPr>
    </w:p>
    <w:p>
      <w:pPr>
        <w:ind w:right="300" w:firstLine="921"/>
        <w:spacing w:after="0" w:line="342" w:lineRule="auto"/>
        <w:tabs>
          <w:tab w:leader="none" w:pos="1258" w:val="left"/>
        </w:tabs>
        <w:numPr>
          <w:ilvl w:val="0"/>
          <w:numId w:val="47"/>
        </w:numPr>
        <w:rPr>
          <w:rFonts w:ascii="Arial" w:cs="Arial" w:eastAsia="Arial" w:hAnsi="Arial"/>
          <w:sz w:val="16"/>
          <w:szCs w:val="16"/>
          <w:color w:val="auto"/>
        </w:rPr>
      </w:pPr>
      <w:r>
        <w:rPr>
          <w:rFonts w:ascii="Arial" w:cs="Arial" w:eastAsia="Arial" w:hAnsi="Arial"/>
          <w:sz w:val="16"/>
          <w:szCs w:val="16"/>
          <w:color w:val="auto"/>
        </w:rPr>
        <w:t>Executive and the Company entered into a Change in Control Severance Agreement dated January 4, 2016 (the “</w:t>
      </w:r>
      <w:r>
        <w:rPr>
          <w:rFonts w:ascii="Arial" w:cs="Arial" w:eastAsia="Arial" w:hAnsi="Arial"/>
          <w:sz w:val="16"/>
          <w:szCs w:val="16"/>
          <w:u w:val="single" w:color="auto"/>
          <w:color w:val="auto"/>
        </w:rPr>
        <w:t>Severance Agreement</w:t>
      </w:r>
      <w:r>
        <w:rPr>
          <w:rFonts w:ascii="Arial" w:cs="Arial" w:eastAsia="Arial" w:hAnsi="Arial"/>
          <w:sz w:val="16"/>
          <w:szCs w:val="16"/>
          <w:color w:val="auto"/>
        </w:rPr>
        <w:t>”) pursuant to which the Executive has certain severance rights for a covered termination and certain continuing obligations to the Company.</w:t>
      </w:r>
    </w:p>
    <w:p>
      <w:pPr>
        <w:spacing w:after="0" w:line="123" w:lineRule="exact"/>
        <w:rPr>
          <w:rFonts w:ascii="Arial" w:cs="Arial" w:eastAsia="Arial" w:hAnsi="Arial"/>
          <w:sz w:val="16"/>
          <w:szCs w:val="16"/>
          <w:color w:val="auto"/>
        </w:rPr>
      </w:pPr>
    </w:p>
    <w:p>
      <w:pPr>
        <w:ind w:right="180" w:firstLine="921"/>
        <w:spacing w:after="0" w:line="277" w:lineRule="auto"/>
        <w:tabs>
          <w:tab w:leader="none" w:pos="1258" w:val="left"/>
        </w:tabs>
        <w:numPr>
          <w:ilvl w:val="0"/>
          <w:numId w:val="47"/>
        </w:numPr>
        <w:rPr>
          <w:rFonts w:ascii="Arial" w:cs="Arial" w:eastAsia="Arial" w:hAnsi="Arial"/>
          <w:sz w:val="18"/>
          <w:szCs w:val="18"/>
          <w:color w:val="auto"/>
        </w:rPr>
      </w:pPr>
      <w:r>
        <w:rPr>
          <w:rFonts w:ascii="Arial" w:cs="Arial" w:eastAsia="Arial" w:hAnsi="Arial"/>
          <w:sz w:val="18"/>
          <w:szCs w:val="18"/>
          <w:color w:val="auto"/>
        </w:rPr>
        <w:t>Executive’s employment with the Company and status as an officer and employee of the Company will end effective upon the Resignation Date (as defined below).</w:t>
      </w:r>
    </w:p>
    <w:p>
      <w:pPr>
        <w:spacing w:after="0" w:line="170" w:lineRule="exact"/>
        <w:rPr>
          <w:rFonts w:ascii="Arial" w:cs="Arial" w:eastAsia="Arial" w:hAnsi="Arial"/>
          <w:sz w:val="18"/>
          <w:szCs w:val="18"/>
          <w:color w:val="auto"/>
        </w:rPr>
      </w:pPr>
    </w:p>
    <w:p>
      <w:pPr>
        <w:ind w:right="300" w:firstLine="921"/>
        <w:spacing w:after="0" w:line="277" w:lineRule="auto"/>
        <w:tabs>
          <w:tab w:leader="none" w:pos="1268" w:val="left"/>
        </w:tabs>
        <w:numPr>
          <w:ilvl w:val="0"/>
          <w:numId w:val="47"/>
        </w:numPr>
        <w:rPr>
          <w:rFonts w:ascii="Arial" w:cs="Arial" w:eastAsia="Arial" w:hAnsi="Arial"/>
          <w:sz w:val="18"/>
          <w:szCs w:val="18"/>
          <w:color w:val="auto"/>
        </w:rPr>
      </w:pPr>
      <w:r>
        <w:rPr>
          <w:rFonts w:ascii="Arial" w:cs="Arial" w:eastAsia="Arial" w:hAnsi="Arial"/>
          <w:sz w:val="18"/>
          <w:szCs w:val="18"/>
          <w:color w:val="auto"/>
        </w:rPr>
        <w:t>Executive and the Company want to end their relationship amicably and also to establish the obligations of the parties including, without limitation, all amounts due and owing to the Executive.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in consideration of the mutual covenants and agreements hereinafter set forth, the parties agree as follows:</w:t>
      </w:r>
    </w:p>
    <w:p>
      <w:pPr>
        <w:spacing w:after="0" w:line="225" w:lineRule="exact"/>
        <w:rPr>
          <w:sz w:val="20"/>
          <w:szCs w:val="20"/>
          <w:color w:val="auto"/>
        </w:rPr>
      </w:pPr>
    </w:p>
    <w:p>
      <w:pPr>
        <w:jc w:val="both"/>
        <w:ind w:right="80" w:firstLine="921"/>
        <w:spacing w:after="0" w:line="259" w:lineRule="auto"/>
        <w:tabs>
          <w:tab w:leader="none" w:pos="1228" w:val="left"/>
        </w:tabs>
        <w:numPr>
          <w:ilvl w:val="1"/>
          <w:numId w:val="48"/>
        </w:numPr>
        <w:rPr>
          <w:rFonts w:ascii="Arial" w:cs="Arial" w:eastAsia="Arial" w:hAnsi="Arial"/>
          <w:sz w:val="18"/>
          <w:szCs w:val="18"/>
          <w:color w:val="auto"/>
        </w:rPr>
      </w:pPr>
      <w:r>
        <w:rPr>
          <w:rFonts w:ascii="Arial" w:cs="Arial" w:eastAsia="Arial" w:hAnsi="Arial"/>
          <w:sz w:val="18"/>
          <w:szCs w:val="18"/>
          <w:u w:val="single" w:color="auto"/>
          <w:color w:val="auto"/>
        </w:rPr>
        <w:t>Resignation Date</w:t>
      </w:r>
      <w:r>
        <w:rPr>
          <w:rFonts w:ascii="Arial" w:cs="Arial" w:eastAsia="Arial" w:hAnsi="Arial"/>
          <w:sz w:val="18"/>
          <w:szCs w:val="18"/>
          <w:color w:val="auto"/>
        </w:rPr>
        <w:t>. Executive acknowledges and agrees that his status as an officer and employee of the Company will end effective as of the close of business on September 8, 2017 (the “</w:t>
      </w:r>
      <w:r>
        <w:rPr>
          <w:rFonts w:ascii="Arial" w:cs="Arial" w:eastAsia="Arial" w:hAnsi="Arial"/>
          <w:sz w:val="18"/>
          <w:szCs w:val="18"/>
          <w:u w:val="single" w:color="auto"/>
          <w:color w:val="auto"/>
        </w:rPr>
        <w:t>Resignation Date</w:t>
      </w:r>
      <w:r>
        <w:rPr>
          <w:rFonts w:ascii="Arial" w:cs="Arial" w:eastAsia="Arial" w:hAnsi="Arial"/>
          <w:sz w:val="18"/>
          <w:szCs w:val="18"/>
          <w:color w:val="auto"/>
        </w:rPr>
        <w:t xml:space="preserve">”). Executive hereby agrees to execute such further document(s) as shall be determined by the Company as necessary or desirable to give effect to the termination of Executive’s status as an officer of the Company;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documents shall not be inconsistent with any of the terms of this Agreement.</w:t>
      </w:r>
    </w:p>
    <w:p>
      <w:pPr>
        <w:spacing w:after="0" w:line="186" w:lineRule="exact"/>
        <w:rPr>
          <w:rFonts w:ascii="Arial" w:cs="Arial" w:eastAsia="Arial" w:hAnsi="Arial"/>
          <w:sz w:val="18"/>
          <w:szCs w:val="18"/>
          <w:color w:val="auto"/>
        </w:rPr>
      </w:pPr>
    </w:p>
    <w:p>
      <w:pPr>
        <w:ind w:left="1240" w:hanging="319"/>
        <w:spacing w:after="0"/>
        <w:tabs>
          <w:tab w:leader="none" w:pos="1240" w:val="left"/>
        </w:tabs>
        <w:numPr>
          <w:ilvl w:val="1"/>
          <w:numId w:val="48"/>
        </w:numPr>
        <w:rPr>
          <w:rFonts w:ascii="Arial" w:cs="Arial" w:eastAsia="Arial" w:hAnsi="Arial"/>
          <w:sz w:val="16"/>
          <w:szCs w:val="16"/>
          <w:color w:val="auto"/>
        </w:rPr>
      </w:pPr>
      <w:r>
        <w:rPr>
          <w:rFonts w:ascii="Arial" w:cs="Arial" w:eastAsia="Arial" w:hAnsi="Arial"/>
          <w:sz w:val="16"/>
          <w:szCs w:val="16"/>
          <w:u w:val="single" w:color="auto"/>
          <w:color w:val="auto"/>
        </w:rPr>
        <w:t>Transition</w:t>
      </w:r>
      <w:r>
        <w:rPr>
          <w:rFonts w:ascii="Arial" w:cs="Arial" w:eastAsia="Arial" w:hAnsi="Arial"/>
          <w:sz w:val="16"/>
          <w:szCs w:val="16"/>
          <w:color w:val="auto"/>
        </w:rPr>
        <w:t>. During the period of time (the “Transition Period”) commencing on the Effective Date and ending on (a) the Resignation Date, or</w:t>
      </w:r>
    </w:p>
    <w:p>
      <w:pPr>
        <w:spacing w:after="0" w:line="46" w:lineRule="exact"/>
        <w:rPr>
          <w:rFonts w:ascii="Arial" w:cs="Arial" w:eastAsia="Arial" w:hAnsi="Arial"/>
          <w:sz w:val="16"/>
          <w:szCs w:val="16"/>
          <w:color w:val="auto"/>
        </w:rPr>
      </w:pPr>
    </w:p>
    <w:p>
      <w:pPr>
        <w:ind w:right="200" w:firstLine="8"/>
        <w:spacing w:after="0" w:line="255" w:lineRule="auto"/>
        <w:tabs>
          <w:tab w:leader="none" w:pos="255" w:val="left"/>
        </w:tabs>
        <w:numPr>
          <w:ilvl w:val="0"/>
          <w:numId w:val="49"/>
        </w:numPr>
        <w:rPr>
          <w:rFonts w:ascii="Arial" w:cs="Arial" w:eastAsia="Arial" w:hAnsi="Arial"/>
          <w:sz w:val="18"/>
          <w:szCs w:val="18"/>
          <w:color w:val="auto"/>
        </w:rPr>
      </w:pPr>
      <w:r>
        <w:rPr>
          <w:rFonts w:ascii="Arial" w:cs="Arial" w:eastAsia="Arial" w:hAnsi="Arial"/>
          <w:sz w:val="18"/>
          <w:szCs w:val="18"/>
          <w:color w:val="auto"/>
        </w:rPr>
        <w:t>such earlier date as Executive resigns him employment or the terminates Executive’s employment for Cause (as defined in the Severance Agreement), Executive shall continue to be employed by the Company in the full-time position of Chief Medical Officer and to receive salary and benefits as in effect as of the Effective Date.</w:t>
      </w:r>
    </w:p>
    <w:p>
      <w:pPr>
        <w:spacing w:after="0" w:line="190" w:lineRule="exact"/>
        <w:rPr>
          <w:rFonts w:ascii="Arial" w:cs="Arial" w:eastAsia="Arial" w:hAnsi="Arial"/>
          <w:sz w:val="18"/>
          <w:szCs w:val="18"/>
          <w:color w:val="auto"/>
        </w:rPr>
      </w:pPr>
    </w:p>
    <w:p>
      <w:pPr>
        <w:jc w:val="both"/>
        <w:ind w:left="460" w:right="80" w:firstLine="881"/>
        <w:spacing w:after="0" w:line="312" w:lineRule="auto"/>
        <w:tabs>
          <w:tab w:leader="none" w:pos="1716" w:val="left"/>
        </w:tabs>
        <w:numPr>
          <w:ilvl w:val="2"/>
          <w:numId w:val="49"/>
        </w:numPr>
        <w:rPr>
          <w:rFonts w:ascii="Arial" w:cs="Arial" w:eastAsia="Arial" w:hAnsi="Arial"/>
          <w:sz w:val="16"/>
          <w:szCs w:val="16"/>
          <w:color w:val="auto"/>
        </w:rPr>
      </w:pPr>
      <w:r>
        <w:rPr>
          <w:rFonts w:ascii="Arial" w:cs="Arial" w:eastAsia="Arial" w:hAnsi="Arial"/>
          <w:sz w:val="16"/>
          <w:szCs w:val="16"/>
          <w:i w:val="1"/>
          <w:iCs w:val="1"/>
          <w:color w:val="auto"/>
        </w:rPr>
        <w:t>Salary and Benefits Continuation</w:t>
      </w:r>
      <w:r>
        <w:rPr>
          <w:rFonts w:ascii="Arial" w:cs="Arial" w:eastAsia="Arial" w:hAnsi="Arial"/>
          <w:sz w:val="16"/>
          <w:szCs w:val="16"/>
          <w:color w:val="auto"/>
        </w:rPr>
        <w:t>. During the Transition Period, Executive will continue to be paid his base salary at the rate in effect</w:t>
      </w:r>
      <w:r>
        <w:rPr>
          <w:rFonts w:ascii="Arial" w:cs="Arial" w:eastAsia="Arial" w:hAnsi="Arial"/>
          <w:sz w:val="16"/>
          <w:szCs w:val="16"/>
          <w:i w:val="1"/>
          <w:iCs w:val="1"/>
          <w:color w:val="auto"/>
        </w:rPr>
        <w:t xml:space="preserve"> </w:t>
      </w:r>
      <w:r>
        <w:rPr>
          <w:rFonts w:ascii="Arial" w:cs="Arial" w:eastAsia="Arial" w:hAnsi="Arial"/>
          <w:sz w:val="16"/>
          <w:szCs w:val="16"/>
          <w:color w:val="auto"/>
        </w:rPr>
        <w:t>on the Effective Date, accrue paid vacation and be eligible for all employee benefit plans generally available to executives of the Company through the Termination Date. All payments made to Executive during the Transition Period will be subject to standard payroll deductions and withholdings.</w:t>
      </w:r>
    </w:p>
    <w:p>
      <w:pPr>
        <w:spacing w:after="0" w:line="146" w:lineRule="exact"/>
        <w:rPr>
          <w:rFonts w:ascii="Arial" w:cs="Arial" w:eastAsia="Arial" w:hAnsi="Arial"/>
          <w:sz w:val="16"/>
          <w:szCs w:val="16"/>
          <w:color w:val="auto"/>
        </w:rPr>
      </w:pPr>
    </w:p>
    <w:p>
      <w:pPr>
        <w:ind w:left="460" w:right="60" w:firstLine="881"/>
        <w:spacing w:after="0" w:line="264" w:lineRule="auto"/>
        <w:tabs>
          <w:tab w:leader="none" w:pos="1726" w:val="left"/>
        </w:tabs>
        <w:numPr>
          <w:ilvl w:val="2"/>
          <w:numId w:val="49"/>
        </w:numPr>
        <w:rPr>
          <w:rFonts w:ascii="Arial" w:cs="Arial" w:eastAsia="Arial" w:hAnsi="Arial"/>
          <w:sz w:val="18"/>
          <w:szCs w:val="18"/>
          <w:color w:val="auto"/>
        </w:rPr>
      </w:pPr>
      <w:r>
        <w:rPr>
          <w:rFonts w:ascii="Arial" w:cs="Arial" w:eastAsia="Arial" w:hAnsi="Arial"/>
          <w:sz w:val="18"/>
          <w:szCs w:val="18"/>
          <w:i w:val="1"/>
          <w:iCs w:val="1"/>
          <w:color w:val="auto"/>
        </w:rPr>
        <w:t>Equity Awards</w:t>
      </w:r>
      <w:r>
        <w:rPr>
          <w:rFonts w:ascii="Arial" w:cs="Arial" w:eastAsia="Arial" w:hAnsi="Arial"/>
          <w:sz w:val="18"/>
          <w:szCs w:val="18"/>
          <w:color w:val="auto"/>
        </w:rPr>
        <w:t>. During the Transition Period, Executive’s options to purchase shares of Company common stock and Executive’s</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Restricted Stock Units (collectively, “</w:t>
      </w:r>
      <w:r>
        <w:rPr>
          <w:rFonts w:ascii="Arial" w:cs="Arial" w:eastAsia="Arial" w:hAnsi="Arial"/>
          <w:sz w:val="18"/>
          <w:szCs w:val="18"/>
          <w:u w:val="single" w:color="auto"/>
          <w:color w:val="auto"/>
        </w:rPr>
        <w:t>Equity Awards</w:t>
      </w:r>
      <w:r>
        <w:rPr>
          <w:rFonts w:ascii="Arial" w:cs="Arial" w:eastAsia="Arial" w:hAnsi="Arial"/>
          <w:sz w:val="18"/>
          <w:szCs w:val="18"/>
          <w:color w:val="auto"/>
        </w:rPr>
        <w:t>”) shall continue to vest and, if applicable, become exercisable and the restrictions thereupon lapse in accordance with their original vesting schedules.</w:t>
      </w:r>
    </w:p>
    <w:p>
      <w:pPr>
        <w:spacing w:after="0" w:line="181" w:lineRule="exact"/>
        <w:rPr>
          <w:rFonts w:ascii="Arial" w:cs="Arial" w:eastAsia="Arial" w:hAnsi="Arial"/>
          <w:sz w:val="18"/>
          <w:szCs w:val="18"/>
          <w:color w:val="auto"/>
        </w:rPr>
      </w:pPr>
    </w:p>
    <w:p>
      <w:pPr>
        <w:ind w:left="460" w:right="500" w:firstLine="881"/>
        <w:spacing w:after="0" w:line="264" w:lineRule="auto"/>
        <w:tabs>
          <w:tab w:leader="none" w:pos="1716" w:val="left"/>
        </w:tabs>
        <w:numPr>
          <w:ilvl w:val="2"/>
          <w:numId w:val="49"/>
        </w:numPr>
        <w:rPr>
          <w:rFonts w:ascii="Arial" w:cs="Arial" w:eastAsia="Arial" w:hAnsi="Arial"/>
          <w:sz w:val="18"/>
          <w:szCs w:val="18"/>
          <w:color w:val="auto"/>
        </w:rPr>
      </w:pPr>
      <w:r>
        <w:rPr>
          <w:rFonts w:ascii="Arial" w:cs="Arial" w:eastAsia="Arial" w:hAnsi="Arial"/>
          <w:sz w:val="18"/>
          <w:szCs w:val="18"/>
          <w:i w:val="1"/>
          <w:iCs w:val="1"/>
          <w:color w:val="auto"/>
        </w:rPr>
        <w:t>Protection of Information</w:t>
      </w:r>
      <w:r>
        <w:rPr>
          <w:rFonts w:ascii="Arial" w:cs="Arial" w:eastAsia="Arial" w:hAnsi="Arial"/>
          <w:sz w:val="18"/>
          <w:szCs w:val="18"/>
          <w:color w:val="auto"/>
        </w:rPr>
        <w:t>. During the Transition Period, Executive reaffirms his commitment to remain in compliance with that</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Proprietary Information and Inventions Assignment Agreement entered into between Executive and the Company (the “</w:t>
      </w:r>
      <w:r>
        <w:rPr>
          <w:rFonts w:ascii="Arial" w:cs="Arial" w:eastAsia="Arial" w:hAnsi="Arial"/>
          <w:sz w:val="18"/>
          <w:szCs w:val="18"/>
          <w:u w:val="single" w:color="auto"/>
          <w:color w:val="auto"/>
        </w:rPr>
        <w:t>Confidential</w:t>
      </w:r>
      <w:r>
        <w:rPr>
          <w:rFonts w:ascii="Arial" w:cs="Arial" w:eastAsia="Arial" w:hAnsi="Arial"/>
          <w:sz w:val="18"/>
          <w:szCs w:val="18"/>
          <w:color w:val="auto"/>
        </w:rPr>
        <w:t xml:space="preserve"> </w:t>
      </w:r>
      <w:r>
        <w:rPr>
          <w:rFonts w:ascii="Arial" w:cs="Arial" w:eastAsia="Arial" w:hAnsi="Arial"/>
          <w:sz w:val="18"/>
          <w:szCs w:val="18"/>
          <w:u w:val="single" w:color="auto"/>
          <w:color w:val="auto"/>
        </w:rPr>
        <w:t>Information Agreement</w:t>
      </w:r>
      <w:r>
        <w:rPr>
          <w:rFonts w:ascii="Arial" w:cs="Arial" w:eastAsia="Arial" w:hAnsi="Arial"/>
          <w:sz w:val="18"/>
          <w:szCs w:val="18"/>
          <w:color w:val="auto"/>
        </w:rPr>
        <w:t>”), it being understood that the term “employment” as</w:t>
      </w:r>
    </w:p>
    <w:p>
      <w:pPr>
        <w:sectPr>
          <w:pgSz w:w="11900" w:h="16838" w:orient="portrait"/>
          <w:cols w:equalWidth="0" w:num="1">
            <w:col w:w="11420"/>
          </w:cols>
          <w:pgMar w:left="240" w:top="121" w:right="239" w:bottom="1440" w:gutter="0" w:footer="0" w:header="0"/>
        </w:sectPr>
      </w:pPr>
    </w:p>
    <w:bookmarkStart w:id="49" w:name="page50"/>
    <w:bookmarkEnd w:id="49"/>
    <w:p>
      <w:pPr>
        <w:ind w:left="420" w:right="12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used in the Confidential Information Agreement shall include employment during the Transition Period. Executive acknowledges and agrees that, during the Transition Period, Executive shall not, directly or indirectly, become employed by or provide assistance to any competitor of the Company. Executive agrees that, during the Transition Period and thereafter, Executive will not, except for the purposes of performing his duties as an employee of the Company during the Transition Period, seek to obtain any confidential or proprietary information or materials of the Company.</w:t>
      </w:r>
    </w:p>
    <w:p>
      <w:pPr>
        <w:spacing w:after="0" w:line="154" w:lineRule="exact"/>
        <w:rPr>
          <w:sz w:val="20"/>
          <w:szCs w:val="20"/>
          <w:color w:val="auto"/>
        </w:rPr>
      </w:pPr>
    </w:p>
    <w:p>
      <w:pPr>
        <w:ind w:left="-40" w:right="460" w:firstLine="921"/>
        <w:spacing w:after="0" w:line="257" w:lineRule="auto"/>
        <w:tabs>
          <w:tab w:leader="none" w:pos="1188"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Severance Payments and Benefits</w:t>
      </w:r>
      <w:r>
        <w:rPr>
          <w:rFonts w:ascii="Arial" w:cs="Arial" w:eastAsia="Arial" w:hAnsi="Arial"/>
          <w:sz w:val="18"/>
          <w:szCs w:val="18"/>
          <w:color w:val="auto"/>
        </w:rPr>
        <w:t xml:space="preserve">. The Company hereby agrees, subject to Executive delivering to the Company a General Release of Claims substantially in the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Release of Claims</w:t>
      </w:r>
      <w:r>
        <w:rPr>
          <w:rFonts w:ascii="Arial" w:cs="Arial" w:eastAsia="Arial" w:hAnsi="Arial"/>
          <w:sz w:val="18"/>
          <w:szCs w:val="18"/>
          <w:color w:val="auto"/>
        </w:rPr>
        <w:t>”) on the Resignation Date, Executive not revoking the Release of Claims within the seven (7)-day period following his execution of the Release of Claims (the “</w:t>
      </w:r>
      <w:r>
        <w:rPr>
          <w:rFonts w:ascii="Arial" w:cs="Arial" w:eastAsia="Arial" w:hAnsi="Arial"/>
          <w:sz w:val="18"/>
          <w:szCs w:val="18"/>
          <w:u w:val="single" w:color="auto"/>
          <w:color w:val="auto"/>
        </w:rPr>
        <w:t>Revocation Period</w:t>
      </w:r>
      <w:r>
        <w:rPr>
          <w:rFonts w:ascii="Arial" w:cs="Arial" w:eastAsia="Arial" w:hAnsi="Arial"/>
          <w:sz w:val="18"/>
          <w:szCs w:val="18"/>
          <w:color w:val="auto"/>
        </w:rPr>
        <w:t>”) and Executive’s performance of his continuing obligations pursuant to this Agreement and the Confidential Information Agreement, to provide the payments and benefits set forth in this Section 3.</w:t>
      </w:r>
    </w:p>
    <w:p>
      <w:pPr>
        <w:spacing w:after="0" w:line="188" w:lineRule="exact"/>
        <w:rPr>
          <w:rFonts w:ascii="Arial" w:cs="Arial" w:eastAsia="Arial" w:hAnsi="Arial"/>
          <w:sz w:val="18"/>
          <w:szCs w:val="18"/>
          <w:color w:val="auto"/>
        </w:rPr>
      </w:pPr>
    </w:p>
    <w:p>
      <w:pPr>
        <w:ind w:left="420" w:right="20" w:firstLine="881"/>
        <w:spacing w:after="0" w:line="312" w:lineRule="auto"/>
        <w:tabs>
          <w:tab w:leader="none" w:pos="1676" w:val="left"/>
        </w:tabs>
        <w:numPr>
          <w:ilvl w:val="1"/>
          <w:numId w:val="50"/>
        </w:numPr>
        <w:rPr>
          <w:rFonts w:ascii="Arial" w:cs="Arial" w:eastAsia="Arial" w:hAnsi="Arial"/>
          <w:sz w:val="16"/>
          <w:szCs w:val="16"/>
          <w:color w:val="auto"/>
        </w:rPr>
      </w:pPr>
      <w:r>
        <w:rPr>
          <w:rFonts w:ascii="Arial" w:cs="Arial" w:eastAsia="Arial" w:hAnsi="Arial"/>
          <w:sz w:val="16"/>
          <w:szCs w:val="16"/>
          <w:i w:val="1"/>
          <w:iCs w:val="1"/>
          <w:color w:val="auto"/>
        </w:rPr>
        <w:t xml:space="preserve">Severance Payments. </w:t>
      </w:r>
      <w:r>
        <w:rPr>
          <w:rFonts w:ascii="Arial" w:cs="Arial" w:eastAsia="Arial" w:hAnsi="Arial"/>
          <w:sz w:val="16"/>
          <w:szCs w:val="16"/>
          <w:color w:val="auto"/>
        </w:rPr>
        <w:t>Subject to the continued effectiveness of this Agreement and the Release of Claims as of such date, on or before</w:t>
      </w:r>
      <w:r>
        <w:rPr>
          <w:rFonts w:ascii="Arial" w:cs="Arial" w:eastAsia="Arial" w:hAnsi="Arial"/>
          <w:sz w:val="16"/>
          <w:szCs w:val="16"/>
          <w:i w:val="1"/>
          <w:iCs w:val="1"/>
          <w:color w:val="auto"/>
        </w:rPr>
        <w:t xml:space="preserve"> </w:t>
      </w:r>
      <w:r>
        <w:rPr>
          <w:rFonts w:ascii="Arial" w:cs="Arial" w:eastAsia="Arial" w:hAnsi="Arial"/>
          <w:sz w:val="16"/>
          <w:szCs w:val="16"/>
          <w:color w:val="auto"/>
        </w:rPr>
        <w:t>the fifth business day following the Revocation Period, the Company shall make a lump sum payment to Executive equal to three (3) months’ of his then-current base salary (the “</w:t>
      </w:r>
      <w:r>
        <w:rPr>
          <w:rFonts w:ascii="Arial" w:cs="Arial" w:eastAsia="Arial" w:hAnsi="Arial"/>
          <w:sz w:val="16"/>
          <w:szCs w:val="16"/>
          <w:u w:val="single" w:color="auto"/>
          <w:color w:val="auto"/>
        </w:rPr>
        <w:t>Severance Payment</w:t>
      </w:r>
      <w:r>
        <w:rPr>
          <w:rFonts w:ascii="Arial" w:cs="Arial" w:eastAsia="Arial" w:hAnsi="Arial"/>
          <w:sz w:val="16"/>
          <w:szCs w:val="16"/>
          <w:color w:val="auto"/>
        </w:rPr>
        <w:t>”). The Severance Payment shall be subject to standard payroll deductions and withholding.</w:t>
      </w:r>
    </w:p>
    <w:p>
      <w:pPr>
        <w:spacing w:after="0" w:line="146" w:lineRule="exact"/>
        <w:rPr>
          <w:rFonts w:ascii="Arial" w:cs="Arial" w:eastAsia="Arial" w:hAnsi="Arial"/>
          <w:sz w:val="16"/>
          <w:szCs w:val="16"/>
          <w:color w:val="auto"/>
        </w:rPr>
      </w:pPr>
    </w:p>
    <w:p>
      <w:pPr>
        <w:ind w:left="420" w:right="40" w:firstLine="881"/>
        <w:spacing w:after="0" w:line="284" w:lineRule="auto"/>
        <w:tabs>
          <w:tab w:leader="none" w:pos="1686" w:val="left"/>
        </w:tabs>
        <w:numPr>
          <w:ilvl w:val="1"/>
          <w:numId w:val="50"/>
        </w:numPr>
        <w:rPr>
          <w:rFonts w:ascii="Arial" w:cs="Arial" w:eastAsia="Arial" w:hAnsi="Arial"/>
          <w:sz w:val="16"/>
          <w:szCs w:val="16"/>
          <w:color w:val="auto"/>
        </w:rPr>
      </w:pPr>
      <w:r>
        <w:rPr>
          <w:rFonts w:ascii="Arial" w:cs="Arial" w:eastAsia="Arial" w:hAnsi="Arial"/>
          <w:sz w:val="16"/>
          <w:szCs w:val="16"/>
          <w:i w:val="1"/>
          <w:iCs w:val="1"/>
          <w:color w:val="auto"/>
        </w:rPr>
        <w:t>COBRA Reimbursement</w:t>
      </w:r>
      <w:r>
        <w:rPr>
          <w:rFonts w:ascii="Arial" w:cs="Arial" w:eastAsia="Arial" w:hAnsi="Arial"/>
          <w:sz w:val="16"/>
          <w:szCs w:val="16"/>
          <w:color w:val="auto"/>
        </w:rPr>
        <w:t>. Provided that Executive timely elects to receive continued healthcare coverage pursuant to the Consolidated</w:t>
      </w:r>
      <w:r>
        <w:rPr>
          <w:rFonts w:ascii="Arial" w:cs="Arial" w:eastAsia="Arial" w:hAnsi="Arial"/>
          <w:sz w:val="16"/>
          <w:szCs w:val="16"/>
          <w:i w:val="1"/>
          <w:iCs w:val="1"/>
          <w:color w:val="auto"/>
        </w:rPr>
        <w:t xml:space="preserve"> </w:t>
      </w:r>
      <w:r>
        <w:rPr>
          <w:rFonts w:ascii="Arial" w:cs="Arial" w:eastAsia="Arial" w:hAnsi="Arial"/>
          <w:sz w:val="16"/>
          <w:szCs w:val="16"/>
          <w:color w:val="auto"/>
        </w:rPr>
        <w:t>Omnibus Budget Reconciliation Act of 1985, as amended, or applicable state law (collectively referred to as “</w:t>
      </w:r>
      <w:r>
        <w:rPr>
          <w:rFonts w:ascii="Arial" w:cs="Arial" w:eastAsia="Arial" w:hAnsi="Arial"/>
          <w:sz w:val="16"/>
          <w:szCs w:val="16"/>
          <w:u w:val="single" w:color="auto"/>
          <w:color w:val="auto"/>
        </w:rPr>
        <w:t>COBRA</w:t>
      </w:r>
      <w:r>
        <w:rPr>
          <w:rFonts w:ascii="Arial" w:cs="Arial" w:eastAsia="Arial" w:hAnsi="Arial"/>
          <w:sz w:val="16"/>
          <w:szCs w:val="16"/>
          <w:color w:val="auto"/>
        </w:rPr>
        <w:t>”), the Company will directly pay for, the COBRA premiums owed by the Executive for Executive and Executive’s covered dependents through the earlier of (i) the Severance Period or (ii) the date upon which Executive and Executive’s covered dependents, if any, become eligible for healthcare coverage under another employer’s plan(s). Notwithstanding the foregoing, (i) if any plan pursuant to which such benefits are provided is not, or ceases prior to the expiration of the period of continuation coverage to be, exempt from the application of Section 409A of the Code under Treasury Regulation</w:t>
      </w:r>
    </w:p>
    <w:p>
      <w:pPr>
        <w:spacing w:after="0" w:line="4" w:lineRule="exact"/>
        <w:rPr>
          <w:rFonts w:ascii="Arial" w:cs="Arial" w:eastAsia="Arial" w:hAnsi="Arial"/>
          <w:sz w:val="16"/>
          <w:szCs w:val="16"/>
          <w:color w:val="auto"/>
        </w:rPr>
      </w:pPr>
    </w:p>
    <w:p>
      <w:pPr>
        <w:ind w:left="420" w:right="200"/>
        <w:spacing w:after="0" w:line="281" w:lineRule="auto"/>
        <w:rPr>
          <w:rFonts w:ascii="Arial" w:cs="Arial" w:eastAsia="Arial" w:hAnsi="Arial"/>
          <w:sz w:val="16"/>
          <w:szCs w:val="16"/>
          <w:color w:val="auto"/>
        </w:rPr>
      </w:pPr>
      <w:r>
        <w:rPr>
          <w:rFonts w:ascii="Arial" w:cs="Arial" w:eastAsia="Arial" w:hAnsi="Arial"/>
          <w:sz w:val="16"/>
          <w:szCs w:val="16"/>
          <w:color w:val="auto"/>
        </w:rPr>
        <w:t>Section 1.409A-1(a)(5) or (ii) the Company is otherwise unable to continue to cover Executive under its group health plans without penalty under applicable law (including without limitation, Section 2716 of the Public Health Service Act), then, in either case, an amount equal to each remaining Company subsidy shall thereafter be paid to Executive in substantially equal monthly installments. After the Company ceases to pay premiums pursuant to this Section 3(b), Executive may, if eligible, elect to continue healthcare coverage at Executive’s expense in accordance the provisions of</w:t>
      </w:r>
    </w:p>
    <w:p>
      <w:pPr>
        <w:spacing w:after="0" w:line="2" w:lineRule="exact"/>
        <w:rPr>
          <w:rFonts w:ascii="Arial" w:cs="Arial" w:eastAsia="Arial" w:hAnsi="Arial"/>
          <w:sz w:val="16"/>
          <w:szCs w:val="16"/>
          <w:color w:val="auto"/>
        </w:rPr>
      </w:pPr>
    </w:p>
    <w:p>
      <w:pPr>
        <w:ind w:left="420"/>
        <w:spacing w:after="0"/>
        <w:rPr>
          <w:rFonts w:ascii="Arial" w:cs="Arial" w:eastAsia="Arial" w:hAnsi="Arial"/>
          <w:sz w:val="16"/>
          <w:szCs w:val="16"/>
          <w:color w:val="auto"/>
        </w:rPr>
      </w:pPr>
      <w:r>
        <w:rPr>
          <w:rFonts w:ascii="Arial" w:cs="Arial" w:eastAsia="Arial" w:hAnsi="Arial"/>
          <w:sz w:val="18"/>
          <w:szCs w:val="18"/>
          <w:color w:val="auto"/>
        </w:rPr>
        <w:t>COBRA.</w:t>
      </w:r>
    </w:p>
    <w:p>
      <w:pPr>
        <w:spacing w:after="0" w:line="210" w:lineRule="exact"/>
        <w:rPr>
          <w:rFonts w:ascii="Arial" w:cs="Arial" w:eastAsia="Arial" w:hAnsi="Arial"/>
          <w:sz w:val="16"/>
          <w:szCs w:val="16"/>
          <w:color w:val="auto"/>
        </w:rPr>
      </w:pPr>
    </w:p>
    <w:p>
      <w:pPr>
        <w:ind w:left="420" w:firstLine="881"/>
        <w:spacing w:after="0" w:line="255" w:lineRule="auto"/>
        <w:tabs>
          <w:tab w:leader="none" w:pos="1676" w:val="left"/>
        </w:tabs>
        <w:numPr>
          <w:ilvl w:val="1"/>
          <w:numId w:val="50"/>
        </w:numPr>
        <w:rPr>
          <w:rFonts w:ascii="Arial" w:cs="Arial" w:eastAsia="Arial" w:hAnsi="Arial"/>
          <w:sz w:val="18"/>
          <w:szCs w:val="18"/>
          <w:color w:val="auto"/>
        </w:rPr>
      </w:pPr>
      <w:r>
        <w:rPr>
          <w:rFonts w:ascii="Arial" w:cs="Arial" w:eastAsia="Arial" w:hAnsi="Arial"/>
          <w:sz w:val="18"/>
          <w:szCs w:val="18"/>
          <w:i w:val="1"/>
          <w:iCs w:val="1"/>
          <w:color w:val="auto"/>
        </w:rPr>
        <w:t>Equity Awards</w:t>
      </w:r>
      <w:r>
        <w:rPr>
          <w:rFonts w:ascii="Arial" w:cs="Arial" w:eastAsia="Arial" w:hAnsi="Arial"/>
          <w:sz w:val="18"/>
          <w:szCs w:val="18"/>
          <w:color w:val="auto"/>
        </w:rPr>
        <w:t>. All Equity Awards shall remain subject in all respects to the restrictions of the applicable Equity Award agreements</w:t>
      </w:r>
      <w:r>
        <w:rPr>
          <w:rFonts w:ascii="Arial" w:cs="Arial" w:eastAsia="Arial" w:hAnsi="Arial"/>
          <w:sz w:val="18"/>
          <w:szCs w:val="18"/>
          <w:i w:val="1"/>
          <w:iCs w:val="1"/>
          <w:color w:val="auto"/>
        </w:rPr>
        <w:t xml:space="preserve"> </w:t>
      </w:r>
      <w:r>
        <w:rPr>
          <w:rFonts w:ascii="Arial" w:cs="Arial" w:eastAsia="Arial" w:hAnsi="Arial"/>
          <w:sz w:val="18"/>
          <w:szCs w:val="18"/>
          <w:color w:val="auto"/>
        </w:rPr>
        <w:t>between the Executive and the Company and the Company’s applicable equity incentive plan. All unvested shares subject to Equity Awards held by the Executive as of the Resignation Date shall terminate and be forfeited as of the Resignation Date. If Executive desires to exercise any vested options, Executive must follow the procedures set forth in Executive’s option agreements, including payment of the exercise price and any withholding obligations. If by the end of the dates set forth in the applicable option agreements, the Company has not received a duly executed notice of exercise and remuneration in accordance with Executive’s option agreements, Executive’s vested options shall automatically terminate for no consideration and be of no further effect.</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280" w:top="274" w:right="279" w:bottom="1440" w:gutter="0" w:footer="0" w:header="0"/>
        </w:sectPr>
      </w:pPr>
    </w:p>
    <w:bookmarkStart w:id="50" w:name="page51"/>
    <w:bookmarkEnd w:id="50"/>
    <w:p>
      <w:pPr>
        <w:ind w:left="300" w:right="160" w:firstLine="881"/>
        <w:spacing w:after="0" w:line="264" w:lineRule="auto"/>
        <w:tabs>
          <w:tab w:leader="none" w:pos="1566"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Signing Bonus. </w:t>
      </w:r>
      <w:r>
        <w:rPr>
          <w:rFonts w:ascii="Arial" w:cs="Arial" w:eastAsia="Arial" w:hAnsi="Arial"/>
          <w:sz w:val="18"/>
          <w:szCs w:val="18"/>
          <w:color w:val="auto"/>
        </w:rPr>
        <w:t>Notwithstanding the provision of Section 2 of the Severance Agreement, Executive shall not be obligated to return</w:t>
      </w:r>
      <w:r>
        <w:rPr>
          <w:rFonts w:ascii="Arial" w:cs="Arial" w:eastAsia="Arial" w:hAnsi="Arial"/>
          <w:sz w:val="18"/>
          <w:szCs w:val="18"/>
          <w:i w:val="1"/>
          <w:iCs w:val="1"/>
          <w:color w:val="auto"/>
        </w:rPr>
        <w:t xml:space="preserve"> </w:t>
      </w:r>
      <w:r>
        <w:rPr>
          <w:rFonts w:ascii="Arial" w:cs="Arial" w:eastAsia="Arial" w:hAnsi="Arial"/>
          <w:sz w:val="18"/>
          <w:szCs w:val="18"/>
          <w:color w:val="auto"/>
        </w:rPr>
        <w:t>any of the Signing Bonus (as defined in the Severance Agreement) that he received in connection with his commencement of employment with the Company.</w:t>
      </w:r>
    </w:p>
    <w:p>
      <w:pPr>
        <w:spacing w:after="0" w:line="181" w:lineRule="exact"/>
        <w:rPr>
          <w:rFonts w:ascii="Arial" w:cs="Arial" w:eastAsia="Arial" w:hAnsi="Arial"/>
          <w:sz w:val="18"/>
          <w:szCs w:val="18"/>
          <w:color w:val="auto"/>
        </w:rPr>
      </w:pPr>
    </w:p>
    <w:p>
      <w:pPr>
        <w:ind w:left="300" w:right="20" w:firstLine="881"/>
        <w:spacing w:after="0" w:line="259" w:lineRule="auto"/>
        <w:tabs>
          <w:tab w:leader="none" w:pos="1556"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Benefits</w:t>
      </w:r>
      <w:r>
        <w:rPr>
          <w:rFonts w:ascii="Arial" w:cs="Arial" w:eastAsia="Arial" w:hAnsi="Arial"/>
          <w:sz w:val="18"/>
          <w:szCs w:val="18"/>
          <w:color w:val="auto"/>
        </w:rPr>
        <w:t>. Executive understands and agrees that, notwithstanding his right to receive the Severance Payments, Executive shall not be</w:t>
      </w:r>
      <w:r>
        <w:rPr>
          <w:rFonts w:ascii="Arial" w:cs="Arial" w:eastAsia="Arial" w:hAnsi="Arial"/>
          <w:sz w:val="18"/>
          <w:szCs w:val="18"/>
          <w:i w:val="1"/>
          <w:iCs w:val="1"/>
          <w:color w:val="auto"/>
        </w:rPr>
        <w:t xml:space="preserve"> </w:t>
      </w:r>
      <w:r>
        <w:rPr>
          <w:rFonts w:ascii="Arial" w:cs="Arial" w:eastAsia="Arial" w:hAnsi="Arial"/>
          <w:sz w:val="18"/>
          <w:szCs w:val="18"/>
          <w:color w:val="auto"/>
        </w:rPr>
        <w:t>eligible to participate in or accrue benefits under any Company benefit plan for which status as an employee of the Company is a condition of such participation or accrual. To the extent that Executive was deemed eligible to participate, as an employee, in any Company benefit plan, he hereby waives her participation during the Severance Period and thereafter.</w:t>
      </w:r>
    </w:p>
    <w:p>
      <w:pPr>
        <w:spacing w:after="0" w:line="186" w:lineRule="exact"/>
        <w:rPr>
          <w:rFonts w:ascii="Arial" w:cs="Arial" w:eastAsia="Arial" w:hAnsi="Arial"/>
          <w:sz w:val="18"/>
          <w:szCs w:val="18"/>
          <w:color w:val="auto"/>
        </w:rPr>
      </w:pPr>
    </w:p>
    <w:p>
      <w:pPr>
        <w:ind w:left="1540" w:hanging="359"/>
        <w:spacing w:after="0"/>
        <w:tabs>
          <w:tab w:leader="none" w:pos="1540" w:val="left"/>
        </w:tabs>
        <w:numPr>
          <w:ilvl w:val="0"/>
          <w:numId w:val="51"/>
        </w:numPr>
        <w:rPr>
          <w:rFonts w:ascii="Arial" w:cs="Arial" w:eastAsia="Arial" w:hAnsi="Arial"/>
          <w:sz w:val="17"/>
          <w:szCs w:val="17"/>
          <w:color w:val="auto"/>
        </w:rPr>
      </w:pPr>
      <w:r>
        <w:rPr>
          <w:rFonts w:ascii="Arial" w:cs="Arial" w:eastAsia="Arial" w:hAnsi="Arial"/>
          <w:sz w:val="17"/>
          <w:szCs w:val="17"/>
          <w:i w:val="1"/>
          <w:iCs w:val="1"/>
          <w:color w:val="auto"/>
        </w:rPr>
        <w:t xml:space="preserve">SEC Reporting. </w:t>
      </w:r>
      <w:r>
        <w:rPr>
          <w:rFonts w:ascii="Arial" w:cs="Arial" w:eastAsia="Arial" w:hAnsi="Arial"/>
          <w:sz w:val="17"/>
          <w:szCs w:val="17"/>
          <w:color w:val="auto"/>
        </w:rPr>
        <w:t>Executive acknowledges that to the extent required by the Securities Exchange Act of 1934, as amended (the</w:t>
      </w:r>
    </w:p>
    <w:p>
      <w:pPr>
        <w:spacing w:after="0" w:line="35" w:lineRule="exact"/>
        <w:rPr>
          <w:sz w:val="20"/>
          <w:szCs w:val="20"/>
          <w:color w:val="auto"/>
        </w:rPr>
      </w:pPr>
    </w:p>
    <w:p>
      <w:pPr>
        <w:ind w:left="30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he will have continuing obligations under Section 16(a) and 16(b) of the Exchange Act to report his transactions in Company common stock for six (6) months following the Resignation Date. Executive hereby agrees, that until the end of such six (6) month period, he will provide the Company with prior written notice before undertaking, directly or indirectly, in any reportable transactions which include, but are not limited to, buying, selling or otherwise disposing of any common stock of the Company held by Executive. Such notice shall be provided to Elizabeth Grammer, General Counsel.</w:t>
      </w:r>
    </w:p>
    <w:p>
      <w:pPr>
        <w:spacing w:after="0" w:line="191" w:lineRule="exact"/>
        <w:rPr>
          <w:sz w:val="20"/>
          <w:szCs w:val="20"/>
          <w:color w:val="auto"/>
        </w:rPr>
      </w:pPr>
    </w:p>
    <w:p>
      <w:pPr>
        <w:ind w:left="1080" w:hanging="319"/>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Final Paycheck; Payment of Accrued Wages and Expenses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300" w:right="120" w:firstLine="881"/>
        <w:spacing w:after="0" w:line="286" w:lineRule="auto"/>
        <w:tabs>
          <w:tab w:leader="none" w:pos="1556" w:val="left"/>
        </w:tabs>
        <w:numPr>
          <w:ilvl w:val="1"/>
          <w:numId w:val="52"/>
        </w:numPr>
        <w:rPr>
          <w:rFonts w:ascii="Arial" w:cs="Arial" w:eastAsia="Arial" w:hAnsi="Arial"/>
          <w:sz w:val="17"/>
          <w:szCs w:val="17"/>
          <w:color w:val="auto"/>
        </w:rPr>
      </w:pPr>
      <w:r>
        <w:rPr>
          <w:rFonts w:ascii="Arial" w:cs="Arial" w:eastAsia="Arial" w:hAnsi="Arial"/>
          <w:sz w:val="17"/>
          <w:szCs w:val="17"/>
          <w:i w:val="1"/>
          <w:iCs w:val="1"/>
          <w:color w:val="auto"/>
        </w:rPr>
        <w:t>Final Paycheck</w:t>
      </w:r>
      <w:r>
        <w:rPr>
          <w:rFonts w:ascii="Arial" w:cs="Arial" w:eastAsia="Arial" w:hAnsi="Arial"/>
          <w:sz w:val="17"/>
          <w:szCs w:val="17"/>
          <w:color w:val="auto"/>
        </w:rPr>
        <w:t>. On the Resignation Date, the Company will pay Executive all accrued but unpaid base salary and all accrued and</w:t>
      </w:r>
      <w:r>
        <w:rPr>
          <w:rFonts w:ascii="Arial" w:cs="Arial" w:eastAsia="Arial" w:hAnsi="Arial"/>
          <w:sz w:val="17"/>
          <w:szCs w:val="17"/>
          <w:i w:val="1"/>
          <w:iCs w:val="1"/>
          <w:color w:val="auto"/>
        </w:rPr>
        <w:t xml:space="preserve"> </w:t>
      </w:r>
      <w:r>
        <w:rPr>
          <w:rFonts w:ascii="Arial" w:cs="Arial" w:eastAsia="Arial" w:hAnsi="Arial"/>
          <w:sz w:val="17"/>
          <w:szCs w:val="17"/>
          <w:color w:val="auto"/>
        </w:rPr>
        <w:t>unused vacation or paid time off (“</w:t>
      </w:r>
      <w:r>
        <w:rPr>
          <w:rFonts w:ascii="Arial" w:cs="Arial" w:eastAsia="Arial" w:hAnsi="Arial"/>
          <w:sz w:val="17"/>
          <w:szCs w:val="17"/>
          <w:u w:val="single" w:color="auto"/>
          <w:color w:val="auto"/>
        </w:rPr>
        <w:t>PTO</w:t>
      </w:r>
      <w:r>
        <w:rPr>
          <w:rFonts w:ascii="Arial" w:cs="Arial" w:eastAsia="Arial" w:hAnsi="Arial"/>
          <w:sz w:val="17"/>
          <w:szCs w:val="17"/>
          <w:color w:val="auto"/>
        </w:rPr>
        <w:t>”) earned through the Resignation Date, subject to standard payroll deductions and withholding. Executive is entitled to these payments regardless of whether Executive executes this Agreement or the Release of Claims.</w:t>
      </w:r>
    </w:p>
    <w:p>
      <w:pPr>
        <w:spacing w:after="0" w:line="165" w:lineRule="exact"/>
        <w:rPr>
          <w:rFonts w:ascii="Arial" w:cs="Arial" w:eastAsia="Arial" w:hAnsi="Arial"/>
          <w:sz w:val="17"/>
          <w:szCs w:val="17"/>
          <w:color w:val="auto"/>
        </w:rPr>
      </w:pPr>
    </w:p>
    <w:p>
      <w:pPr>
        <w:ind w:left="300" w:right="340" w:firstLine="881"/>
        <w:spacing w:after="0" w:line="259" w:lineRule="auto"/>
        <w:tabs>
          <w:tab w:leader="none" w:pos="1566" w:val="left"/>
        </w:tabs>
        <w:numPr>
          <w:ilvl w:val="1"/>
          <w:numId w:val="52"/>
        </w:numPr>
        <w:rPr>
          <w:rFonts w:ascii="Arial" w:cs="Arial" w:eastAsia="Arial" w:hAnsi="Arial"/>
          <w:sz w:val="18"/>
          <w:szCs w:val="18"/>
          <w:color w:val="auto"/>
        </w:rPr>
      </w:pPr>
      <w:r>
        <w:rPr>
          <w:rFonts w:ascii="Arial" w:cs="Arial" w:eastAsia="Arial" w:hAnsi="Arial"/>
          <w:sz w:val="18"/>
          <w:szCs w:val="18"/>
          <w:i w:val="1"/>
          <w:iCs w:val="1"/>
          <w:color w:val="auto"/>
        </w:rPr>
        <w:t>Business Expenses</w:t>
      </w:r>
      <w:r>
        <w:rPr>
          <w:rFonts w:ascii="Arial" w:cs="Arial" w:eastAsia="Arial" w:hAnsi="Arial"/>
          <w:sz w:val="18"/>
          <w:szCs w:val="18"/>
          <w:color w:val="auto"/>
        </w:rPr>
        <w:t>. The Company shall reimburse Executive for all outstanding expenses incurred prior to the Resignation Date</w:t>
      </w:r>
      <w:r>
        <w:rPr>
          <w:rFonts w:ascii="Arial" w:cs="Arial" w:eastAsia="Arial" w:hAnsi="Arial"/>
          <w:sz w:val="18"/>
          <w:szCs w:val="18"/>
          <w:i w:val="1"/>
          <w:iCs w:val="1"/>
          <w:color w:val="auto"/>
        </w:rPr>
        <w:t xml:space="preserve"> </w:t>
      </w:r>
      <w:r>
        <w:rPr>
          <w:rFonts w:ascii="Arial" w:cs="Arial" w:eastAsia="Arial" w:hAnsi="Arial"/>
          <w:sz w:val="18"/>
          <w:szCs w:val="18"/>
          <w:color w:val="auto"/>
        </w:rPr>
        <w:t>which are consistent with the Company’s policies in effect from time to time with respect to travel and other business expenses, subject to the Company’s requirements with respect to reporting and documenting such expenses. Executive is entitled to these payments regardless of whether Executive executes this Agreement or the Release of Claims.</w:t>
      </w:r>
    </w:p>
    <w:p>
      <w:pPr>
        <w:spacing w:after="0" w:line="186" w:lineRule="exact"/>
        <w:rPr>
          <w:rFonts w:ascii="Arial" w:cs="Arial" w:eastAsia="Arial" w:hAnsi="Arial"/>
          <w:sz w:val="18"/>
          <w:szCs w:val="18"/>
          <w:color w:val="auto"/>
        </w:rPr>
      </w:pPr>
    </w:p>
    <w:p>
      <w:pPr>
        <w:ind w:left="-160" w:right="40" w:firstLine="921"/>
        <w:spacing w:after="0" w:line="272" w:lineRule="auto"/>
        <w:tabs>
          <w:tab w:leader="none" w:pos="1068" w:val="left"/>
        </w:tabs>
        <w:numPr>
          <w:ilvl w:val="0"/>
          <w:numId w:val="52"/>
        </w:numPr>
        <w:rPr>
          <w:rFonts w:ascii="Arial" w:cs="Arial" w:eastAsia="Arial" w:hAnsi="Arial"/>
          <w:sz w:val="17"/>
          <w:szCs w:val="17"/>
          <w:color w:val="auto"/>
        </w:rPr>
      </w:pPr>
      <w:r>
        <w:rPr>
          <w:rFonts w:ascii="Arial" w:cs="Arial" w:eastAsia="Arial" w:hAnsi="Arial"/>
          <w:sz w:val="17"/>
          <w:szCs w:val="17"/>
          <w:u w:val="single" w:color="auto"/>
          <w:color w:val="auto"/>
        </w:rPr>
        <w:t>Full Payment</w:t>
      </w:r>
      <w:r>
        <w:rPr>
          <w:rFonts w:ascii="Arial" w:cs="Arial" w:eastAsia="Arial" w:hAnsi="Arial"/>
          <w:sz w:val="17"/>
          <w:szCs w:val="17"/>
          <w:color w:val="auto"/>
        </w:rPr>
        <w:t>. Executive acknowledges that the payment and arrangements herein shall constitute full and complete satisfaction of any and all amounts properly due and owing to Executive as a result of her employment with the Company and the termination thereof. Executive further acknowledges that, other than the Confidential Information Agreement and the applicable Equity Award agreements, this Agreement shall supersede each agreement entered into between Executive and the Company regarding Executive’s employment, including, without limitation, the Severance Agreement (except for Section 11 thereof which, in accordance with Section 11(c), shall survive the termination of the Severance Agreement) and any offer letter, or employment agreement and each such agreement other than the Equity Award agreements and the Confidential Information Agreement shall be deemed terminated and of no further effect as of the Resignation Date.</w:t>
      </w:r>
    </w:p>
    <w:p>
      <w:pPr>
        <w:spacing w:after="0" w:line="177" w:lineRule="exact"/>
        <w:rPr>
          <w:rFonts w:ascii="Arial" w:cs="Arial" w:eastAsia="Arial" w:hAnsi="Arial"/>
          <w:sz w:val="17"/>
          <w:szCs w:val="17"/>
          <w:color w:val="auto"/>
        </w:rPr>
      </w:pPr>
    </w:p>
    <w:p>
      <w:pPr>
        <w:ind w:left="-160" w:right="60" w:firstLine="921"/>
        <w:spacing w:after="0" w:line="308" w:lineRule="auto"/>
        <w:tabs>
          <w:tab w:leader="none" w:pos="1068" w:val="left"/>
        </w:tabs>
        <w:numPr>
          <w:ilvl w:val="0"/>
          <w:numId w:val="52"/>
        </w:numPr>
        <w:rPr>
          <w:rFonts w:ascii="Arial" w:cs="Arial" w:eastAsia="Arial" w:hAnsi="Arial"/>
          <w:sz w:val="17"/>
          <w:szCs w:val="17"/>
          <w:color w:val="auto"/>
        </w:rPr>
      </w:pPr>
      <w:r>
        <w:rPr>
          <w:rFonts w:ascii="Arial" w:cs="Arial" w:eastAsia="Arial" w:hAnsi="Arial"/>
          <w:sz w:val="17"/>
          <w:szCs w:val="17"/>
          <w:u w:val="single" w:color="auto"/>
          <w:color w:val="auto"/>
        </w:rPr>
        <w:t>Executive’s Release of the Company</w:t>
      </w:r>
      <w:r>
        <w:rPr>
          <w:rFonts w:ascii="Arial" w:cs="Arial" w:eastAsia="Arial" w:hAnsi="Arial"/>
          <w:sz w:val="17"/>
          <w:szCs w:val="17"/>
          <w:color w:val="auto"/>
        </w:rPr>
        <w:t>. Executive agrees that the consideration set forth in this Agreement represents settlement in full of all outstanding obligations owed to Executive by the Company and its current and former officers, directors, employees, agents, investors,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20"/>
          </w:cols>
          <w:pgMar w:left="400" w:top="274" w:right="379" w:bottom="1440" w:gutter="0" w:footer="0" w:header="0"/>
        </w:sectPr>
      </w:pPr>
    </w:p>
    <w:bookmarkStart w:id="51" w:name="page52"/>
    <w:bookmarkEnd w:id="5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attorneys, affiliates, divisions, and subsidiaries, and predecessor and successor corporations and assigns (collectively, the “</w:t>
      </w:r>
      <w:r>
        <w:rPr>
          <w:rFonts w:ascii="Arial" w:cs="Arial" w:eastAsia="Arial" w:hAnsi="Arial"/>
          <w:sz w:val="18"/>
          <w:szCs w:val="18"/>
          <w:u w:val="single" w:color="auto"/>
          <w:color w:val="auto"/>
        </w:rPr>
        <w:t>Releasees</w:t>
      </w:r>
      <w:r>
        <w:rPr>
          <w:rFonts w:ascii="Arial" w:cs="Arial" w:eastAsia="Arial" w:hAnsi="Arial"/>
          <w:sz w:val="18"/>
          <w:szCs w:val="18"/>
          <w:color w:val="auto"/>
        </w:rPr>
        <w:t>”).</w:t>
      </w:r>
    </w:p>
    <w:p>
      <w:pPr>
        <w:spacing w:after="0" w:line="225" w:lineRule="exact"/>
        <w:rPr>
          <w:sz w:val="20"/>
          <w:szCs w:val="20"/>
          <w:color w:val="auto"/>
        </w:rPr>
      </w:pPr>
    </w:p>
    <w:p>
      <w:pPr>
        <w:ind w:left="460" w:right="80" w:firstLine="881"/>
        <w:spacing w:after="0" w:line="257" w:lineRule="auto"/>
        <w:tabs>
          <w:tab w:leader="none" w:pos="1716" w:val="left"/>
        </w:tabs>
        <w:numPr>
          <w:ilvl w:val="0"/>
          <w:numId w:val="53"/>
        </w:numPr>
        <w:rPr>
          <w:rFonts w:ascii="Arial" w:cs="Arial" w:eastAsia="Arial" w:hAnsi="Arial"/>
          <w:sz w:val="18"/>
          <w:szCs w:val="18"/>
          <w:color w:val="auto"/>
        </w:rPr>
      </w:pPr>
      <w:r>
        <w:rPr>
          <w:rFonts w:ascii="Arial" w:cs="Arial" w:eastAsia="Arial" w:hAnsi="Arial"/>
          <w:sz w:val="18"/>
          <w:szCs w:val="18"/>
          <w:color w:val="auto"/>
        </w:rPr>
        <w:t>Executive, on his own behalf and on behalf of his family members, heirs, executors, administrators, agents, and assigns, hereby and forever releases the Releasees from, and agrees not to sue concerning, or in any manner to institute, prosecute, or pursue, any claim, complaint, charge, duty, obligation, or cause of action relating to any matters of any kind, whether presently known or unknown, suspected or unsuspected, that Executive may possess against any of the Releasees arising from any omissions, acts, facts, or damages that have occurred up until and including the Effective Date of this Agreement, including, without limitation:</w:t>
      </w:r>
    </w:p>
    <w:p>
      <w:pPr>
        <w:spacing w:after="0" w:line="188" w:lineRule="exact"/>
        <w:rPr>
          <w:rFonts w:ascii="Arial" w:cs="Arial" w:eastAsia="Arial" w:hAnsi="Arial"/>
          <w:sz w:val="18"/>
          <w:szCs w:val="18"/>
          <w:color w:val="auto"/>
        </w:rPr>
      </w:pPr>
    </w:p>
    <w:p>
      <w:pPr>
        <w:ind w:left="2160" w:hanging="399"/>
        <w:spacing w:after="0"/>
        <w:tabs>
          <w:tab w:leader="none" w:pos="2160" w:val="left"/>
        </w:tabs>
        <w:numPr>
          <w:ilvl w:val="1"/>
          <w:numId w:val="53"/>
        </w:numPr>
        <w:rPr>
          <w:rFonts w:ascii="Arial" w:cs="Arial" w:eastAsia="Arial" w:hAnsi="Arial"/>
          <w:sz w:val="17"/>
          <w:szCs w:val="17"/>
          <w:color w:val="auto"/>
        </w:rPr>
      </w:pPr>
      <w:r>
        <w:rPr>
          <w:rFonts w:ascii="Arial" w:cs="Arial" w:eastAsia="Arial" w:hAnsi="Arial"/>
          <w:sz w:val="17"/>
          <w:szCs w:val="17"/>
          <w:color w:val="auto"/>
        </w:rPr>
        <w:t>any and all claims relating to or arising from Executive’s employment relationship with Company and the termination of that</w:t>
      </w:r>
    </w:p>
    <w:p>
      <w:pPr>
        <w:spacing w:after="0" w:line="34" w:lineRule="exact"/>
        <w:rPr>
          <w:rFonts w:ascii="Arial" w:cs="Arial" w:eastAsia="Arial" w:hAnsi="Arial"/>
          <w:sz w:val="17"/>
          <w:szCs w:val="17"/>
          <w:color w:val="auto"/>
        </w:rPr>
      </w:pPr>
    </w:p>
    <w:p>
      <w:pPr>
        <w:ind w:left="920"/>
        <w:spacing w:after="0"/>
        <w:rPr>
          <w:rFonts w:ascii="Arial" w:cs="Arial" w:eastAsia="Arial" w:hAnsi="Arial"/>
          <w:sz w:val="17"/>
          <w:szCs w:val="17"/>
          <w:color w:val="auto"/>
        </w:rPr>
      </w:pPr>
      <w:r>
        <w:rPr>
          <w:rFonts w:ascii="Arial" w:cs="Arial" w:eastAsia="Arial" w:hAnsi="Arial"/>
          <w:sz w:val="18"/>
          <w:szCs w:val="18"/>
          <w:color w:val="auto"/>
        </w:rPr>
        <w:t>relationship;</w:t>
      </w:r>
    </w:p>
    <w:p>
      <w:pPr>
        <w:spacing w:after="0" w:line="210" w:lineRule="exact"/>
        <w:rPr>
          <w:rFonts w:ascii="Arial" w:cs="Arial" w:eastAsia="Arial" w:hAnsi="Arial"/>
          <w:sz w:val="17"/>
          <w:szCs w:val="17"/>
          <w:color w:val="auto"/>
        </w:rPr>
      </w:pPr>
    </w:p>
    <w:p>
      <w:pPr>
        <w:ind w:left="920" w:firstLine="841"/>
        <w:spacing w:after="0" w:line="276" w:lineRule="auto"/>
        <w:tabs>
          <w:tab w:leader="none" w:pos="2205" w:val="left"/>
        </w:tabs>
        <w:numPr>
          <w:ilvl w:val="1"/>
          <w:numId w:val="53"/>
        </w:numPr>
        <w:rPr>
          <w:rFonts w:ascii="Arial" w:cs="Arial" w:eastAsia="Arial" w:hAnsi="Arial"/>
          <w:sz w:val="17"/>
          <w:szCs w:val="17"/>
          <w:color w:val="auto"/>
        </w:rPr>
      </w:pPr>
      <w:r>
        <w:rPr>
          <w:rFonts w:ascii="Arial" w:cs="Arial" w:eastAsia="Arial" w:hAnsi="Arial"/>
          <w:sz w:val="17"/>
          <w:szCs w:val="17"/>
          <w:color w:val="auto"/>
        </w:rPr>
        <w:t>any and all claims for wrongful discharge of employment; termination in violation of public policy; discrimination; harassment; retaliation; breach of contract, both express and implied; breach of covenant of good faith and fair dealing, both express and implied; promissory estoppel; negligent or intentional infliction of emotional distress; fraud; negligent or intentional misrepresentation; negligent or intentional interference with contract or prospective economic advantage; unfair business practices; defamation; libel; slander; negligence; personal injury; assault; battery; invasion of privacy; false imprisonment; conversion; and disability benefits;</w:t>
      </w:r>
    </w:p>
    <w:p>
      <w:pPr>
        <w:spacing w:after="0" w:line="172" w:lineRule="exact"/>
        <w:rPr>
          <w:rFonts w:ascii="Arial" w:cs="Arial" w:eastAsia="Arial" w:hAnsi="Arial"/>
          <w:sz w:val="17"/>
          <w:szCs w:val="17"/>
          <w:color w:val="auto"/>
        </w:rPr>
      </w:pPr>
    </w:p>
    <w:p>
      <w:pPr>
        <w:ind w:left="920" w:right="100" w:firstLine="841"/>
        <w:spacing w:after="0" w:line="254" w:lineRule="auto"/>
        <w:tabs>
          <w:tab w:leader="none" w:pos="221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and all claims for violation of any federal, state, or municipal statute, including, but not limited to, Title VII of the Civil Rights Act of 1964; the Civil Rights Act of 1991; the Rehabilitation Act of 1973; the Americans with Disabilities Act of 1990; the Equal Pay Act; the Fair Labor Standards Act, except as prohibited by law; the Fair Credit Reporting Act; the Age Discrimination in Employment Act of 1967; the Older Workers Benefit Protection Act; the Employee Retirement Income Security Act of 1974; the Worker Adjustment and Retraining Notification Act; the Family and Medical Leave Act, except as prohibited by law; the Sarbanes-Oxley Act of 2002, except as prohibited by law; the Uniformed Services Employment and Reemployment Rights Act; the California Family Rights Act; the California Labor Code, except as prohibited by law; the California Workers’ Compensation Act, except as prohibited by law; and the California Fair Employment and Housing Act;</w:t>
      </w:r>
    </w:p>
    <w:p>
      <w:pPr>
        <w:spacing w:after="0" w:line="192" w:lineRule="exact"/>
        <w:rPr>
          <w:rFonts w:ascii="Arial" w:cs="Arial" w:eastAsia="Arial" w:hAnsi="Arial"/>
          <w:sz w:val="18"/>
          <w:szCs w:val="18"/>
          <w:color w:val="auto"/>
        </w:rPr>
      </w:pPr>
    </w:p>
    <w:p>
      <w:pPr>
        <w:ind w:left="2200" w:hanging="439"/>
        <w:spacing w:after="0"/>
        <w:tabs>
          <w:tab w:leader="none" w:pos="22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and all claims for violation of the federal or any state constitution;</w:t>
      </w:r>
    </w:p>
    <w:p>
      <w:pPr>
        <w:spacing w:after="0" w:line="225" w:lineRule="exact"/>
        <w:rPr>
          <w:rFonts w:ascii="Arial" w:cs="Arial" w:eastAsia="Arial" w:hAnsi="Arial"/>
          <w:sz w:val="18"/>
          <w:szCs w:val="18"/>
          <w:color w:val="auto"/>
        </w:rPr>
      </w:pPr>
    </w:p>
    <w:p>
      <w:pPr>
        <w:ind w:left="2200" w:hanging="439"/>
        <w:spacing w:after="0"/>
        <w:tabs>
          <w:tab w:leader="none" w:pos="2200" w:val="left"/>
        </w:tabs>
        <w:numPr>
          <w:ilvl w:val="1"/>
          <w:numId w:val="53"/>
        </w:numPr>
        <w:rPr>
          <w:rFonts w:ascii="Arial" w:cs="Arial" w:eastAsia="Arial" w:hAnsi="Arial"/>
          <w:sz w:val="17"/>
          <w:szCs w:val="17"/>
          <w:color w:val="auto"/>
        </w:rPr>
      </w:pPr>
      <w:r>
        <w:rPr>
          <w:rFonts w:ascii="Arial" w:cs="Arial" w:eastAsia="Arial" w:hAnsi="Arial"/>
          <w:sz w:val="17"/>
          <w:szCs w:val="17"/>
          <w:color w:val="auto"/>
        </w:rPr>
        <w:t>any and all claims arising out of any other laws and regulations relating to employment or employment discrimination;</w:t>
      </w:r>
    </w:p>
    <w:p>
      <w:pPr>
        <w:spacing w:after="0" w:line="236" w:lineRule="exact"/>
        <w:rPr>
          <w:rFonts w:ascii="Arial" w:cs="Arial" w:eastAsia="Arial" w:hAnsi="Arial"/>
          <w:sz w:val="17"/>
          <w:szCs w:val="17"/>
          <w:color w:val="auto"/>
        </w:rPr>
      </w:pPr>
    </w:p>
    <w:p>
      <w:pPr>
        <w:ind w:left="920" w:right="200" w:firstLine="841"/>
        <w:spacing w:after="0" w:line="277" w:lineRule="auto"/>
        <w:tabs>
          <w:tab w:leader="none" w:pos="22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claim for any loss, cost, damage, or expense arising out of any dispute over the non-withholding or other tax treatment of any of the proceeds received by Executive as a result of this Agreement; and</w:t>
      </w:r>
    </w:p>
    <w:p>
      <w:pPr>
        <w:spacing w:after="0" w:line="170" w:lineRule="exact"/>
        <w:rPr>
          <w:rFonts w:ascii="Arial" w:cs="Arial" w:eastAsia="Arial" w:hAnsi="Arial"/>
          <w:sz w:val="18"/>
          <w:szCs w:val="18"/>
          <w:color w:val="auto"/>
        </w:rPr>
      </w:pPr>
    </w:p>
    <w:p>
      <w:pPr>
        <w:ind w:left="2260" w:hanging="499"/>
        <w:spacing w:after="0"/>
        <w:tabs>
          <w:tab w:leader="none" w:pos="226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and all claims for attorneys’ fees and costs.</w:t>
      </w:r>
    </w:p>
    <w:p>
      <w:pPr>
        <w:spacing w:after="0" w:line="225" w:lineRule="exact"/>
        <w:rPr>
          <w:rFonts w:ascii="Arial" w:cs="Arial" w:eastAsia="Arial" w:hAnsi="Arial"/>
          <w:sz w:val="18"/>
          <w:szCs w:val="18"/>
          <w:color w:val="auto"/>
        </w:rPr>
      </w:pPr>
    </w:p>
    <w:p>
      <w:pPr>
        <w:ind w:left="460" w:right="20" w:firstLine="881"/>
        <w:spacing w:after="0" w:line="277" w:lineRule="auto"/>
        <w:tabs>
          <w:tab w:leader="none" w:pos="1726" w:val="left"/>
        </w:tabs>
        <w:numPr>
          <w:ilvl w:val="0"/>
          <w:numId w:val="53"/>
        </w:numPr>
        <w:rPr>
          <w:rFonts w:ascii="Arial" w:cs="Arial" w:eastAsia="Arial" w:hAnsi="Arial"/>
          <w:sz w:val="18"/>
          <w:szCs w:val="18"/>
          <w:color w:val="auto"/>
        </w:rPr>
      </w:pPr>
      <w:r>
        <w:rPr>
          <w:rFonts w:ascii="Arial" w:cs="Arial" w:eastAsia="Arial" w:hAnsi="Arial"/>
          <w:sz w:val="18"/>
          <w:szCs w:val="18"/>
          <w:color w:val="auto"/>
        </w:rPr>
        <w:t>Executive agrees that the release set forth in this section shall be and remain in effect in all respects as a complete general release as to the matters released. This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52" w:name="page53"/>
    <w:bookmarkEnd w:id="52"/>
    <w:p>
      <w:pPr>
        <w:ind w:left="46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release does not extend to any obligations incurred under this Agreement or the Equity Award agreements. This release does not release claims or rights that cannot be released as a matter of law, including, but not limited to, (i) claims under Division 3, Article 2 of the California Labor Code (which includes California Labor Code Section 2802 regarding indemnity for necessary expenditures or losses by Executive) any other indemnification, defense, or hold-harmless rights Executive may have, (ii) Executive’s right to bring to the attention of the Equal Employment Opportunity Commission or California Department of Fair Employment and Housing claims of discrimination, harassment or retaliation;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Executive does release her right to obtain damages for any such claims; and (iii) Executive’s right to communicate or cooperate with any government agency. This release does not release claims or rights that the Executive may have as a shareholder of the Company or for benefits under any benefit plan or to participation in any such plan pursuant to the terms thereof or applicable law.</w:t>
      </w:r>
    </w:p>
    <w:p>
      <w:pPr>
        <w:spacing w:after="0" w:line="179" w:lineRule="exact"/>
        <w:rPr>
          <w:sz w:val="20"/>
          <w:szCs w:val="20"/>
          <w:color w:val="auto"/>
        </w:rPr>
      </w:pPr>
    </w:p>
    <w:p>
      <w:pPr>
        <w:ind w:left="460" w:right="120" w:firstLine="881"/>
        <w:spacing w:after="0" w:line="277" w:lineRule="auto"/>
        <w:tabs>
          <w:tab w:leader="none" w:pos="1716" w:val="left"/>
        </w:tabs>
        <w:numPr>
          <w:ilvl w:val="0"/>
          <w:numId w:val="54"/>
        </w:numPr>
        <w:rPr>
          <w:rFonts w:ascii="Arial" w:cs="Arial" w:eastAsia="Arial" w:hAnsi="Arial"/>
          <w:sz w:val="18"/>
          <w:szCs w:val="18"/>
          <w:color w:val="auto"/>
        </w:rPr>
      </w:pPr>
      <w:r>
        <w:rPr>
          <w:rFonts w:ascii="Arial" w:cs="Arial" w:eastAsia="Arial" w:hAnsi="Arial"/>
          <w:sz w:val="18"/>
          <w:szCs w:val="18"/>
          <w:color w:val="auto"/>
        </w:rPr>
        <w:t>Executive acknowledges that he has been advised to consult with legal counsel and is familiar with the provisions of California Civil Code Section 1542, a statute that otherwise prohibits unknown claims, which provides as follows:</w:t>
      </w:r>
    </w:p>
    <w:p>
      <w:pPr>
        <w:spacing w:after="0" w:line="170" w:lineRule="exact"/>
        <w:rPr>
          <w:sz w:val="20"/>
          <w:szCs w:val="20"/>
          <w:color w:val="auto"/>
        </w:rPr>
      </w:pPr>
    </w:p>
    <w:p>
      <w:pPr>
        <w:ind w:left="920" w:right="220"/>
        <w:spacing w:after="0" w:line="264" w:lineRule="auto"/>
        <w:rPr>
          <w:sz w:val="20"/>
          <w:szCs w:val="20"/>
          <w:color w:val="auto"/>
        </w:rPr>
      </w:pPr>
      <w:r>
        <w:rPr>
          <w:rFonts w:ascii="Arial" w:cs="Arial" w:eastAsia="Arial" w:hAnsi="Arial"/>
          <w:sz w:val="18"/>
          <w:szCs w:val="18"/>
          <w:color w:val="auto"/>
        </w:rPr>
        <w:t>A GENERAL RELEASE DOES NOT EXTEND TO CLAIMS WHICH THE CREDITOR DOES NOT KNOW OR SUSPECT TO EXIST IN HIS OR HER FAVOR AT THE TIME OF EXECUTING THE RELEASE, WHICH IF KNOWN BY HIM OR HER MUST HAVE MATERIALLY AFFECTED HIS OR HER SETTLEMENT WITH THE DEBTOR.</w:t>
      </w:r>
    </w:p>
    <w:p>
      <w:pPr>
        <w:spacing w:after="0" w:line="181" w:lineRule="exact"/>
        <w:rPr>
          <w:sz w:val="20"/>
          <w:szCs w:val="20"/>
          <w:color w:val="auto"/>
        </w:rPr>
      </w:pPr>
    </w:p>
    <w:p>
      <w:pPr>
        <w:ind w:right="660" w:firstLine="456"/>
        <w:spacing w:after="0" w:line="277" w:lineRule="auto"/>
        <w:rPr>
          <w:sz w:val="20"/>
          <w:szCs w:val="20"/>
          <w:color w:val="auto"/>
        </w:rPr>
      </w:pPr>
      <w:r>
        <w:rPr>
          <w:rFonts w:ascii="Arial" w:cs="Arial" w:eastAsia="Arial" w:hAnsi="Arial"/>
          <w:sz w:val="18"/>
          <w:szCs w:val="18"/>
          <w:color w:val="auto"/>
        </w:rPr>
        <w:t>Executive, being aware of said code section, agrees to expressly waive any rights he may have thereunder, as well as under any other statute or common law principles of similar effect.</w:t>
      </w:r>
    </w:p>
    <w:p>
      <w:pPr>
        <w:spacing w:after="0" w:line="170" w:lineRule="exact"/>
        <w:rPr>
          <w:sz w:val="20"/>
          <w:szCs w:val="20"/>
          <w:color w:val="auto"/>
        </w:rPr>
      </w:pPr>
    </w:p>
    <w:p>
      <w:pPr>
        <w:ind w:left="1240" w:hanging="319"/>
        <w:spacing w:after="0"/>
        <w:tabs>
          <w:tab w:leader="none" w:pos="1240"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Non-Disparagement; Transfer of Company Property</w:t>
      </w:r>
      <w:r>
        <w:rPr>
          <w:rFonts w:ascii="Arial" w:cs="Arial" w:eastAsia="Arial" w:hAnsi="Arial"/>
          <w:sz w:val="18"/>
          <w:szCs w:val="18"/>
          <w:color w:val="auto"/>
        </w:rPr>
        <w:t>. Executive further agrees that:</w:t>
      </w:r>
    </w:p>
    <w:p>
      <w:pPr>
        <w:spacing w:after="0" w:line="225" w:lineRule="exact"/>
        <w:rPr>
          <w:rFonts w:ascii="Arial" w:cs="Arial" w:eastAsia="Arial" w:hAnsi="Arial"/>
          <w:sz w:val="18"/>
          <w:szCs w:val="18"/>
          <w:color w:val="auto"/>
        </w:rPr>
      </w:pPr>
    </w:p>
    <w:p>
      <w:pPr>
        <w:ind w:left="460" w:right="80" w:firstLine="881"/>
        <w:spacing w:after="0" w:line="286" w:lineRule="auto"/>
        <w:tabs>
          <w:tab w:leader="none" w:pos="1716" w:val="left"/>
        </w:tabs>
        <w:numPr>
          <w:ilvl w:val="1"/>
          <w:numId w:val="55"/>
        </w:numPr>
        <w:rPr>
          <w:rFonts w:ascii="Arial" w:cs="Arial" w:eastAsia="Arial" w:hAnsi="Arial"/>
          <w:sz w:val="17"/>
          <w:szCs w:val="17"/>
          <w:color w:val="auto"/>
        </w:rPr>
      </w:pPr>
      <w:r>
        <w:rPr>
          <w:rFonts w:ascii="Arial" w:cs="Arial" w:eastAsia="Arial" w:hAnsi="Arial"/>
          <w:sz w:val="17"/>
          <w:szCs w:val="17"/>
          <w:i w:val="1"/>
          <w:iCs w:val="1"/>
          <w:color w:val="auto"/>
        </w:rPr>
        <w:t>Non-Disparagement</w:t>
      </w:r>
      <w:r>
        <w:rPr>
          <w:rFonts w:ascii="Arial" w:cs="Arial" w:eastAsia="Arial" w:hAnsi="Arial"/>
          <w:sz w:val="17"/>
          <w:szCs w:val="17"/>
          <w:color w:val="auto"/>
        </w:rPr>
        <w:t>. Executive agrees that he shall not disparage, criticize or defame the Company, its affiliates and their respective</w:t>
      </w:r>
      <w:r>
        <w:rPr>
          <w:rFonts w:ascii="Arial" w:cs="Arial" w:eastAsia="Arial" w:hAnsi="Arial"/>
          <w:sz w:val="17"/>
          <w:szCs w:val="17"/>
          <w:i w:val="1"/>
          <w:iCs w:val="1"/>
          <w:color w:val="auto"/>
        </w:rPr>
        <w:t xml:space="preserve"> </w:t>
      </w:r>
      <w:r>
        <w:rPr>
          <w:rFonts w:ascii="Arial" w:cs="Arial" w:eastAsia="Arial" w:hAnsi="Arial"/>
          <w:sz w:val="17"/>
          <w:szCs w:val="17"/>
          <w:color w:val="auto"/>
        </w:rPr>
        <w:t>affiliates, directors, officers, agents, partners, stockholders, employees, products, services, technology or business, either publicly or privately. Nothing in this Section 7(a) shall have application to any evidence or testimony required by any court, arbitrator or government agency.</w:t>
      </w:r>
    </w:p>
    <w:p>
      <w:pPr>
        <w:spacing w:after="0" w:line="165" w:lineRule="exact"/>
        <w:rPr>
          <w:rFonts w:ascii="Arial" w:cs="Arial" w:eastAsia="Arial" w:hAnsi="Arial"/>
          <w:sz w:val="17"/>
          <w:szCs w:val="17"/>
          <w:color w:val="auto"/>
        </w:rPr>
      </w:pPr>
    </w:p>
    <w:p>
      <w:pPr>
        <w:ind w:left="460" w:right="140" w:firstLine="881"/>
        <w:spacing w:after="0" w:line="255" w:lineRule="auto"/>
        <w:tabs>
          <w:tab w:leader="none" w:pos="1726" w:val="left"/>
        </w:tabs>
        <w:numPr>
          <w:ilvl w:val="1"/>
          <w:numId w:val="55"/>
        </w:numPr>
        <w:rPr>
          <w:rFonts w:ascii="Arial" w:cs="Arial" w:eastAsia="Arial" w:hAnsi="Arial"/>
          <w:sz w:val="18"/>
          <w:szCs w:val="18"/>
          <w:color w:val="auto"/>
        </w:rPr>
      </w:pPr>
      <w:r>
        <w:rPr>
          <w:rFonts w:ascii="Arial" w:cs="Arial" w:eastAsia="Arial" w:hAnsi="Arial"/>
          <w:sz w:val="18"/>
          <w:szCs w:val="18"/>
          <w:i w:val="1"/>
          <w:iCs w:val="1"/>
          <w:color w:val="auto"/>
        </w:rPr>
        <w:t>Transfer of Company Property</w:t>
      </w:r>
      <w:r>
        <w:rPr>
          <w:rFonts w:ascii="Arial" w:cs="Arial" w:eastAsia="Arial" w:hAnsi="Arial"/>
          <w:sz w:val="18"/>
          <w:szCs w:val="18"/>
          <w:color w:val="auto"/>
        </w:rPr>
        <w:t>. On or before the Resignation Date, Executive shall turn over to the Company all files, memoranda,</w:t>
      </w:r>
      <w:r>
        <w:rPr>
          <w:rFonts w:ascii="Arial" w:cs="Arial" w:eastAsia="Arial" w:hAnsi="Arial"/>
          <w:sz w:val="18"/>
          <w:szCs w:val="18"/>
          <w:i w:val="1"/>
          <w:iCs w:val="1"/>
          <w:color w:val="auto"/>
        </w:rPr>
        <w:t xml:space="preserve"> </w:t>
      </w:r>
      <w:r>
        <w:rPr>
          <w:rFonts w:ascii="Arial" w:cs="Arial" w:eastAsia="Arial" w:hAnsi="Arial"/>
          <w:sz w:val="18"/>
          <w:szCs w:val="18"/>
          <w:color w:val="auto"/>
        </w:rPr>
        <w:t>records, and other documents, and any other physical or personal property which are the property of the Company and which he has in his possession, custody or control at the Resignation Date. By executing and returning this Agreement, Executive is certifying that Executive has complied with Executive’s obligation herein to immediately return all Company documents and information regardless of where Executive has maintained such Company property. Executive’s compliance with the terms of this Section 7(b) is a condition precedent to Executive’s eligibility to receive the payments and benefits described in Section 3 above.</w:t>
      </w:r>
    </w:p>
    <w:p>
      <w:pPr>
        <w:spacing w:after="0" w:line="193" w:lineRule="exact"/>
        <w:rPr>
          <w:rFonts w:ascii="Arial" w:cs="Arial" w:eastAsia="Arial" w:hAnsi="Arial"/>
          <w:sz w:val="18"/>
          <w:szCs w:val="18"/>
          <w:color w:val="auto"/>
        </w:rPr>
      </w:pPr>
    </w:p>
    <w:p>
      <w:pPr>
        <w:ind w:right="120" w:firstLine="921"/>
        <w:spacing w:after="0" w:line="264" w:lineRule="auto"/>
        <w:tabs>
          <w:tab w:leader="none" w:pos="1228"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Executive Representations</w:t>
      </w:r>
      <w:r>
        <w:rPr>
          <w:rFonts w:ascii="Arial" w:cs="Arial" w:eastAsia="Arial" w:hAnsi="Arial"/>
          <w:sz w:val="18"/>
          <w:szCs w:val="18"/>
          <w:color w:val="auto"/>
        </w:rPr>
        <w:t>. Executive warrants and represents that (a) he has not filed or authorized the filing of any complaints, charges or lawsuits against the Company or any affiliate of the Company with any governmental agency or court, and that if, unbeknownst to Executive, such a complaint, charge or lawsuit has been filed on his behalf, he will use reasonable best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53" w:name="page54"/>
    <w:bookmarkEnd w:id="53"/>
    <w:p>
      <w:pPr>
        <w:ind w:right="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efforts to immediately cause it to be withdrawn and dismissed, (b) he has no known workplace injuries or occupational diseases and has been provided and/or has not been denied any leave requested under the Family and Medical Leave Act or any similar state law, and (c) he has received the Company’s Insider Trading Compliance Policy and agrees to continue to abide by all applicable terms therein, including specifically, Section IV(C) which states, “With the exception of the preclearance requirement, the insider trading laws continue to apply to all transactions in the Company’s securities even after termination of service to the Company. If an individual is in the possession of material non-public information when his or her service terminates, that individual may not trade in the Company’s securities until that information has become public or is no longer material.”</w:t>
      </w:r>
    </w:p>
    <w:p>
      <w:pPr>
        <w:spacing w:after="0" w:line="178" w:lineRule="exact"/>
        <w:rPr>
          <w:sz w:val="20"/>
          <w:szCs w:val="20"/>
          <w:color w:val="auto"/>
        </w:rPr>
      </w:pPr>
    </w:p>
    <w:p>
      <w:pPr>
        <w:ind w:right="80" w:firstLine="921"/>
        <w:spacing w:after="0" w:line="290" w:lineRule="auto"/>
        <w:tabs>
          <w:tab w:leader="none" w:pos="1228" w:val="left"/>
        </w:tabs>
        <w:numPr>
          <w:ilvl w:val="0"/>
          <w:numId w:val="56"/>
        </w:numPr>
        <w:rPr>
          <w:rFonts w:ascii="Arial" w:cs="Arial" w:eastAsia="Arial" w:hAnsi="Arial"/>
          <w:sz w:val="16"/>
          <w:szCs w:val="16"/>
          <w:color w:val="auto"/>
        </w:rPr>
      </w:pPr>
      <w:r>
        <w:rPr>
          <w:rFonts w:ascii="Arial" w:cs="Arial" w:eastAsia="Arial" w:hAnsi="Arial"/>
          <w:sz w:val="16"/>
          <w:szCs w:val="16"/>
          <w:u w:val="single" w:color="auto"/>
          <w:color w:val="auto"/>
        </w:rPr>
        <w:t>No Assignment by Executive</w:t>
      </w:r>
      <w:r>
        <w:rPr>
          <w:rFonts w:ascii="Arial" w:cs="Arial" w:eastAsia="Arial" w:hAnsi="Arial"/>
          <w:sz w:val="16"/>
          <w:szCs w:val="16"/>
          <w:color w:val="auto"/>
        </w:rPr>
        <w:t>. Executive warrants and represents that no portion of any of the matters released herein, and no portion of any recovery or settlement to which Executive might be entitled, has been assigned or transferred to any other person, firm or corporation not a party to this Agreement, in any manner, including by way of subrogation or operation of law or otherwise. If any claim, action, demand or suit should be made or instituted against the Company or any other Releasee because of any actual assignment, subrogation or transfer by Executive, Executive agrees to indemnify and hold harmless the Company and all other Releasees against such claim, action, suit or demand, including necessary expenses of investigation, attorneys’ fees and costs. In the event of Executive’s death, this Agreement shall inure to the benefit of Executive and Executive’s executors, administrators, heirs, distributees, devisees, and legatees. None of Executive’s rights or obligations may be assigned or transferred by Executive, other than Executive’s rights to payments hereunder, which may be transferred only upon Executive’s death by will or operation of law.</w:t>
      </w:r>
    </w:p>
    <w:p>
      <w:pPr>
        <w:spacing w:after="0" w:line="166" w:lineRule="exact"/>
        <w:rPr>
          <w:rFonts w:ascii="Arial" w:cs="Arial" w:eastAsia="Arial" w:hAnsi="Arial"/>
          <w:sz w:val="16"/>
          <w:szCs w:val="16"/>
          <w:color w:val="auto"/>
        </w:rPr>
      </w:pPr>
    </w:p>
    <w:p>
      <w:pPr>
        <w:jc w:val="both"/>
        <w:ind w:right="60" w:firstLine="921"/>
        <w:spacing w:after="0" w:line="264" w:lineRule="auto"/>
        <w:tabs>
          <w:tab w:leader="none" w:pos="1318"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construed and enforced in accordance with, and the rights of the parties shall be governed by, the laws of the State of California or, where applicable, United States federal law, in each case, without regard to any conflicts of laws provisions or those of any state other than California.</w:t>
      </w:r>
    </w:p>
    <w:p>
      <w:pPr>
        <w:spacing w:after="0" w:line="181" w:lineRule="exact"/>
        <w:rPr>
          <w:rFonts w:ascii="Arial" w:cs="Arial" w:eastAsia="Arial" w:hAnsi="Arial"/>
          <w:sz w:val="18"/>
          <w:szCs w:val="18"/>
          <w:color w:val="auto"/>
        </w:rPr>
      </w:pPr>
    </w:p>
    <w:p>
      <w:pPr>
        <w:ind w:firstLine="921"/>
        <w:spacing w:after="0" w:line="293" w:lineRule="auto"/>
        <w:tabs>
          <w:tab w:leader="none" w:pos="1311" w:val="left"/>
        </w:tabs>
        <w:numPr>
          <w:ilvl w:val="0"/>
          <w:numId w:val="56"/>
        </w:numPr>
        <w:rPr>
          <w:rFonts w:ascii="Arial" w:cs="Arial" w:eastAsia="Arial" w:hAnsi="Arial"/>
          <w:sz w:val="16"/>
          <w:szCs w:val="16"/>
          <w:color w:val="auto"/>
        </w:rPr>
      </w:pPr>
      <w:r>
        <w:rPr>
          <w:rFonts w:ascii="Arial" w:cs="Arial" w:eastAsia="Arial" w:hAnsi="Arial"/>
          <w:sz w:val="16"/>
          <w:szCs w:val="16"/>
          <w:u w:val="single" w:color="auto"/>
          <w:color w:val="auto"/>
        </w:rPr>
        <w:t>Miscellaneous</w:t>
      </w:r>
      <w:r>
        <w:rPr>
          <w:rFonts w:ascii="Arial" w:cs="Arial" w:eastAsia="Arial" w:hAnsi="Arial"/>
          <w:sz w:val="16"/>
          <w:szCs w:val="16"/>
          <w:color w:val="auto"/>
        </w:rPr>
        <w:t>. This Agreement, together with the Confidential Information Agreement, Section 11 of the Severance Agreement and the Equity Award agreements, comprise the entire agreement between the parties with regard to the subject matter hereof and supersedes, in their entirety, any other agreements between Executive and the Company with regard to the subject matter hereof. Executive acknowledges that there are no other agreements, written, oral or implied, and that he may not rely on any prior negotiations, discussions, representations or agreements. This Agreement may be modified only in writing, and such writing must be signed by both parties and recited that it is intended to modify this Agreement. This Agreement may be executed in separate counterparts, each of which is deemed to be an original and all of which taken together constitute one and the same agreement.</w:t>
      </w:r>
    </w:p>
    <w:p>
      <w:pPr>
        <w:spacing w:after="0" w:line="164" w:lineRule="exact"/>
        <w:rPr>
          <w:rFonts w:ascii="Arial" w:cs="Arial" w:eastAsia="Arial" w:hAnsi="Arial"/>
          <w:sz w:val="16"/>
          <w:szCs w:val="16"/>
          <w:color w:val="auto"/>
        </w:rPr>
      </w:pPr>
    </w:p>
    <w:p>
      <w:pPr>
        <w:ind w:right="80" w:firstLine="921"/>
        <w:spacing w:after="0" w:line="264" w:lineRule="auto"/>
        <w:tabs>
          <w:tab w:leader="none" w:pos="1318"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Company Assignment and Successors</w:t>
      </w:r>
      <w:r>
        <w:rPr>
          <w:rFonts w:ascii="Arial" w:cs="Arial" w:eastAsia="Arial" w:hAnsi="Arial"/>
          <w:sz w:val="18"/>
          <w:szCs w:val="18"/>
          <w:color w:val="auto"/>
        </w:rPr>
        <w:t>. The Company shall assign its rights and obligations under this Agreement to any successor to all or substantially all of the business or the assets of the Company (by merger or otherwise). This Agreement shall be binding upon and inure to the benefit of the Company and its successors, assigns, personnel and legal representatives.</w:t>
      </w:r>
    </w:p>
    <w:p>
      <w:pPr>
        <w:spacing w:after="0" w:line="181" w:lineRule="exact"/>
        <w:rPr>
          <w:rFonts w:ascii="Arial" w:cs="Arial" w:eastAsia="Arial" w:hAnsi="Arial"/>
          <w:sz w:val="18"/>
          <w:szCs w:val="18"/>
          <w:color w:val="auto"/>
        </w:rPr>
      </w:pPr>
    </w:p>
    <w:p>
      <w:pPr>
        <w:ind w:right="20" w:firstLine="921"/>
        <w:spacing w:after="0" w:line="312" w:lineRule="auto"/>
        <w:tabs>
          <w:tab w:leader="none" w:pos="1318" w:val="left"/>
        </w:tabs>
        <w:numPr>
          <w:ilvl w:val="0"/>
          <w:numId w:val="56"/>
        </w:numPr>
        <w:rPr>
          <w:rFonts w:ascii="Arial" w:cs="Arial" w:eastAsia="Arial" w:hAnsi="Arial"/>
          <w:sz w:val="16"/>
          <w:szCs w:val="16"/>
          <w:color w:val="auto"/>
        </w:rPr>
      </w:pPr>
      <w:r>
        <w:rPr>
          <w:rFonts w:ascii="Arial" w:cs="Arial" w:eastAsia="Arial" w:hAnsi="Arial"/>
          <w:sz w:val="16"/>
          <w:szCs w:val="16"/>
          <w:u w:val="single" w:color="auto"/>
          <w:color w:val="auto"/>
        </w:rPr>
        <w:t>Maintaining Confidential Information; Non-Solicitation</w:t>
      </w:r>
      <w:r>
        <w:rPr>
          <w:rFonts w:ascii="Arial" w:cs="Arial" w:eastAsia="Arial" w:hAnsi="Arial"/>
          <w:sz w:val="16"/>
          <w:szCs w:val="16"/>
          <w:color w:val="auto"/>
        </w:rPr>
        <w:t>. Executive reaffirms his obligations under the Confidential Information Agreement and Section 11 of the Severance Agreement. Executive acknowledges and agrees that the payments provided in Sections 2 and 3 above shall be subject to Executive’s continued compliance with Executive’s obligations under the Confidential Information Agreement and Section 11 of the Severance Agreement.</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54" w:name="page55"/>
    <w:bookmarkEnd w:id="54"/>
    <w:p>
      <w:pPr>
        <w:ind w:left="860" w:hanging="399"/>
        <w:spacing w:after="0"/>
        <w:tabs>
          <w:tab w:leader="none" w:pos="860"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Executive’s Cooperation</w:t>
      </w:r>
      <w:r>
        <w:rPr>
          <w:rFonts w:ascii="Arial" w:cs="Arial" w:eastAsia="Arial" w:hAnsi="Arial"/>
          <w:sz w:val="18"/>
          <w:szCs w:val="18"/>
          <w:color w:val="auto"/>
        </w:rPr>
        <w:t>. Executive further agrees that:</w:t>
      </w:r>
    </w:p>
    <w:p>
      <w:pPr>
        <w:spacing w:after="0" w:line="225" w:lineRule="exact"/>
        <w:rPr>
          <w:rFonts w:ascii="Arial" w:cs="Arial" w:eastAsia="Arial" w:hAnsi="Arial"/>
          <w:sz w:val="18"/>
          <w:szCs w:val="18"/>
          <w:color w:val="auto"/>
        </w:rPr>
      </w:pPr>
    </w:p>
    <w:p>
      <w:pPr>
        <w:ind w:right="160" w:firstLine="881"/>
        <w:spacing w:after="0" w:line="264" w:lineRule="auto"/>
        <w:tabs>
          <w:tab w:leader="none" w:pos="1256" w:val="left"/>
        </w:tabs>
        <w:numPr>
          <w:ilvl w:val="1"/>
          <w:numId w:val="57"/>
        </w:numPr>
        <w:rPr>
          <w:rFonts w:ascii="Arial" w:cs="Arial" w:eastAsia="Arial" w:hAnsi="Arial"/>
          <w:sz w:val="18"/>
          <w:szCs w:val="18"/>
          <w:color w:val="auto"/>
        </w:rPr>
      </w:pPr>
      <w:r>
        <w:rPr>
          <w:rFonts w:ascii="Arial" w:cs="Arial" w:eastAsia="Arial" w:hAnsi="Arial"/>
          <w:sz w:val="18"/>
          <w:szCs w:val="18"/>
          <w:i w:val="1"/>
          <w:iCs w:val="1"/>
          <w:color w:val="auto"/>
        </w:rPr>
        <w:t xml:space="preserve">Transition. </w:t>
      </w:r>
      <w:r>
        <w:rPr>
          <w:rFonts w:ascii="Arial" w:cs="Arial" w:eastAsia="Arial" w:hAnsi="Arial"/>
          <w:sz w:val="18"/>
          <w:szCs w:val="18"/>
          <w:color w:val="auto"/>
        </w:rPr>
        <w:t>From the Effective Date through the Resignation Date, Executive shall continue to provide full-time services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shall continue to discharge all duties of the position of the Chief Medical Officer, and shall cooperate with the Company in the preparation and presentation of public statements regarding Executive’s planned departure from the Company.</w:t>
      </w:r>
    </w:p>
    <w:p>
      <w:pPr>
        <w:spacing w:after="0" w:line="181" w:lineRule="exact"/>
        <w:rPr>
          <w:rFonts w:ascii="Arial" w:cs="Arial" w:eastAsia="Arial" w:hAnsi="Arial"/>
          <w:sz w:val="18"/>
          <w:szCs w:val="18"/>
          <w:color w:val="auto"/>
        </w:rPr>
      </w:pPr>
    </w:p>
    <w:p>
      <w:pPr>
        <w:ind w:firstLine="881"/>
        <w:spacing w:after="0" w:line="290" w:lineRule="auto"/>
        <w:tabs>
          <w:tab w:leader="none" w:pos="1266" w:val="left"/>
        </w:tabs>
        <w:numPr>
          <w:ilvl w:val="1"/>
          <w:numId w:val="57"/>
        </w:numPr>
        <w:rPr>
          <w:rFonts w:ascii="Arial" w:cs="Arial" w:eastAsia="Arial" w:hAnsi="Arial"/>
          <w:sz w:val="16"/>
          <w:szCs w:val="16"/>
          <w:color w:val="auto"/>
        </w:rPr>
      </w:pPr>
      <w:r>
        <w:rPr>
          <w:rFonts w:ascii="Arial" w:cs="Arial" w:eastAsia="Arial" w:hAnsi="Arial"/>
          <w:sz w:val="16"/>
          <w:szCs w:val="16"/>
          <w:i w:val="1"/>
          <w:iCs w:val="1"/>
          <w:color w:val="auto"/>
        </w:rPr>
        <w:t xml:space="preserve">Investigations. </w:t>
      </w:r>
      <w:r>
        <w:rPr>
          <w:rFonts w:ascii="Arial" w:cs="Arial" w:eastAsia="Arial" w:hAnsi="Arial"/>
          <w:sz w:val="16"/>
          <w:szCs w:val="16"/>
          <w:color w:val="auto"/>
        </w:rPr>
        <w:t>After the Resignation Date, Executive shall cooperate with the Company and its affiliates, upon the Company’s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reasonable request, with respect to any internal investigation or administrative, regulatory or judicial proceeding involving matters within the scope of Executive’s duties and responsibilities to the Company or its affiliates during his employment with the Company (including, without limitation, Executive being available to the Company upon reasonable notice for interviews and factual investigations, appearing at the Company’s reasonable request to give testimony without requiring service of a subpoena or other legal process, and turning over to the Company all relevant Company documents which are or may have come into Executive’s possession during his employment);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any such request by the Company shall not be unduly burdensome or interfere with Executive’s personal schedule or ability to engage in gainful employment and the Company shall reimburse Executive for his actual, reasonable, out-of-pocket expenses incurred in connection with providing any such cooperation.</w:t>
      </w:r>
    </w:p>
    <w:p>
      <w:pPr>
        <w:spacing w:after="0" w:line="16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(Signature page(s) follow)</w:t>
      </w:r>
    </w:p>
    <w:p>
      <w:pPr>
        <w:spacing w:after="0" w:line="27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20"/>
          </w:cols>
          <w:pgMar w:left="700" w:top="274" w:right="279" w:bottom="1440" w:gutter="0" w:footer="0" w:header="0"/>
        </w:sectPr>
      </w:pPr>
    </w:p>
    <w:bookmarkStart w:id="55" w:name="page56"/>
    <w:bookmarkEnd w:id="55"/>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undersigned have caused this Transition and Separation Agreement to be duly executed and delivered as of the date indicated next to their respective signatures below.</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DATED: August 21, 2017</w:t>
      </w:r>
    </w:p>
    <w:p>
      <w:pPr>
        <w:spacing w:after="0" w:line="2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/s/ Paul Korner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5715</wp:posOffset>
            </wp:positionV>
            <wp:extent cx="349885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98850" cy="8890"/>
                    </a:xfrm>
                    <a:prstGeom prst="rect">
                      <a:avLst/>
                    </a:prstGeom>
                    <a:noFill/>
                  </pic:spPr>
                </pic:pic>
              </a:graphicData>
            </a:graphic>
          </wp:anchor>
        </w:drawing>
      </w:r>
    </w:p>
    <w:p>
      <w:pPr>
        <w:spacing w:after="0" w:line="2"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Paul Korner, M.D.</w:t>
      </w:r>
    </w:p>
    <w:p>
      <w:pPr>
        <w:spacing w:after="0" w:line="22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ARDELYX,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DATED: August 21, 2017</w:t>
      </w:r>
    </w:p>
    <w:p>
      <w:pPr>
        <w:spacing w:after="0" w:line="211"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By:  /s/ Michael Raab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Michael Raab, President &amp; CEO</w:t>
      </w:r>
    </w:p>
    <w:p>
      <w:pPr>
        <w:sectPr>
          <w:pgSz w:w="11900" w:h="16838" w:orient="portrait"/>
          <w:cols w:equalWidth="0" w:num="1">
            <w:col w:w="11060"/>
          </w:cols>
          <w:pgMar w:left="240" w:top="274" w:right="599" w:bottom="1440" w:gutter="0" w:footer="0" w:header="0"/>
        </w:sectPr>
      </w:pPr>
    </w:p>
    <w:bookmarkStart w:id="56" w:name="page57"/>
    <w:bookmarkEnd w:id="56"/>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GENERAL RELEASE OF CLAIMS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This General Release of Claims (“</w:t>
      </w:r>
      <w:r>
        <w:rPr>
          <w:rFonts w:ascii="Arial" w:cs="Arial" w:eastAsia="Arial" w:hAnsi="Arial"/>
          <w:sz w:val="17"/>
          <w:szCs w:val="17"/>
          <w:u w:val="single" w:color="auto"/>
          <w:color w:val="auto"/>
        </w:rPr>
        <w:t>Release</w:t>
      </w:r>
      <w:r>
        <w:rPr>
          <w:rFonts w:ascii="Arial" w:cs="Arial" w:eastAsia="Arial" w:hAnsi="Arial"/>
          <w:sz w:val="17"/>
          <w:szCs w:val="17"/>
          <w:color w:val="auto"/>
        </w:rPr>
        <w:t>”) is entered into as of ____________, 2017, between Paul Korner, M.D. (“</w:t>
      </w:r>
      <w:r>
        <w:rPr>
          <w:rFonts w:ascii="Arial" w:cs="Arial" w:eastAsia="Arial" w:hAnsi="Arial"/>
          <w:sz w:val="17"/>
          <w:szCs w:val="17"/>
          <w:u w:val="single" w:color="auto"/>
          <w:color w:val="auto"/>
        </w:rPr>
        <w:t>Executive</w:t>
      </w:r>
      <w:r>
        <w:rPr>
          <w:rFonts w:ascii="Arial" w:cs="Arial" w:eastAsia="Arial" w:hAnsi="Arial"/>
          <w:sz w:val="17"/>
          <w:szCs w:val="17"/>
          <w:color w:val="auto"/>
        </w:rPr>
        <w:t>”) and Ardelyx, Inc.</w:t>
      </w:r>
    </w:p>
    <w:p>
      <w:pPr>
        <w:spacing w:after="0" w:line="35"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(collectively referred to herein as the (“</w:t>
      </w:r>
      <w:r>
        <w:rPr>
          <w:rFonts w:ascii="Arial" w:cs="Arial" w:eastAsia="Arial" w:hAnsi="Arial"/>
          <w:sz w:val="18"/>
          <w:szCs w:val="18"/>
          <w:u w:val="single" w:color="auto"/>
          <w:color w:val="auto"/>
        </w:rPr>
        <w:t>Parties</w:t>
      </w:r>
      <w:r>
        <w:rPr>
          <w:rFonts w:ascii="Arial" w:cs="Arial" w:eastAsia="Arial" w:hAnsi="Arial"/>
          <w:sz w:val="18"/>
          <w:szCs w:val="18"/>
          <w:color w:val="auto"/>
        </w:rPr>
        <w:t>”), effective eight (8) days after Executive’s signature hereto (“</w:t>
      </w:r>
      <w:r>
        <w:rPr>
          <w:rFonts w:ascii="Arial" w:cs="Arial" w:eastAsia="Arial" w:hAnsi="Arial"/>
          <w:sz w:val="18"/>
          <w:szCs w:val="18"/>
          <w:u w:val="single" w:color="auto"/>
          <w:color w:val="auto"/>
        </w:rPr>
        <w:t>Effective Date</w:t>
      </w:r>
      <w:r>
        <w:rPr>
          <w:rFonts w:ascii="Arial" w:cs="Arial" w:eastAsia="Arial" w:hAnsi="Arial"/>
          <w:sz w:val="18"/>
          <w:szCs w:val="18"/>
          <w:color w:val="auto"/>
        </w:rPr>
        <w:t>”), unless Executive Revokes his acceptance of his Release as provided in Paragraph 1(c), below.</w:t>
      </w:r>
    </w:p>
    <w:p>
      <w:pPr>
        <w:spacing w:after="0" w:line="184" w:lineRule="exact"/>
        <w:rPr>
          <w:sz w:val="20"/>
          <w:szCs w:val="20"/>
          <w:color w:val="auto"/>
        </w:rPr>
      </w:pPr>
    </w:p>
    <w:p>
      <w:pPr>
        <w:ind w:left="1240" w:hanging="319"/>
        <w:spacing w:after="0"/>
        <w:tabs>
          <w:tab w:leader="none" w:pos="1240"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Executive’s Release of the Company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60" w:right="180" w:firstLine="881"/>
        <w:spacing w:after="0" w:line="293" w:lineRule="auto"/>
        <w:tabs>
          <w:tab w:leader="none" w:pos="1716" w:val="left"/>
        </w:tabs>
        <w:numPr>
          <w:ilvl w:val="1"/>
          <w:numId w:val="58"/>
        </w:numPr>
        <w:rPr>
          <w:rFonts w:ascii="Arial" w:cs="Arial" w:eastAsia="Arial" w:hAnsi="Arial"/>
          <w:sz w:val="16"/>
          <w:szCs w:val="16"/>
          <w:color w:val="auto"/>
        </w:rPr>
      </w:pPr>
      <w:r>
        <w:rPr>
          <w:rFonts w:ascii="Arial" w:cs="Arial" w:eastAsia="Arial" w:hAnsi="Arial"/>
          <w:sz w:val="16"/>
          <w:szCs w:val="16"/>
          <w:color w:val="auto"/>
        </w:rPr>
        <w:t>Executive, on his own behalf and on behalf of his family members, heirs, executors, administrators, agents, and assigns, hereby and forever releases the Company and its current and former officers, directors, employees, agents, investors, attorneys, affiliates, divisions, and subsidiaries, and predecessor and successor corporations and assigns (the “</w:t>
      </w:r>
      <w:r>
        <w:rPr>
          <w:rFonts w:ascii="Arial" w:cs="Arial" w:eastAsia="Arial" w:hAnsi="Arial"/>
          <w:sz w:val="16"/>
          <w:szCs w:val="16"/>
          <w:u w:val="single" w:color="auto"/>
          <w:color w:val="auto"/>
        </w:rPr>
        <w:t>Releasees</w:t>
      </w:r>
      <w:r>
        <w:rPr>
          <w:rFonts w:ascii="Arial" w:cs="Arial" w:eastAsia="Arial" w:hAnsi="Arial"/>
          <w:sz w:val="16"/>
          <w:szCs w:val="16"/>
          <w:color w:val="auto"/>
        </w:rPr>
        <w:t>”) from, and agrees not to sue concerning, or in any manner to institute, prosecute, or pursue, any claim, complaint, charge, duty, obligation, or cause of action relating to any matters of any kind, whether presently known or unknown, suspected or unsuspected, that Executive may possess against any of the Releasees arising from any omissions, acts, facts, or damages that have occurred up until and including the date Executive signs this Release, including, without limitation:</w:t>
      </w:r>
    </w:p>
    <w:p>
      <w:pPr>
        <w:spacing w:after="0" w:line="164" w:lineRule="exact"/>
        <w:rPr>
          <w:rFonts w:ascii="Arial" w:cs="Arial" w:eastAsia="Arial" w:hAnsi="Arial"/>
          <w:sz w:val="16"/>
          <w:szCs w:val="16"/>
          <w:color w:val="auto"/>
        </w:rPr>
      </w:pPr>
    </w:p>
    <w:p>
      <w:pPr>
        <w:ind w:left="2160" w:hanging="399"/>
        <w:spacing w:after="0"/>
        <w:tabs>
          <w:tab w:leader="none" w:pos="2160" w:val="left"/>
        </w:tabs>
        <w:numPr>
          <w:ilvl w:val="2"/>
          <w:numId w:val="58"/>
        </w:numPr>
        <w:rPr>
          <w:rFonts w:ascii="Arial" w:cs="Arial" w:eastAsia="Arial" w:hAnsi="Arial"/>
          <w:sz w:val="17"/>
          <w:szCs w:val="17"/>
          <w:color w:val="auto"/>
        </w:rPr>
      </w:pPr>
      <w:r>
        <w:rPr>
          <w:rFonts w:ascii="Arial" w:cs="Arial" w:eastAsia="Arial" w:hAnsi="Arial"/>
          <w:sz w:val="17"/>
          <w:szCs w:val="17"/>
          <w:color w:val="auto"/>
        </w:rPr>
        <w:t>any and all claims relating to or arising from Executive’s employment relationship with Company and the termination of that</w:t>
      </w:r>
    </w:p>
    <w:p>
      <w:pPr>
        <w:spacing w:after="0" w:line="34" w:lineRule="exact"/>
        <w:rPr>
          <w:rFonts w:ascii="Arial" w:cs="Arial" w:eastAsia="Arial" w:hAnsi="Arial"/>
          <w:sz w:val="17"/>
          <w:szCs w:val="17"/>
          <w:color w:val="auto"/>
        </w:rPr>
      </w:pPr>
    </w:p>
    <w:p>
      <w:pPr>
        <w:ind w:left="920"/>
        <w:spacing w:after="0"/>
        <w:rPr>
          <w:rFonts w:ascii="Arial" w:cs="Arial" w:eastAsia="Arial" w:hAnsi="Arial"/>
          <w:sz w:val="17"/>
          <w:szCs w:val="17"/>
          <w:color w:val="auto"/>
        </w:rPr>
      </w:pPr>
      <w:r>
        <w:rPr>
          <w:rFonts w:ascii="Arial" w:cs="Arial" w:eastAsia="Arial" w:hAnsi="Arial"/>
          <w:sz w:val="18"/>
          <w:szCs w:val="18"/>
          <w:color w:val="auto"/>
        </w:rPr>
        <w:t>relationship;</w:t>
      </w:r>
    </w:p>
    <w:p>
      <w:pPr>
        <w:spacing w:after="0" w:line="210" w:lineRule="exact"/>
        <w:rPr>
          <w:rFonts w:ascii="Arial" w:cs="Arial" w:eastAsia="Arial" w:hAnsi="Arial"/>
          <w:sz w:val="17"/>
          <w:szCs w:val="17"/>
          <w:color w:val="auto"/>
        </w:rPr>
      </w:pPr>
    </w:p>
    <w:p>
      <w:pPr>
        <w:ind w:left="920" w:firstLine="841"/>
        <w:spacing w:after="0" w:line="276" w:lineRule="auto"/>
        <w:tabs>
          <w:tab w:leader="none" w:pos="2205" w:val="left"/>
        </w:tabs>
        <w:numPr>
          <w:ilvl w:val="2"/>
          <w:numId w:val="58"/>
        </w:numPr>
        <w:rPr>
          <w:rFonts w:ascii="Arial" w:cs="Arial" w:eastAsia="Arial" w:hAnsi="Arial"/>
          <w:sz w:val="17"/>
          <w:szCs w:val="17"/>
          <w:color w:val="auto"/>
        </w:rPr>
      </w:pPr>
      <w:r>
        <w:rPr>
          <w:rFonts w:ascii="Arial" w:cs="Arial" w:eastAsia="Arial" w:hAnsi="Arial"/>
          <w:sz w:val="17"/>
          <w:szCs w:val="17"/>
          <w:color w:val="auto"/>
        </w:rPr>
        <w:t>any and all claims for wrongful discharge of employment; termination in violation of public policy; discrimination; harassment; retaliation; breach of contract, both express and implied; breach of covenant of good faith and fair dealing, both express and implied; promissory estoppel; negligent or intentional infliction of emotional distress; fraud; negligent or intentional misrepresentation; negligent or intentional interference with contract or prospective economic advantage; unfair business practices; defamation; libel; slander; negligence; personal injury; assault; battery; invasion of privacy; false imprisonment; conversion; and disability benefits;</w:t>
      </w:r>
    </w:p>
    <w:p>
      <w:pPr>
        <w:spacing w:after="0" w:line="172" w:lineRule="exact"/>
        <w:rPr>
          <w:rFonts w:ascii="Arial" w:cs="Arial" w:eastAsia="Arial" w:hAnsi="Arial"/>
          <w:sz w:val="17"/>
          <w:szCs w:val="17"/>
          <w:color w:val="auto"/>
        </w:rPr>
      </w:pPr>
    </w:p>
    <w:p>
      <w:pPr>
        <w:ind w:left="920" w:right="100" w:firstLine="841"/>
        <w:spacing w:after="0" w:line="254" w:lineRule="auto"/>
        <w:tabs>
          <w:tab w:leader="none" w:pos="2210" w:val="left"/>
        </w:tabs>
        <w:numPr>
          <w:ilvl w:val="2"/>
          <w:numId w:val="58"/>
        </w:numPr>
        <w:rPr>
          <w:rFonts w:ascii="Arial" w:cs="Arial" w:eastAsia="Arial" w:hAnsi="Arial"/>
          <w:sz w:val="18"/>
          <w:szCs w:val="18"/>
          <w:color w:val="auto"/>
        </w:rPr>
      </w:pPr>
      <w:r>
        <w:rPr>
          <w:rFonts w:ascii="Arial" w:cs="Arial" w:eastAsia="Arial" w:hAnsi="Arial"/>
          <w:sz w:val="18"/>
          <w:szCs w:val="18"/>
          <w:color w:val="auto"/>
        </w:rPr>
        <w:t>any and all claims for violation of any federal, state, or municipal statute, including, but not limited to, Title VII of the Civil Rights Act of 1964; the Civil Rights Act of 1991; the Rehabilitation Act of 1973; the Americans with Disabilities Act of 1990; the Equal Pay Act; the Fair Labor Standards Act, except as prohibited by law; the Fair Credit Reporting Act; the Age Discrimination in Employment Act of 1967; the Older Workers Benefit Protection Act; the Employee Retirement Income Security Act of 1974; the Worker Adjustment and Retraining Notification Act; the Family and Medical Leave Act, except as prohibited by law; the Sarbanes-Oxley Act of 2002, except as prohibited by law; the Uniformed Services Employment and Reemployment Rights Act; the California Family Rights Act; the California Labor Code, except as prohibited by law; the California Workers’ Compensation Act, except as prohibited by law; and the California Fair Employment and Housing Act;</w:t>
      </w:r>
    </w:p>
    <w:p>
      <w:pPr>
        <w:spacing w:after="0" w:line="192" w:lineRule="exact"/>
        <w:rPr>
          <w:rFonts w:ascii="Arial" w:cs="Arial" w:eastAsia="Arial" w:hAnsi="Arial"/>
          <w:sz w:val="18"/>
          <w:szCs w:val="18"/>
          <w:color w:val="auto"/>
        </w:rPr>
      </w:pPr>
    </w:p>
    <w:p>
      <w:pPr>
        <w:ind w:left="2200" w:hanging="439"/>
        <w:spacing w:after="0"/>
        <w:tabs>
          <w:tab w:leader="none" w:pos="2200" w:val="left"/>
        </w:tabs>
        <w:numPr>
          <w:ilvl w:val="2"/>
          <w:numId w:val="58"/>
        </w:numPr>
        <w:rPr>
          <w:rFonts w:ascii="Arial" w:cs="Arial" w:eastAsia="Arial" w:hAnsi="Arial"/>
          <w:sz w:val="18"/>
          <w:szCs w:val="18"/>
          <w:color w:val="auto"/>
        </w:rPr>
      </w:pPr>
      <w:r>
        <w:rPr>
          <w:rFonts w:ascii="Arial" w:cs="Arial" w:eastAsia="Arial" w:hAnsi="Arial"/>
          <w:sz w:val="18"/>
          <w:szCs w:val="18"/>
          <w:color w:val="auto"/>
        </w:rPr>
        <w:t>any and all claims for violation of the federal or any state constitution;</w:t>
      </w:r>
    </w:p>
    <w:p>
      <w:pPr>
        <w:sectPr>
          <w:pgSz w:w="11900" w:h="16838" w:orient="portrait"/>
          <w:cols w:equalWidth="0" w:num="1">
            <w:col w:w="11420"/>
          </w:cols>
          <w:pgMar w:left="240" w:top="270" w:right="239" w:bottom="1440" w:gutter="0" w:footer="0" w:header="0"/>
        </w:sectPr>
      </w:pPr>
    </w:p>
    <w:bookmarkStart w:id="57" w:name="page58"/>
    <w:bookmarkEnd w:id="57"/>
    <w:p>
      <w:pPr>
        <w:ind w:left="1280" w:hanging="439"/>
        <w:spacing w:after="0"/>
        <w:tabs>
          <w:tab w:leader="none" w:pos="1280" w:val="left"/>
        </w:tabs>
        <w:numPr>
          <w:ilvl w:val="1"/>
          <w:numId w:val="5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and all claims arising out of any other laws and regulations relating to employment or employment discrimination;</w:t>
      </w:r>
    </w:p>
    <w:p>
      <w:pPr>
        <w:spacing w:after="0" w:line="236" w:lineRule="exact"/>
        <w:rPr>
          <w:rFonts w:ascii="Arial" w:cs="Arial" w:eastAsia="Arial" w:hAnsi="Arial"/>
          <w:sz w:val="17"/>
          <w:szCs w:val="17"/>
          <w:color w:val="auto"/>
        </w:rPr>
      </w:pPr>
    </w:p>
    <w:p>
      <w:pPr>
        <w:ind w:right="180" w:firstLine="841"/>
        <w:spacing w:after="0" w:line="291" w:lineRule="auto"/>
        <w:tabs>
          <w:tab w:leader="none" w:pos="1280" w:val="left"/>
        </w:tabs>
        <w:numPr>
          <w:ilvl w:val="1"/>
          <w:numId w:val="59"/>
        </w:numPr>
        <w:rPr>
          <w:rFonts w:ascii="Arial" w:cs="Arial" w:eastAsia="Arial" w:hAnsi="Arial"/>
          <w:sz w:val="16"/>
          <w:szCs w:val="16"/>
          <w:color w:val="auto"/>
        </w:rPr>
      </w:pPr>
      <w:r>
        <w:rPr>
          <w:rFonts w:ascii="Arial" w:cs="Arial" w:eastAsia="Arial" w:hAnsi="Arial"/>
          <w:sz w:val="16"/>
          <w:szCs w:val="16"/>
          <w:color w:val="auto"/>
        </w:rPr>
        <w:t>any claim for any loss, cost, damage, or expense arising out of any dispute over the non-withholding or other tax treatment of any of the proceeds received by Executive as a result of the Transition and Separation Agreement entered into between the Parties as of</w:t>
      </w:r>
    </w:p>
    <w:p>
      <w:pPr>
        <w:spacing w:after="0"/>
        <w:rPr>
          <w:rFonts w:ascii="Arial" w:cs="Arial" w:eastAsia="Arial" w:hAnsi="Arial"/>
          <w:sz w:val="16"/>
          <w:szCs w:val="16"/>
          <w:color w:val="auto"/>
        </w:rPr>
      </w:pPr>
      <w:r>
        <w:rPr>
          <w:rFonts w:ascii="Arial" w:cs="Arial" w:eastAsia="Arial" w:hAnsi="Arial"/>
          <w:sz w:val="18"/>
          <w:szCs w:val="18"/>
          <w:color w:val="auto"/>
        </w:rPr>
        <w:t>___________________, 2017;</w:t>
      </w:r>
    </w:p>
    <w:p>
      <w:pPr>
        <w:spacing w:after="0" w:line="210" w:lineRule="exact"/>
        <w:rPr>
          <w:rFonts w:ascii="Arial" w:cs="Arial" w:eastAsia="Arial" w:hAnsi="Arial"/>
          <w:sz w:val="16"/>
          <w:szCs w:val="16"/>
          <w:color w:val="auto"/>
        </w:rPr>
      </w:pPr>
    </w:p>
    <w:p>
      <w:pPr>
        <w:ind w:left="1380" w:hanging="539"/>
        <w:spacing w:after="0"/>
        <w:tabs>
          <w:tab w:leader="none" w:pos="138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any claim for breach of contract or breach of the implied covenant of good faith and fair dealing; and</w:t>
      </w:r>
    </w:p>
    <w:p>
      <w:pPr>
        <w:spacing w:after="0" w:line="225" w:lineRule="exact"/>
        <w:rPr>
          <w:rFonts w:ascii="Arial" w:cs="Arial" w:eastAsia="Arial" w:hAnsi="Arial"/>
          <w:sz w:val="18"/>
          <w:szCs w:val="18"/>
          <w:color w:val="auto"/>
        </w:rPr>
      </w:pPr>
    </w:p>
    <w:p>
      <w:pPr>
        <w:ind w:left="1380" w:hanging="539"/>
        <w:spacing w:after="0"/>
        <w:tabs>
          <w:tab w:leader="none" w:pos="138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any and all claims for attorneys’ fees and costs.</w:t>
      </w:r>
    </w:p>
    <w:p>
      <w:pPr>
        <w:spacing w:after="0" w:line="225" w:lineRule="exact"/>
        <w:rPr>
          <w:rFonts w:ascii="Arial" w:cs="Arial" w:eastAsia="Arial" w:hAnsi="Arial"/>
          <w:sz w:val="18"/>
          <w:szCs w:val="18"/>
          <w:color w:val="auto"/>
        </w:rPr>
      </w:pPr>
    </w:p>
    <w:p>
      <w:pPr>
        <w:ind w:left="-460" w:firstLine="881"/>
        <w:spacing w:after="0" w:line="289" w:lineRule="auto"/>
        <w:tabs>
          <w:tab w:leader="none" w:pos="806" w:val="left"/>
        </w:tabs>
        <w:numPr>
          <w:ilvl w:val="0"/>
          <w:numId w:val="60"/>
        </w:numPr>
        <w:rPr>
          <w:rFonts w:ascii="Arial" w:cs="Arial" w:eastAsia="Arial" w:hAnsi="Arial"/>
          <w:sz w:val="16"/>
          <w:szCs w:val="16"/>
          <w:color w:val="auto"/>
        </w:rPr>
      </w:pPr>
      <w:r>
        <w:rPr>
          <w:rFonts w:ascii="Arial" w:cs="Arial" w:eastAsia="Arial" w:hAnsi="Arial"/>
          <w:sz w:val="16"/>
          <w:szCs w:val="16"/>
          <w:color w:val="auto"/>
        </w:rPr>
        <w:t xml:space="preserve">Executive agrees that the release set forth in this section shall be and remain in effect in all respects as a complete general release as to the matters released. This release does not extend to any obligations incurred under this Agreement or the Equity Award agreements. This release does not release claims or rights that cannot be released as a matter of law, including, but not limited to, (i) claims under Division 3, Article 2 of the California Labor Code (which includes California Labor Code Section 2802 regarding indemnity for necessary expenditures or losses by Executive) any other indemnification, defense, or hold-harmless rights Executive may have, (ii) Executive’s right to bring to the attention of the Equal Employment Opportunity Commission or California Department of Fair Employment and Housing claims of discrimination, harassment or retaliation;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Executive does release her right to obtain damages for any such claims; and (iii) Executive’s right to communicate or cooperate</w:t>
      </w:r>
      <w:r>
        <w:rPr>
          <w:rFonts w:ascii="Arial" w:cs="Arial" w:eastAsia="Arial" w:hAnsi="Arial"/>
          <w:sz w:val="16"/>
          <w:szCs w:val="16"/>
          <w:i w:val="1"/>
          <w:iCs w:val="1"/>
          <w:color w:val="auto"/>
        </w:rPr>
        <w:t xml:space="preserve"> </w:t>
      </w:r>
      <w:r>
        <w:rPr>
          <w:rFonts w:ascii="Arial" w:cs="Arial" w:eastAsia="Arial" w:hAnsi="Arial"/>
          <w:sz w:val="16"/>
          <w:szCs w:val="16"/>
          <w:color w:val="auto"/>
        </w:rPr>
        <w:t>with any government agency. This release does not release claims or rights that the Executive may have as a shareholder of the Company or for benefits under any benefit plan or to participation in any such plan pursuant to the terms thereof or applicable law.</w:t>
      </w:r>
    </w:p>
    <w:p>
      <w:pPr>
        <w:spacing w:after="0" w:line="166" w:lineRule="exact"/>
        <w:rPr>
          <w:rFonts w:ascii="Arial" w:cs="Arial" w:eastAsia="Arial" w:hAnsi="Arial"/>
          <w:sz w:val="16"/>
          <w:szCs w:val="16"/>
          <w:color w:val="auto"/>
        </w:rPr>
      </w:pPr>
    </w:p>
    <w:p>
      <w:pPr>
        <w:ind w:left="-460" w:firstLine="881"/>
        <w:spacing w:after="0" w:line="268" w:lineRule="auto"/>
        <w:tabs>
          <w:tab w:leader="none" w:pos="796" w:val="left"/>
        </w:tabs>
        <w:numPr>
          <w:ilvl w:val="0"/>
          <w:numId w:val="60"/>
        </w:numPr>
        <w:rPr>
          <w:rFonts w:ascii="Arial" w:cs="Arial" w:eastAsia="Arial" w:hAnsi="Arial"/>
          <w:sz w:val="17"/>
          <w:szCs w:val="17"/>
          <w:color w:val="auto"/>
        </w:rPr>
      </w:pPr>
      <w:r>
        <w:rPr>
          <w:rFonts w:ascii="Arial" w:cs="Arial" w:eastAsia="Arial" w:hAnsi="Arial"/>
          <w:sz w:val="17"/>
          <w:szCs w:val="17"/>
          <w:u w:val="single" w:color="auto"/>
          <w:color w:val="auto"/>
        </w:rPr>
        <w:t>Acknowledgment of Waiver of Claims under ADEA</w:t>
      </w:r>
      <w:r>
        <w:rPr>
          <w:rFonts w:ascii="Arial" w:cs="Arial" w:eastAsia="Arial" w:hAnsi="Arial"/>
          <w:sz w:val="17"/>
          <w:szCs w:val="17"/>
          <w:color w:val="auto"/>
        </w:rPr>
        <w:t>. Executive acknowledges that he is waiving and releasing any rights he may have under the Age Discrimination in Employment Act of 1967 (“ADEA”), and that this waiver and release is knowing and voluntary. Executive acknowledges that this waiver and release does not apply to any rights or claims that may arise under the ADEA after the Effective Date of this Release. Executive acknowledges that the consideration given for this waiver and release is in addition to anything of value to which Executive was already entitled. Executive further acknowledges that he has been advised by this writing that: (a) he should consult with an attorney prior to executing this Release (ii) he has twenty-one (21) days within which to consider this Release; (iii) he has seven (7) days following his execution of this Release to revoke this Release; (iv) this Release shall not be effective until after the revocation period has expired and Executive will not receive the severance and other benefits provided by Section 3 of the Transition and Separation Agreement until after the revocation period has lapsed; and (v) nothing in this Release prevents or precludes Executive from challenging or seeking a determination in good faith of the validity of this waiver under the ADEA, nor does it impose any condition precedent, penalties, or costs for doing so, unless specifically authorized by federal law. In the event Executive signs this Release and returns it to the Company’s General Counsel in less than the 21-day period identified above, Executive hereby acknowledges that he has freely and voluntarily chosen to waive the time period allotted for considering this Release. To revoke his acceptance of this Release, Executive must contact the Company’s General Counsel by email at egrammer@ardelyx.com no later than 5 p.m. Pacific time on the 7th day following Executive’s signature of this Release.</w:t>
      </w:r>
    </w:p>
    <w:p>
      <w:pPr>
        <w:sectPr>
          <w:pgSz w:w="11900" w:h="16838" w:orient="portrait"/>
          <w:cols w:equalWidth="0" w:num="1">
            <w:col w:w="10480"/>
          </w:cols>
          <w:pgMar w:left="1160" w:top="274" w:right="259" w:bottom="1440" w:gutter="0" w:footer="0" w:header="0"/>
        </w:sectPr>
      </w:pPr>
    </w:p>
    <w:bookmarkStart w:id="58" w:name="page59"/>
    <w:bookmarkEnd w:id="58"/>
    <w:p>
      <w:pPr>
        <w:ind w:left="460" w:right="100" w:firstLine="881"/>
        <w:spacing w:after="0" w:line="277" w:lineRule="auto"/>
        <w:tabs>
          <w:tab w:leader="none" w:pos="1726" w:val="left"/>
        </w:tabs>
        <w:numPr>
          <w:ilvl w:val="0"/>
          <w:numId w:val="6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Executive acknowledges that he has been advised to consult with legal counsel and is familiar with the provisions of California Civil Code Section 1542, a statute that otherwise prohibits unknown claims, which provides as follows:</w:t>
      </w:r>
    </w:p>
    <w:p>
      <w:pPr>
        <w:spacing w:after="0" w:line="62" w:lineRule="exact"/>
        <w:rPr>
          <w:sz w:val="20"/>
          <w:szCs w:val="20"/>
          <w:color w:val="auto"/>
        </w:rPr>
      </w:pPr>
    </w:p>
    <w:p>
      <w:pPr>
        <w:ind w:left="920" w:right="220"/>
        <w:spacing w:after="0" w:line="264" w:lineRule="auto"/>
        <w:rPr>
          <w:sz w:val="20"/>
          <w:szCs w:val="20"/>
          <w:color w:val="auto"/>
        </w:rPr>
      </w:pPr>
      <w:r>
        <w:rPr>
          <w:rFonts w:ascii="Arial" w:cs="Arial" w:eastAsia="Arial" w:hAnsi="Arial"/>
          <w:sz w:val="18"/>
          <w:szCs w:val="18"/>
          <w:color w:val="auto"/>
        </w:rPr>
        <w:t>A GENERAL RELEASE DOES NOT EXTEND TO CLAIMS WHICH THE CREDITOR DOES NOT KNOW OR SUSPECT TO EXIST IN HIS OR HER FAVOR AT THE TIME OF EXECUTING THE RELEASE, WHICH IF KNOWN BY HIM OR HER MUST HAVE MATERIALLY AFFECTED HIS OR HER SETTLEMENT WITH THE DEBTOR.</w:t>
      </w:r>
    </w:p>
    <w:p>
      <w:pPr>
        <w:spacing w:after="0" w:line="181" w:lineRule="exact"/>
        <w:rPr>
          <w:sz w:val="20"/>
          <w:szCs w:val="20"/>
          <w:color w:val="auto"/>
        </w:rPr>
      </w:pPr>
    </w:p>
    <w:p>
      <w:pPr>
        <w:ind w:right="660" w:firstLine="456"/>
        <w:spacing w:after="0" w:line="277" w:lineRule="auto"/>
        <w:rPr>
          <w:sz w:val="20"/>
          <w:szCs w:val="20"/>
          <w:color w:val="auto"/>
        </w:rPr>
      </w:pPr>
      <w:r>
        <w:rPr>
          <w:rFonts w:ascii="Arial" w:cs="Arial" w:eastAsia="Arial" w:hAnsi="Arial"/>
          <w:sz w:val="18"/>
          <w:szCs w:val="18"/>
          <w:color w:val="auto"/>
        </w:rPr>
        <w:t>Executive, being aware of said code section, agrees to expressly waive any rights he may have thereunder, as well as under any other statute or common law principles of similar effect.</w:t>
      </w:r>
    </w:p>
    <w:p>
      <w:pPr>
        <w:spacing w:after="0" w:line="170" w:lineRule="exact"/>
        <w:rPr>
          <w:sz w:val="20"/>
          <w:szCs w:val="20"/>
          <w:color w:val="auto"/>
        </w:rPr>
      </w:pPr>
    </w:p>
    <w:p>
      <w:pPr>
        <w:ind w:left="1240" w:hanging="319"/>
        <w:spacing w:after="0"/>
        <w:tabs>
          <w:tab w:leader="none" w:pos="1240"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Executive Representations</w:t>
      </w:r>
      <w:r>
        <w:rPr>
          <w:rFonts w:ascii="Arial" w:cs="Arial" w:eastAsia="Arial" w:hAnsi="Arial"/>
          <w:sz w:val="18"/>
          <w:szCs w:val="18"/>
          <w:color w:val="auto"/>
        </w:rPr>
        <w:t>. Executive represents and warrants that:</w:t>
      </w:r>
    </w:p>
    <w:p>
      <w:pPr>
        <w:spacing w:after="0" w:line="225" w:lineRule="exact"/>
        <w:rPr>
          <w:rFonts w:ascii="Arial" w:cs="Arial" w:eastAsia="Arial" w:hAnsi="Arial"/>
          <w:sz w:val="18"/>
          <w:szCs w:val="18"/>
          <w:color w:val="auto"/>
        </w:rPr>
      </w:pPr>
    </w:p>
    <w:p>
      <w:pPr>
        <w:ind w:left="460" w:right="400" w:firstLine="881"/>
        <w:spacing w:after="0" w:line="277" w:lineRule="auto"/>
        <w:tabs>
          <w:tab w:leader="none" w:pos="1713" w:val="left"/>
        </w:tabs>
        <w:numPr>
          <w:ilvl w:val="1"/>
          <w:numId w:val="62"/>
        </w:numPr>
        <w:rPr>
          <w:rFonts w:ascii="Arial" w:cs="Arial" w:eastAsia="Arial" w:hAnsi="Arial"/>
          <w:sz w:val="18"/>
          <w:szCs w:val="18"/>
          <w:color w:val="auto"/>
        </w:rPr>
      </w:pPr>
      <w:r>
        <w:rPr>
          <w:rFonts w:ascii="Arial" w:cs="Arial" w:eastAsia="Arial" w:hAnsi="Arial"/>
          <w:sz w:val="18"/>
          <w:szCs w:val="18"/>
          <w:color w:val="auto"/>
        </w:rPr>
        <w:t>To the Executive’s knowledge, Executive has returned to the Company all Company property in Executive’s possession and if he discovers additional property in his possession he will promptly return it to the Company;</w:t>
      </w:r>
    </w:p>
    <w:p>
      <w:pPr>
        <w:spacing w:after="0" w:line="170" w:lineRule="exact"/>
        <w:rPr>
          <w:rFonts w:ascii="Arial" w:cs="Arial" w:eastAsia="Arial" w:hAnsi="Arial"/>
          <w:sz w:val="18"/>
          <w:szCs w:val="18"/>
          <w:color w:val="auto"/>
        </w:rPr>
      </w:pPr>
    </w:p>
    <w:p>
      <w:pPr>
        <w:ind w:left="460" w:right="980" w:firstLine="881"/>
        <w:spacing w:after="0" w:line="308" w:lineRule="auto"/>
        <w:tabs>
          <w:tab w:leader="none" w:pos="1726" w:val="left"/>
        </w:tabs>
        <w:numPr>
          <w:ilvl w:val="1"/>
          <w:numId w:val="62"/>
        </w:numPr>
        <w:rPr>
          <w:rFonts w:ascii="Arial" w:cs="Arial" w:eastAsia="Arial" w:hAnsi="Arial"/>
          <w:sz w:val="17"/>
          <w:szCs w:val="17"/>
          <w:color w:val="auto"/>
        </w:rPr>
      </w:pPr>
      <w:r>
        <w:rPr>
          <w:rFonts w:ascii="Arial" w:cs="Arial" w:eastAsia="Arial" w:hAnsi="Arial"/>
          <w:sz w:val="17"/>
          <w:szCs w:val="17"/>
          <w:color w:val="auto"/>
        </w:rPr>
        <w:t>Except as Executive has informed the Company in writing, Executive is not owed wages, commissions, bonuses or other compensation, other than any payments that become due under Section 3 of the Transition and Separation Agreement;</w:t>
      </w:r>
    </w:p>
    <w:p>
      <w:pPr>
        <w:spacing w:after="0" w:line="146" w:lineRule="exact"/>
        <w:rPr>
          <w:rFonts w:ascii="Arial" w:cs="Arial" w:eastAsia="Arial" w:hAnsi="Arial"/>
          <w:sz w:val="17"/>
          <w:szCs w:val="17"/>
          <w:color w:val="auto"/>
        </w:rPr>
      </w:pPr>
    </w:p>
    <w:p>
      <w:pPr>
        <w:ind w:left="460" w:right="160" w:firstLine="881"/>
        <w:spacing w:after="0" w:line="264" w:lineRule="auto"/>
        <w:tabs>
          <w:tab w:leader="none" w:pos="1716" w:val="left"/>
        </w:tabs>
        <w:numPr>
          <w:ilvl w:val="1"/>
          <w:numId w:val="62"/>
        </w:numPr>
        <w:rPr>
          <w:rFonts w:ascii="Arial" w:cs="Arial" w:eastAsia="Arial" w:hAnsi="Arial"/>
          <w:sz w:val="18"/>
          <w:szCs w:val="18"/>
          <w:color w:val="auto"/>
        </w:rPr>
      </w:pPr>
      <w:r>
        <w:rPr>
          <w:rFonts w:ascii="Arial" w:cs="Arial" w:eastAsia="Arial" w:hAnsi="Arial"/>
          <w:sz w:val="18"/>
          <w:szCs w:val="18"/>
          <w:color w:val="auto"/>
        </w:rPr>
        <w:t>During the course of Executive’s employment, Executive did not sustain any injuries for which Executive might be entitled to compensation pursuant to worker’s compensation law or Executive has disclosed any injuries of which he is currently, reasonably aware for which he might be entitled to compensation pursuant to worker’s compensation law;</w:t>
      </w:r>
    </w:p>
    <w:p>
      <w:pPr>
        <w:spacing w:after="0" w:line="181" w:lineRule="exact"/>
        <w:rPr>
          <w:rFonts w:ascii="Arial" w:cs="Arial" w:eastAsia="Arial" w:hAnsi="Arial"/>
          <w:sz w:val="18"/>
          <w:szCs w:val="18"/>
          <w:color w:val="auto"/>
        </w:rPr>
      </w:pPr>
    </w:p>
    <w:p>
      <w:pPr>
        <w:ind w:left="460" w:right="620" w:firstLine="881"/>
        <w:spacing w:after="0" w:line="277" w:lineRule="auto"/>
        <w:tabs>
          <w:tab w:leader="none" w:pos="1726" w:val="left"/>
        </w:tabs>
        <w:numPr>
          <w:ilvl w:val="1"/>
          <w:numId w:val="62"/>
        </w:numPr>
        <w:rPr>
          <w:rFonts w:ascii="Arial" w:cs="Arial" w:eastAsia="Arial" w:hAnsi="Arial"/>
          <w:sz w:val="18"/>
          <w:szCs w:val="18"/>
          <w:color w:val="auto"/>
        </w:rPr>
      </w:pPr>
      <w:r>
        <w:rPr>
          <w:rFonts w:ascii="Arial" w:cs="Arial" w:eastAsia="Arial" w:hAnsi="Arial"/>
          <w:sz w:val="18"/>
          <w:szCs w:val="18"/>
          <w:color w:val="auto"/>
        </w:rPr>
        <w:t>From the date Executive executed the Transition and Separation Agreement through the date Executive executes this Release, Executive has not made any disparaging comments about the Company, nor will Executive do so in the future; and</w:t>
      </w:r>
    </w:p>
    <w:p>
      <w:pPr>
        <w:spacing w:after="0" w:line="170" w:lineRule="exact"/>
        <w:rPr>
          <w:rFonts w:ascii="Arial" w:cs="Arial" w:eastAsia="Arial" w:hAnsi="Arial"/>
          <w:sz w:val="18"/>
          <w:szCs w:val="18"/>
          <w:color w:val="auto"/>
        </w:rPr>
      </w:pPr>
    </w:p>
    <w:p>
      <w:pPr>
        <w:ind w:left="460" w:firstLine="881"/>
        <w:spacing w:after="0" w:line="308" w:lineRule="auto"/>
        <w:tabs>
          <w:tab w:leader="none" w:pos="1716" w:val="left"/>
        </w:tabs>
        <w:numPr>
          <w:ilvl w:val="1"/>
          <w:numId w:val="62"/>
        </w:numPr>
        <w:rPr>
          <w:rFonts w:ascii="Arial" w:cs="Arial" w:eastAsia="Arial" w:hAnsi="Arial"/>
          <w:sz w:val="17"/>
          <w:szCs w:val="17"/>
          <w:color w:val="auto"/>
        </w:rPr>
      </w:pPr>
      <w:r>
        <w:rPr>
          <w:rFonts w:ascii="Arial" w:cs="Arial" w:eastAsia="Arial" w:hAnsi="Arial"/>
          <w:sz w:val="17"/>
          <w:szCs w:val="17"/>
          <w:color w:val="auto"/>
        </w:rPr>
        <w:t>Executive has not initiated any adversarial proceedings of any kind against the Company or against any other person or entity released herein, nor will Executive do so in the future with respect to any claims released hereby, except as specifically allowed by this Release.</w:t>
      </w:r>
    </w:p>
    <w:p>
      <w:pPr>
        <w:spacing w:after="0" w:line="146" w:lineRule="exact"/>
        <w:rPr>
          <w:rFonts w:ascii="Arial" w:cs="Arial" w:eastAsia="Arial" w:hAnsi="Arial"/>
          <w:sz w:val="17"/>
          <w:szCs w:val="17"/>
          <w:color w:val="auto"/>
        </w:rPr>
      </w:pPr>
    </w:p>
    <w:p>
      <w:pPr>
        <w:ind w:right="220" w:firstLine="921"/>
        <w:spacing w:after="0" w:line="277" w:lineRule="auto"/>
        <w:tabs>
          <w:tab w:leader="none" w:pos="1228"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Continuing Obligations</w:t>
      </w:r>
      <w:r>
        <w:rPr>
          <w:rFonts w:ascii="Arial" w:cs="Arial" w:eastAsia="Arial" w:hAnsi="Arial"/>
          <w:sz w:val="18"/>
          <w:szCs w:val="18"/>
          <w:color w:val="auto"/>
        </w:rPr>
        <w:t>. Executive reaffirms his obligations to cooperate with the Company pursuant to Section 14 of the Transition and Separation Agreement.</w:t>
      </w:r>
    </w:p>
    <w:p>
      <w:pPr>
        <w:spacing w:after="0" w:line="170" w:lineRule="exact"/>
        <w:rPr>
          <w:rFonts w:ascii="Arial" w:cs="Arial" w:eastAsia="Arial" w:hAnsi="Arial"/>
          <w:sz w:val="18"/>
          <w:szCs w:val="18"/>
          <w:color w:val="auto"/>
        </w:rPr>
      </w:pPr>
    </w:p>
    <w:p>
      <w:pPr>
        <w:ind w:right="380" w:firstLine="921"/>
        <w:spacing w:after="0" w:line="277" w:lineRule="auto"/>
        <w:tabs>
          <w:tab w:leader="none" w:pos="1228"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The provisions of this Release are severable. If any provision is held to be invalid or unenforceable, it shall not affect the validity or enforceability of any other provision.</w:t>
      </w:r>
    </w:p>
    <w:p>
      <w:pPr>
        <w:spacing w:after="0" w:line="170" w:lineRule="exact"/>
        <w:rPr>
          <w:rFonts w:ascii="Arial" w:cs="Arial" w:eastAsia="Arial" w:hAnsi="Arial"/>
          <w:sz w:val="18"/>
          <w:szCs w:val="18"/>
          <w:color w:val="auto"/>
        </w:rPr>
      </w:pPr>
    </w:p>
    <w:p>
      <w:pPr>
        <w:ind w:right="40" w:firstLine="921"/>
        <w:spacing w:after="0" w:line="277" w:lineRule="auto"/>
        <w:tabs>
          <w:tab w:leader="none" w:pos="1228"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Choice of Law</w:t>
      </w:r>
      <w:r>
        <w:rPr>
          <w:rFonts w:ascii="Arial" w:cs="Arial" w:eastAsia="Arial" w:hAnsi="Arial"/>
          <w:sz w:val="18"/>
          <w:szCs w:val="18"/>
          <w:color w:val="auto"/>
        </w:rPr>
        <w:t>. This Release shall in all respects be governed and construed in accordance with the laws of the State of California, including all matters of construction, validity and performance, without regard to conflicts of law principles.</w:t>
      </w:r>
    </w:p>
    <w:p>
      <w:pPr>
        <w:sectPr>
          <w:pgSz w:w="11900" w:h="16838" w:orient="portrait"/>
          <w:cols w:equalWidth="0" w:num="1">
            <w:col w:w="11400"/>
          </w:cols>
          <w:pgMar w:left="240" w:top="274" w:right="259" w:bottom="1440" w:gutter="0" w:footer="0" w:header="0"/>
        </w:sectPr>
      </w:pPr>
    </w:p>
    <w:bookmarkStart w:id="59" w:name="page60"/>
    <w:bookmarkEnd w:id="59"/>
    <w:p>
      <w:pPr>
        <w:ind w:left="-20" w:firstLine="921"/>
        <w:spacing w:after="0" w:line="259" w:lineRule="auto"/>
        <w:tabs>
          <w:tab w:leader="none" w:pos="1208"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Integration Clause</w:t>
      </w:r>
      <w:r>
        <w:rPr>
          <w:rFonts w:ascii="Arial" w:cs="Arial" w:eastAsia="Arial" w:hAnsi="Arial"/>
          <w:sz w:val="18"/>
          <w:szCs w:val="18"/>
          <w:color w:val="auto"/>
        </w:rPr>
        <w:t>. This Release and the Transition and Separation Agreement, the Confidential Information Agreement, and the Equity Award agreements contain the Parties entire agreement with regard to the transition and separation of Executive’s employment, and supersede and replace any prior agreements as to those matters, whether oral or written. This Release may not be changed or modified, in whole or in part, except as an instrument in writing signed by Executive and the President&amp; Chief Executive Officer of the Company.</w:t>
      </w:r>
    </w:p>
    <w:p>
      <w:pPr>
        <w:spacing w:after="0" w:line="186" w:lineRule="exact"/>
        <w:rPr>
          <w:rFonts w:ascii="Arial" w:cs="Arial" w:eastAsia="Arial" w:hAnsi="Arial"/>
          <w:sz w:val="18"/>
          <w:szCs w:val="18"/>
          <w:color w:val="auto"/>
        </w:rPr>
      </w:pPr>
    </w:p>
    <w:p>
      <w:pPr>
        <w:ind w:left="-20" w:right="400" w:firstLine="921"/>
        <w:spacing w:after="0" w:line="277" w:lineRule="auto"/>
        <w:tabs>
          <w:tab w:leader="none" w:pos="1208"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Execution in Counterparts</w:t>
      </w:r>
      <w:r>
        <w:rPr>
          <w:rFonts w:ascii="Arial" w:cs="Arial" w:eastAsia="Arial" w:hAnsi="Arial"/>
          <w:sz w:val="18"/>
          <w:szCs w:val="18"/>
          <w:color w:val="auto"/>
        </w:rPr>
        <w:t>. This Release may be executed in counterparts with the same force and effectiveness as though executed in a single document.</w:t>
      </w:r>
    </w:p>
    <w:p>
      <w:pPr>
        <w:spacing w:after="0" w:line="170" w:lineRule="exact"/>
        <w:rPr>
          <w:rFonts w:ascii="Arial" w:cs="Arial" w:eastAsia="Arial" w:hAnsi="Arial"/>
          <w:sz w:val="18"/>
          <w:szCs w:val="18"/>
          <w:color w:val="auto"/>
        </w:rPr>
      </w:pPr>
    </w:p>
    <w:p>
      <w:pPr>
        <w:ind w:left="-20" w:right="280" w:firstLine="921"/>
        <w:spacing w:after="0" w:line="277" w:lineRule="auto"/>
        <w:tabs>
          <w:tab w:leader="none" w:pos="1208"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Intent to be Bound</w:t>
      </w:r>
      <w:r>
        <w:rPr>
          <w:rFonts w:ascii="Arial" w:cs="Arial" w:eastAsia="Arial" w:hAnsi="Arial"/>
          <w:sz w:val="18"/>
          <w:szCs w:val="18"/>
          <w:color w:val="auto"/>
        </w:rPr>
        <w:t>. The Parties have carefully read this Release in its entirely; fully understand and agree to its terms and provisions; and intend and agree that is final and binding on all Parites.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page(s) follow)</w:t>
      </w:r>
    </w:p>
    <w:p>
      <w:pPr>
        <w:sectPr>
          <w:pgSz w:w="11900" w:h="16838" w:orient="portrait"/>
          <w:cols w:equalWidth="0" w:num="1">
            <w:col w:w="11380"/>
          </w:cols>
          <w:pgMar w:left="260" w:top="274" w:right="259" w:bottom="1440" w:gutter="0" w:footer="0" w:header="0"/>
        </w:sectPr>
      </w:pPr>
    </w:p>
    <w:bookmarkStart w:id="60" w:name="page61"/>
    <w:bookmarkEnd w:id="6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and intending to be legally bound, the Parties have executed the foregoing on the dates shown below.</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DATED: ______________,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160655</wp:posOffset>
            </wp:positionV>
            <wp:extent cx="349885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98850" cy="8890"/>
                    </a:xfrm>
                    <a:prstGeom prst="rect">
                      <a:avLst/>
                    </a:prstGeom>
                    <a:noFill/>
                  </pic:spPr>
                </pic:pic>
              </a:graphicData>
            </a:graphic>
          </wp:anchor>
        </w:drawing>
      </w:r>
    </w:p>
    <w:p>
      <w:pPr>
        <w:spacing w:after="0" w:line="27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Paul Korner, M.D.</w:t>
      </w:r>
    </w:p>
    <w:p>
      <w:pPr>
        <w:spacing w:after="0" w:line="239"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ARDELYX,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DATED: ______________, 2017</w:t>
      </w:r>
    </w:p>
    <w:p>
      <w:pPr>
        <w:spacing w:after="0" w:line="211"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48895</wp:posOffset>
            </wp:positionV>
            <wp:extent cx="32588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97"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Michael Raab, President &amp; CEO</w:t>
      </w:r>
    </w:p>
    <w:p>
      <w:pPr>
        <w:sectPr>
          <w:pgSz w:w="11900" w:h="16838" w:orient="portrait"/>
          <w:cols w:equalWidth="0" w:num="1">
            <w:col w:w="10219"/>
          </w:cols>
          <w:pgMar w:left="240" w:top="274" w:right="1440"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Michael Raab, certify that:</w:t>
      </w:r>
    </w:p>
    <w:p>
      <w:pPr>
        <w:spacing w:after="0" w:line="131" w:lineRule="exact"/>
        <w:rPr>
          <w:sz w:val="20"/>
          <w:szCs w:val="20"/>
          <w:color w:val="auto"/>
        </w:rPr>
      </w:pPr>
    </w:p>
    <w:p>
      <w:pPr>
        <w:ind w:left="460" w:hanging="452"/>
        <w:spacing w:after="0"/>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Ardelyx,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6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380" w:hanging="452"/>
        <w:spacing w:after="0" w:line="308" w:lineRule="auto"/>
        <w:tabs>
          <w:tab w:leader="none" w:pos="4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1480" w:right="460" w:hanging="567"/>
        <w:spacing w:after="0" w:line="342" w:lineRule="auto"/>
        <w:tabs>
          <w:tab w:leader="none" w:pos="1480" w:val="left"/>
        </w:tabs>
        <w:numPr>
          <w:ilvl w:val="2"/>
          <w:numId w:val="6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480" w:right="140" w:hanging="567"/>
        <w:spacing w:after="0" w:line="277" w:lineRule="auto"/>
        <w:tabs>
          <w:tab w:leader="none" w:pos="1480" w:val="left"/>
        </w:tabs>
        <w:numPr>
          <w:ilvl w:val="2"/>
          <w:numId w:val="6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5880" w:val="left"/>
          <w:tab w:leader="none" w:pos="8220" w:val="left"/>
        </w:tabs>
        <w:rPr>
          <w:sz w:val="20"/>
          <w:szCs w:val="20"/>
          <w:color w:val="auto"/>
        </w:rPr>
      </w:pPr>
      <w:r>
        <w:rPr>
          <w:rFonts w:ascii="Arial" w:cs="Arial" w:eastAsia="Arial" w:hAnsi="Arial"/>
          <w:sz w:val="18"/>
          <w:szCs w:val="18"/>
          <w:color w:val="auto"/>
        </w:rPr>
        <w:t>Date: November 7,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Raab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2" w:lineRule="exact"/>
        <w:rPr>
          <w:sz w:val="20"/>
          <w:szCs w:val="20"/>
          <w:color w:val="auto"/>
        </w:rPr>
      </w:pPr>
    </w:p>
    <w:p>
      <w:pPr>
        <w:jc w:val="center"/>
        <w:ind w:left="6280"/>
        <w:spacing w:after="0"/>
        <w:rPr>
          <w:sz w:val="20"/>
          <w:szCs w:val="20"/>
          <w:color w:val="auto"/>
        </w:rPr>
      </w:pPr>
      <w:r>
        <w:rPr>
          <w:rFonts w:ascii="Arial" w:cs="Arial" w:eastAsia="Arial" w:hAnsi="Arial"/>
          <w:sz w:val="18"/>
          <w:szCs w:val="18"/>
          <w:b w:val="1"/>
          <w:bCs w:val="1"/>
          <w:color w:val="auto"/>
        </w:rPr>
        <w:t>Michael Raab</w:t>
      </w:r>
    </w:p>
    <w:p>
      <w:pPr>
        <w:spacing w:after="0" w:line="27" w:lineRule="exact"/>
        <w:rPr>
          <w:sz w:val="20"/>
          <w:szCs w:val="20"/>
          <w:color w:val="auto"/>
        </w:rPr>
      </w:pPr>
    </w:p>
    <w:p>
      <w:pPr>
        <w:jc w:val="center"/>
        <w:ind w:left="6280"/>
        <w:spacing w:after="0"/>
        <w:rPr>
          <w:sz w:val="20"/>
          <w:szCs w:val="20"/>
          <w:color w:val="auto"/>
        </w:rPr>
      </w:pPr>
      <w:r>
        <w:rPr>
          <w:rFonts w:ascii="Arial" w:cs="Arial" w:eastAsia="Arial" w:hAnsi="Arial"/>
          <w:sz w:val="18"/>
          <w:szCs w:val="18"/>
          <w:b w:val="1"/>
          <w:bCs w:val="1"/>
          <w:color w:val="auto"/>
        </w:rPr>
        <w:t>President Chief Executive Officer and Director</w:t>
      </w:r>
    </w:p>
    <w:p>
      <w:pPr>
        <w:spacing w:after="0" w:line="9" w:lineRule="exact"/>
        <w:rPr>
          <w:sz w:val="20"/>
          <w:szCs w:val="20"/>
          <w:color w:val="auto"/>
        </w:rPr>
      </w:pPr>
    </w:p>
    <w:p>
      <w:pPr>
        <w:jc w:val="center"/>
        <w:ind w:left="628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420"/>
          </w:cols>
          <w:pgMar w:left="240" w:top="121"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Mark Kaufmann, certify that:</w:t>
      </w:r>
    </w:p>
    <w:p>
      <w:pPr>
        <w:spacing w:after="0" w:line="131" w:lineRule="exact"/>
        <w:rPr>
          <w:sz w:val="20"/>
          <w:szCs w:val="20"/>
          <w:color w:val="auto"/>
        </w:rPr>
      </w:pPr>
    </w:p>
    <w:p>
      <w:pPr>
        <w:ind w:left="460" w:hanging="452"/>
        <w:spacing w:after="0"/>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Ardelyx,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6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380" w:hanging="452"/>
        <w:spacing w:after="0" w:line="308" w:lineRule="auto"/>
        <w:tabs>
          <w:tab w:leader="none" w:pos="4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5880" w:val="left"/>
          <w:tab w:leader="none" w:pos="8120" w:val="left"/>
        </w:tabs>
        <w:rPr>
          <w:sz w:val="20"/>
          <w:szCs w:val="20"/>
          <w:color w:val="auto"/>
        </w:rPr>
      </w:pPr>
      <w:r>
        <w:rPr>
          <w:rFonts w:ascii="Arial" w:cs="Arial" w:eastAsia="Arial" w:hAnsi="Arial"/>
          <w:sz w:val="18"/>
          <w:szCs w:val="18"/>
          <w:color w:val="auto"/>
        </w:rPr>
        <w:t>Date: November 7,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Mark Kaufmann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0" w:lineRule="exact"/>
        <w:rPr>
          <w:sz w:val="20"/>
          <w:szCs w:val="20"/>
          <w:color w:val="auto"/>
        </w:rPr>
      </w:pPr>
    </w:p>
    <w:p>
      <w:pPr>
        <w:jc w:val="center"/>
        <w:ind w:left="6280"/>
        <w:spacing w:after="0"/>
        <w:rPr>
          <w:sz w:val="20"/>
          <w:szCs w:val="20"/>
          <w:color w:val="auto"/>
        </w:rPr>
      </w:pPr>
      <w:r>
        <w:rPr>
          <w:rFonts w:ascii="Arial" w:cs="Arial" w:eastAsia="Arial" w:hAnsi="Arial"/>
          <w:sz w:val="18"/>
          <w:szCs w:val="18"/>
          <w:b w:val="1"/>
          <w:bCs w:val="1"/>
          <w:color w:val="auto"/>
        </w:rPr>
        <w:t>Mark Kaufmann</w:t>
      </w:r>
    </w:p>
    <w:p>
      <w:pPr>
        <w:spacing w:after="0" w:line="9" w:lineRule="exact"/>
        <w:rPr>
          <w:sz w:val="20"/>
          <w:szCs w:val="20"/>
          <w:color w:val="auto"/>
        </w:rPr>
      </w:pPr>
    </w:p>
    <w:p>
      <w:pPr>
        <w:jc w:val="center"/>
        <w:ind w:left="628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left="6280"/>
        <w:spacing w:after="0"/>
        <w:rPr>
          <w:sz w:val="20"/>
          <w:szCs w:val="20"/>
          <w:color w:val="auto"/>
        </w:rPr>
      </w:pPr>
      <w:r>
        <w:rPr>
          <w:rFonts w:ascii="Arial" w:cs="Arial" w:eastAsia="Arial" w:hAnsi="Arial"/>
          <w:sz w:val="18"/>
          <w:szCs w:val="18"/>
          <w:b w:val="1"/>
          <w:bCs w:val="1"/>
          <w:color w:val="auto"/>
        </w:rPr>
        <w:t>(Principal Financial Officer)</w:t>
      </w:r>
    </w:p>
    <w:p>
      <w:pPr>
        <w:sectPr>
          <w:pgSz w:w="11900" w:h="16838" w:orient="portrait"/>
          <w:cols w:equalWidth="0" w:num="1">
            <w:col w:w="11420"/>
          </w:cols>
          <w:pgMar w:left="240" w:top="121"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In connection with the Quarterly Report of Ardelyx, Inc. (the “Company”) on Form 10-Q for the period ending September 30, 2017, as filed with the Securities and Exchange Commission on the date hereof (the “Report”), Michael Raab, President and Chief Executive Officer of the Company, and Mark Kaufmann, Chief Financial Officer of the Company, respectively, do each hereby certify, pursuant to 18 U.S.C. Section 1350, as adopted pursuant to Section 906 of the Sarbanes-Oxley Act of 2002, that:</w:t>
      </w:r>
    </w:p>
    <w:p>
      <w:pPr>
        <w:spacing w:after="0" w:line="92" w:lineRule="exact"/>
        <w:rPr>
          <w:sz w:val="20"/>
          <w:szCs w:val="20"/>
          <w:color w:val="auto"/>
        </w:rPr>
      </w:pPr>
    </w:p>
    <w:p>
      <w:pPr>
        <w:ind w:left="1140" w:hanging="565"/>
        <w:spacing w:after="0"/>
        <w:tabs>
          <w:tab w:leader="none" w:pos="11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1140" w:right="680" w:hanging="565"/>
        <w:spacing w:after="0" w:line="277" w:lineRule="auto"/>
        <w:tabs>
          <w:tab w:leader="none" w:pos="11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Date: November 7, 2017</w:t>
            </w:r>
          </w:p>
        </w:tc>
        <w:tc>
          <w:tcPr>
            <w:tcW w:w="2420" w:type="dxa"/>
            <w:vAlign w:val="bottom"/>
          </w:tcPr>
          <w:p>
            <w:pPr>
              <w:ind w:left="1840"/>
              <w:spacing w:after="0"/>
              <w:rPr>
                <w:sz w:val="20"/>
                <w:szCs w:val="20"/>
                <w:color w:val="auto"/>
              </w:rPr>
            </w:pPr>
            <w:r>
              <w:rPr>
                <w:rFonts w:ascii="Arial" w:cs="Arial" w:eastAsia="Arial" w:hAnsi="Arial"/>
                <w:sz w:val="18"/>
                <w:szCs w:val="18"/>
                <w:color w:val="auto"/>
              </w:rPr>
              <w:t>By:</w:t>
            </w:r>
          </w:p>
        </w:tc>
        <w:tc>
          <w:tcPr>
            <w:tcW w:w="5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Michael Raab</w:t>
            </w:r>
          </w:p>
        </w:tc>
      </w:tr>
      <w:tr>
        <w:trPr>
          <w:trHeight w:val="205"/>
        </w:trPr>
        <w:tc>
          <w:tcPr>
            <w:tcW w:w="36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536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93"/>
              </w:rPr>
              <w:t>Michael Raab</w:t>
            </w:r>
          </w:p>
        </w:tc>
      </w:tr>
      <w:tr>
        <w:trPr>
          <w:trHeight w:val="216"/>
        </w:trPr>
        <w:tc>
          <w:tcPr>
            <w:tcW w:w="36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360" w:type="dxa"/>
            <w:vAlign w:val="bottom"/>
          </w:tcPr>
          <w:p>
            <w:pPr>
              <w:jc w:val="center"/>
              <w:spacing w:after="0"/>
              <w:rPr>
                <w:sz w:val="20"/>
                <w:szCs w:val="20"/>
                <w:color w:val="auto"/>
              </w:rPr>
            </w:pPr>
            <w:r>
              <w:rPr>
                <w:rFonts w:ascii="Arial" w:cs="Arial" w:eastAsia="Arial" w:hAnsi="Arial"/>
                <w:sz w:val="18"/>
                <w:szCs w:val="18"/>
                <w:b w:val="1"/>
                <w:bCs w:val="1"/>
                <w:color w:val="auto"/>
                <w:w w:val="91"/>
              </w:rPr>
              <w:t>President Chief Executive Officer and Director</w:t>
            </w:r>
          </w:p>
        </w:tc>
      </w:tr>
      <w:tr>
        <w:trPr>
          <w:trHeight w:val="234"/>
        </w:trPr>
        <w:tc>
          <w:tcPr>
            <w:tcW w:w="36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360" w:type="dxa"/>
            <w:vAlign w:val="bottom"/>
          </w:tcPr>
          <w:p>
            <w:pPr>
              <w:jc w:val="center"/>
              <w:spacing w:after="0"/>
              <w:rPr>
                <w:sz w:val="20"/>
                <w:szCs w:val="20"/>
                <w:color w:val="auto"/>
              </w:rPr>
            </w:pPr>
            <w:r>
              <w:rPr>
                <w:rFonts w:ascii="Arial" w:cs="Arial" w:eastAsia="Arial" w:hAnsi="Arial"/>
                <w:sz w:val="18"/>
                <w:szCs w:val="18"/>
                <w:b w:val="1"/>
                <w:bCs w:val="1"/>
                <w:color w:val="auto"/>
                <w:w w:val="92"/>
              </w:rPr>
              <w:t>(Principal Executive Officer)</w:t>
            </w:r>
          </w:p>
        </w:tc>
      </w:tr>
      <w:tr>
        <w:trPr>
          <w:trHeight w:val="446"/>
        </w:trPr>
        <w:tc>
          <w:tcPr>
            <w:tcW w:w="3640" w:type="dxa"/>
            <w:vAlign w:val="bottom"/>
          </w:tcPr>
          <w:p>
            <w:pPr>
              <w:spacing w:after="0"/>
              <w:rPr>
                <w:sz w:val="20"/>
                <w:szCs w:val="20"/>
                <w:color w:val="auto"/>
              </w:rPr>
            </w:pPr>
            <w:r>
              <w:rPr>
                <w:rFonts w:ascii="Arial" w:cs="Arial" w:eastAsia="Arial" w:hAnsi="Arial"/>
                <w:sz w:val="18"/>
                <w:szCs w:val="18"/>
                <w:color w:val="auto"/>
              </w:rPr>
              <w:t>Date: November 7, 2017</w:t>
            </w:r>
          </w:p>
        </w:tc>
        <w:tc>
          <w:tcPr>
            <w:tcW w:w="2420" w:type="dxa"/>
            <w:vAlign w:val="bottom"/>
          </w:tcPr>
          <w:p>
            <w:pPr>
              <w:ind w:left="1840"/>
              <w:spacing w:after="0"/>
              <w:rPr>
                <w:sz w:val="20"/>
                <w:szCs w:val="20"/>
                <w:color w:val="auto"/>
              </w:rPr>
            </w:pPr>
            <w:r>
              <w:rPr>
                <w:rFonts w:ascii="Arial" w:cs="Arial" w:eastAsia="Arial" w:hAnsi="Arial"/>
                <w:sz w:val="18"/>
                <w:szCs w:val="18"/>
                <w:color w:val="auto"/>
              </w:rPr>
              <w:t>By:</w:t>
            </w:r>
          </w:p>
        </w:tc>
        <w:tc>
          <w:tcPr>
            <w:tcW w:w="5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Mark Kaufmann</w:t>
            </w:r>
          </w:p>
        </w:tc>
      </w:tr>
      <w:tr>
        <w:trPr>
          <w:trHeight w:val="205"/>
        </w:trPr>
        <w:tc>
          <w:tcPr>
            <w:tcW w:w="36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536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97"/>
              </w:rPr>
              <w:t>Mark Kaufmann</w:t>
            </w:r>
          </w:p>
        </w:tc>
      </w:tr>
      <w:tr>
        <w:trPr>
          <w:trHeight w:val="216"/>
        </w:trPr>
        <w:tc>
          <w:tcPr>
            <w:tcW w:w="36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360" w:type="dxa"/>
            <w:vAlign w:val="bottom"/>
          </w:tcPr>
          <w:p>
            <w:pPr>
              <w:jc w:val="center"/>
              <w:spacing w:after="0"/>
              <w:rPr>
                <w:sz w:val="20"/>
                <w:szCs w:val="20"/>
                <w:color w:val="auto"/>
              </w:rPr>
            </w:pPr>
            <w:r>
              <w:rPr>
                <w:rFonts w:ascii="Arial" w:cs="Arial" w:eastAsia="Arial" w:hAnsi="Arial"/>
                <w:sz w:val="18"/>
                <w:szCs w:val="18"/>
                <w:b w:val="1"/>
                <w:bCs w:val="1"/>
                <w:color w:val="auto"/>
                <w:w w:val="93"/>
              </w:rPr>
              <w:t>Chief Financial Officer</w:t>
            </w:r>
          </w:p>
        </w:tc>
      </w:tr>
      <w:tr>
        <w:trPr>
          <w:trHeight w:val="234"/>
        </w:trPr>
        <w:tc>
          <w:tcPr>
            <w:tcW w:w="36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360" w:type="dxa"/>
            <w:vAlign w:val="bottom"/>
          </w:tcPr>
          <w:p>
            <w:pPr>
              <w:jc w:val="center"/>
              <w:spacing w:after="0"/>
              <w:rPr>
                <w:sz w:val="20"/>
                <w:szCs w:val="20"/>
                <w:color w:val="auto"/>
              </w:rPr>
            </w:pPr>
            <w:r>
              <w:rPr>
                <w:rFonts w:ascii="Arial" w:cs="Arial" w:eastAsia="Arial" w:hAnsi="Arial"/>
                <w:sz w:val="18"/>
                <w:szCs w:val="18"/>
                <w:b w:val="1"/>
                <w:bCs w:val="1"/>
                <w:color w:val="auto"/>
                <w:w w:val="93"/>
              </w:rPr>
              <w:t>(Principal Financial Officer)</w:t>
            </w:r>
          </w:p>
        </w:tc>
      </w:tr>
    </w:tbl>
    <w:p>
      <w:pPr>
        <w:spacing w:after="0" w:line="1" w:lineRule="exact"/>
        <w:rPr>
          <w:sz w:val="20"/>
          <w:szCs w:val="20"/>
          <w:color w:val="auto"/>
        </w:rPr>
      </w:pP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006C83E"/>
    <w:multiLevelType w:val="hybridMultilevel"/>
    <w:lvl w:ilvl="0">
      <w:lvlJc w:val="left"/>
      <w:lvlText w:val="☒"/>
      <w:numFmt w:val="bullet"/>
      <w:start w:val="1"/>
    </w:lvl>
  </w:abstractNum>
  <w:abstractNum w:abstractNumId="1">
    <w:nsid w:val="614FD4A1"/>
    <w:multiLevelType w:val="hybridMultilevel"/>
    <w:lvl w:ilvl="0">
      <w:lvlJc w:val="left"/>
      <w:lvlText w:val="☐"/>
      <w:numFmt w:val="bullet"/>
      <w:start w:val="1"/>
    </w:lvl>
  </w:abstractNum>
  <w:abstractNum w:abstractNumId="2">
    <w:nsid w:val="419AC241"/>
    <w:multiLevelType w:val="hybridMultilevel"/>
    <w:lvl w:ilvl="0">
      <w:lvlJc w:val="left"/>
      <w:lvlText w:val="(%1)"/>
      <w:numFmt w:val="decimal"/>
      <w:start w:val="1"/>
    </w:lvl>
  </w:abstractNum>
  <w:abstractNum w:abstractNumId="3">
    <w:nsid w:val="5577F8E1"/>
    <w:multiLevelType w:val="hybridMultilevel"/>
    <w:lvl w:ilvl="0">
      <w:lvlJc w:val="left"/>
      <w:lvlText w:val="•"/>
      <w:numFmt w:val="bullet"/>
      <w:start w:val="1"/>
    </w:lvl>
  </w:abstractNum>
  <w:abstractNum w:abstractNumId="4">
    <w:nsid w:val="440BADFC"/>
    <w:multiLevelType w:val="hybridMultilevel"/>
    <w:lvl w:ilvl="0">
      <w:lvlJc w:val="left"/>
      <w:lvlText w:val="•"/>
      <w:numFmt w:val="bullet"/>
      <w:start w:val="1"/>
    </w:lvl>
  </w:abstractNum>
  <w:abstractNum w:abstractNumId="5">
    <w:nsid w:val="5072367"/>
    <w:multiLevelType w:val="hybridMultilevel"/>
    <w:lvl w:ilvl="0">
      <w:lvlJc w:val="left"/>
      <w:lvlText w:val="•"/>
      <w:numFmt w:val="bullet"/>
      <w:start w:val="1"/>
    </w:lvl>
  </w:abstractNum>
  <w:abstractNum w:abstractNumId="6">
    <w:nsid w:val="3804823E"/>
    <w:multiLevelType w:val="hybridMultilevel"/>
    <w:lvl w:ilvl="0">
      <w:lvlJc w:val="left"/>
      <w:lvlText w:val="•"/>
      <w:numFmt w:val="bullet"/>
      <w:start w:val="1"/>
    </w:lvl>
  </w:abstractNum>
  <w:abstractNum w:abstractNumId="7">
    <w:nsid w:val="77465F01"/>
    <w:multiLevelType w:val="hybridMultilevel"/>
    <w:lvl w:ilvl="0">
      <w:lvlJc w:val="left"/>
      <w:lvlText w:val="•"/>
      <w:numFmt w:val="bullet"/>
      <w:start w:val="1"/>
    </w:lvl>
  </w:abstractNum>
  <w:abstractNum w:abstractNumId="8">
    <w:nsid w:val="7724C67E"/>
    <w:multiLevelType w:val="hybridMultilevel"/>
    <w:lvl w:ilvl="0">
      <w:lvlJc w:val="left"/>
      <w:lvlText w:val="•"/>
      <w:numFmt w:val="bullet"/>
      <w:start w:val="1"/>
    </w:lvl>
  </w:abstractNum>
  <w:abstractNum w:abstractNumId="9">
    <w:nsid w:val="5C482A97"/>
    <w:multiLevelType w:val="hybridMultilevel"/>
    <w:lvl w:ilvl="0">
      <w:lvlJc w:val="left"/>
      <w:lvlText w:val="•"/>
      <w:numFmt w:val="bullet"/>
      <w:start w:val="1"/>
    </w:lvl>
  </w:abstractNum>
  <w:abstractNum w:abstractNumId="10">
    <w:nsid w:val="2463B9EA"/>
    <w:multiLevelType w:val="hybridMultilevel"/>
    <w:lvl w:ilvl="0">
      <w:lvlJc w:val="left"/>
      <w:lvlText w:val="•"/>
      <w:numFmt w:val="bullet"/>
      <w:start w:val="1"/>
    </w:lvl>
  </w:abstractNum>
  <w:abstractNum w:abstractNumId="11">
    <w:nsid w:val="5E884ADC"/>
    <w:multiLevelType w:val="hybridMultilevel"/>
    <w:lvl w:ilvl="0">
      <w:lvlJc w:val="left"/>
      <w:lvlText w:val="(%1)"/>
      <w:numFmt w:val="lowerRoman"/>
      <w:start w:val="3"/>
    </w:lvl>
  </w:abstractNum>
  <w:abstractNum w:abstractNumId="12">
    <w:nsid w:val="51EAD36B"/>
    <w:multiLevelType w:val="hybridMultilevel"/>
    <w:lvl w:ilvl="0">
      <w:lvlJc w:val="left"/>
      <w:lvlText w:val="•"/>
      <w:numFmt w:val="bullet"/>
      <w:start w:val="1"/>
    </w:lvl>
  </w:abstractNum>
  <w:abstractNum w:abstractNumId="13">
    <w:nsid w:val="2D517796"/>
    <w:multiLevelType w:val="hybridMultilevel"/>
    <w:lvl w:ilvl="0">
      <w:lvlJc w:val="left"/>
      <w:lvlText w:val="•"/>
      <w:numFmt w:val="bullet"/>
      <w:start w:val="1"/>
    </w:lvl>
  </w:abstractNum>
  <w:abstractNum w:abstractNumId="14">
    <w:nsid w:val="580BD78F"/>
    <w:multiLevelType w:val="hybridMultilevel"/>
    <w:lvl w:ilvl="0">
      <w:lvlJc w:val="left"/>
      <w:lvlText w:val="•"/>
      <w:numFmt w:val="bullet"/>
      <w:start w:val="1"/>
    </w:lvl>
  </w:abstractNum>
  <w:abstractNum w:abstractNumId="15">
    <w:nsid w:val="153EA438"/>
    <w:multiLevelType w:val="hybridMultilevel"/>
    <w:lvl w:ilvl="0">
      <w:lvlJc w:val="left"/>
      <w:lvlText w:val="•"/>
      <w:numFmt w:val="bullet"/>
      <w:start w:val="1"/>
    </w:lvl>
  </w:abstractNum>
  <w:abstractNum w:abstractNumId="16">
    <w:nsid w:val="3855585C"/>
    <w:multiLevelType w:val="hybridMultilevel"/>
    <w:lvl w:ilvl="0">
      <w:lvlJc w:val="left"/>
      <w:lvlText w:val="•"/>
      <w:numFmt w:val="bullet"/>
      <w:start w:val="1"/>
    </w:lvl>
  </w:abstractNum>
  <w:abstractNum w:abstractNumId="17">
    <w:nsid w:val="70A64E2A"/>
    <w:multiLevelType w:val="hybridMultilevel"/>
    <w:lvl w:ilvl="0">
      <w:lvlJc w:val="left"/>
      <w:lvlText w:val="•"/>
      <w:numFmt w:val="bullet"/>
      <w:start w:val="1"/>
    </w:lvl>
  </w:abstractNum>
  <w:abstractNum w:abstractNumId="18">
    <w:nsid w:val="6A2342EC"/>
    <w:multiLevelType w:val="hybridMultilevel"/>
    <w:lvl w:ilvl="0">
      <w:lvlJc w:val="left"/>
      <w:lvlText w:val="•"/>
      <w:numFmt w:val="bullet"/>
      <w:start w:val="1"/>
    </w:lvl>
  </w:abstractNum>
  <w:abstractNum w:abstractNumId="19">
    <w:nsid w:val="2A487CB0"/>
    <w:multiLevelType w:val="hybridMultilevel"/>
    <w:lvl w:ilvl="0">
      <w:lvlJc w:val="left"/>
      <w:lvlText w:val="•"/>
      <w:numFmt w:val="bullet"/>
      <w:start w:val="1"/>
    </w:lvl>
  </w:abstractNum>
  <w:abstractNum w:abstractNumId="20">
    <w:nsid w:val="1D4ED43B"/>
    <w:multiLevelType w:val="hybridMultilevel"/>
    <w:lvl w:ilvl="0">
      <w:lvlJc w:val="left"/>
      <w:lvlText w:val="•"/>
      <w:numFmt w:val="bullet"/>
      <w:start w:val="1"/>
    </w:lvl>
  </w:abstractNum>
  <w:abstractNum w:abstractNumId="21">
    <w:nsid w:val="725A06FB"/>
    <w:multiLevelType w:val="hybridMultilevel"/>
    <w:lvl w:ilvl="0">
      <w:lvlJc w:val="left"/>
      <w:lvlText w:val="•"/>
      <w:numFmt w:val="bullet"/>
      <w:start w:val="1"/>
    </w:lvl>
  </w:abstractNum>
  <w:abstractNum w:abstractNumId="22">
    <w:nsid w:val="2CD89A32"/>
    <w:multiLevelType w:val="hybridMultilevel"/>
    <w:lvl w:ilvl="0">
      <w:lvlJc w:val="left"/>
      <w:lvlText w:val="•"/>
      <w:numFmt w:val="bullet"/>
      <w:start w:val="1"/>
    </w:lvl>
  </w:abstractNum>
  <w:abstractNum w:abstractNumId="23">
    <w:nsid w:val="57E4CCAF"/>
    <w:multiLevelType w:val="hybridMultilevel"/>
    <w:lvl w:ilvl="0">
      <w:lvlJc w:val="left"/>
      <w:lvlText w:val="•"/>
      <w:numFmt w:val="bullet"/>
      <w:start w:val="1"/>
    </w:lvl>
  </w:abstractNum>
  <w:abstractNum w:abstractNumId="24">
    <w:nsid w:val="7A6D8D3C"/>
    <w:multiLevelType w:val="hybridMultilevel"/>
    <w:lvl w:ilvl="0">
      <w:lvlJc w:val="left"/>
      <w:lvlText w:val="•"/>
      <w:numFmt w:val="bullet"/>
      <w:start w:val="1"/>
    </w:lvl>
  </w:abstractNum>
  <w:abstractNum w:abstractNumId="25">
    <w:nsid w:val="4B588F54"/>
    <w:multiLevelType w:val="hybridMultilevel"/>
    <w:lvl w:ilvl="0">
      <w:lvlJc w:val="left"/>
      <w:lvlText w:val="•"/>
      <w:numFmt w:val="bullet"/>
      <w:start w:val="1"/>
    </w:lvl>
  </w:abstractNum>
  <w:abstractNum w:abstractNumId="26">
    <w:nsid w:val="542289EC"/>
    <w:multiLevelType w:val="hybridMultilevel"/>
    <w:lvl w:ilvl="0">
      <w:lvlJc w:val="left"/>
      <w:lvlText w:val="•"/>
      <w:numFmt w:val="bullet"/>
      <w:start w:val="1"/>
    </w:lvl>
  </w:abstractNum>
  <w:abstractNum w:abstractNumId="27">
    <w:nsid w:val="6DE91B18"/>
    <w:multiLevelType w:val="hybridMultilevel"/>
    <w:lvl w:ilvl="0">
      <w:lvlJc w:val="left"/>
      <w:lvlText w:val="•"/>
      <w:numFmt w:val="bullet"/>
      <w:start w:val="1"/>
    </w:lvl>
  </w:abstractNum>
  <w:abstractNum w:abstractNumId="28">
    <w:nsid w:val="38437FDB"/>
    <w:multiLevelType w:val="hybridMultilevel"/>
    <w:lvl w:ilvl="0">
      <w:lvlJc w:val="left"/>
      <w:lvlText w:val="•"/>
      <w:numFmt w:val="bullet"/>
      <w:start w:val="1"/>
    </w:lvl>
  </w:abstractNum>
  <w:abstractNum w:abstractNumId="29">
    <w:nsid w:val="7644A45C"/>
    <w:multiLevelType w:val="hybridMultilevel"/>
    <w:lvl w:ilvl="0">
      <w:lvlJc w:val="left"/>
      <w:lvlText w:val="•"/>
      <w:numFmt w:val="bullet"/>
      <w:start w:val="1"/>
    </w:lvl>
  </w:abstractNum>
  <w:abstractNum w:abstractNumId="30">
    <w:nsid w:val="32FFF902"/>
    <w:multiLevelType w:val="hybridMultilevel"/>
    <w:lvl w:ilvl="0">
      <w:lvlJc w:val="left"/>
      <w:lvlText w:val="(%1)"/>
      <w:numFmt w:val="decimal"/>
      <w:start w:val="1"/>
    </w:lvl>
  </w:abstractNum>
  <w:abstractNum w:abstractNumId="31">
    <w:nsid w:val="684A481A"/>
    <w:multiLevelType w:val="hybridMultilevel"/>
    <w:lvl w:ilvl="0">
      <w:lvlJc w:val="left"/>
      <w:lvlText w:val="•"/>
      <w:numFmt w:val="bullet"/>
      <w:start w:val="1"/>
    </w:lvl>
  </w:abstractNum>
  <w:abstractNum w:abstractNumId="32">
    <w:nsid w:val="579478FE"/>
    <w:multiLevelType w:val="hybridMultilevel"/>
    <w:lvl w:ilvl="0">
      <w:lvlJc w:val="left"/>
      <w:lvlText w:val="•"/>
      <w:numFmt w:val="bullet"/>
      <w:start w:val="1"/>
    </w:lvl>
  </w:abstractNum>
  <w:abstractNum w:abstractNumId="33">
    <w:nsid w:val="749ABB43"/>
    <w:multiLevelType w:val="hybridMultilevel"/>
    <w:lvl w:ilvl="0">
      <w:lvlJc w:val="left"/>
      <w:lvlText w:val="•"/>
      <w:numFmt w:val="bullet"/>
      <w:start w:val="1"/>
    </w:lvl>
  </w:abstractNum>
  <w:abstractNum w:abstractNumId="34">
    <w:nsid w:val="3DC240FB"/>
    <w:multiLevelType w:val="hybridMultilevel"/>
    <w:lvl w:ilvl="0">
      <w:lvlJc w:val="left"/>
      <w:lvlText w:val="•"/>
      <w:numFmt w:val="bullet"/>
      <w:start w:val="1"/>
    </w:lvl>
  </w:abstractNum>
  <w:abstractNum w:abstractNumId="35">
    <w:nsid w:val="1BA026FA"/>
    <w:multiLevelType w:val="hybridMultilevel"/>
    <w:lvl w:ilvl="0">
      <w:lvlJc w:val="left"/>
      <w:lvlText w:val="•"/>
      <w:numFmt w:val="bullet"/>
      <w:start w:val="1"/>
    </w:lvl>
  </w:abstractNum>
  <w:abstractNum w:abstractNumId="36">
    <w:nsid w:val="79A1DEAA"/>
    <w:multiLevelType w:val="hybridMultilevel"/>
    <w:lvl w:ilvl="0">
      <w:lvlJc w:val="left"/>
      <w:lvlText w:val="•"/>
      <w:numFmt w:val="bullet"/>
      <w:start w:val="1"/>
    </w:lvl>
  </w:abstractNum>
  <w:abstractNum w:abstractNumId="37">
    <w:nsid w:val="75C6C33A"/>
    <w:multiLevelType w:val="hybridMultilevel"/>
    <w:lvl w:ilvl="0">
      <w:lvlJc w:val="left"/>
      <w:lvlText w:val="•"/>
      <w:numFmt w:val="bullet"/>
      <w:start w:val="1"/>
    </w:lvl>
  </w:abstractNum>
  <w:abstractNum w:abstractNumId="38">
    <w:nsid w:val="12E685FB"/>
    <w:multiLevelType w:val="hybridMultilevel"/>
    <w:lvl w:ilvl="0">
      <w:lvlJc w:val="left"/>
      <w:lvlText w:val="•"/>
      <w:numFmt w:val="bullet"/>
      <w:start w:val="1"/>
    </w:lvl>
  </w:abstractNum>
  <w:abstractNum w:abstractNumId="39">
    <w:nsid w:val="70C6A529"/>
    <w:multiLevelType w:val="hybridMultilevel"/>
    <w:lvl w:ilvl="0">
      <w:lvlJc w:val="left"/>
      <w:lvlText w:val="•"/>
      <w:numFmt w:val="bullet"/>
      <w:start w:val="1"/>
    </w:lvl>
  </w:abstractNum>
  <w:abstractNum w:abstractNumId="40">
    <w:nsid w:val="520EEDD1"/>
    <w:multiLevelType w:val="hybridMultilevel"/>
    <w:lvl w:ilvl="0">
      <w:lvlJc w:val="left"/>
      <w:lvlText w:val="•"/>
      <w:numFmt w:val="bullet"/>
      <w:start w:val="1"/>
    </w:lvl>
  </w:abstractNum>
  <w:abstractNum w:abstractNumId="41">
    <w:nsid w:val="374A3FE6"/>
    <w:multiLevelType w:val="hybridMultilevel"/>
    <w:lvl w:ilvl="0">
      <w:lvlJc w:val="left"/>
      <w:lvlText w:val="•"/>
      <w:numFmt w:val="bullet"/>
      <w:start w:val="1"/>
    </w:lvl>
  </w:abstractNum>
  <w:abstractNum w:abstractNumId="42">
    <w:nsid w:val="4F4EF005"/>
    <w:multiLevelType w:val="hybridMultilevel"/>
    <w:lvl w:ilvl="0">
      <w:lvlJc w:val="left"/>
      <w:lvlText w:val="•"/>
      <w:numFmt w:val="bullet"/>
      <w:start w:val="1"/>
    </w:lvl>
  </w:abstractNum>
  <w:abstractNum w:abstractNumId="43">
    <w:nsid w:val="23F9C13C"/>
    <w:multiLevelType w:val="hybridMultilevel"/>
    <w:lvl w:ilvl="0">
      <w:lvlJc w:val="left"/>
      <w:lvlText w:val="•"/>
      <w:numFmt w:val="bullet"/>
      <w:start w:val="1"/>
    </w:lvl>
  </w:abstractNum>
  <w:abstractNum w:abstractNumId="44">
    <w:nsid w:val="649BB77C"/>
    <w:multiLevelType w:val="hybridMultilevel"/>
    <w:lvl w:ilvl="0">
      <w:lvlJc w:val="left"/>
      <w:lvlText w:val="•"/>
      <w:numFmt w:val="bullet"/>
      <w:start w:val="1"/>
    </w:lvl>
  </w:abstractNum>
  <w:abstractNum w:abstractNumId="45">
    <w:nsid w:val="275AC794"/>
    <w:multiLevelType w:val="hybridMultilevel"/>
    <w:lvl w:ilvl="0">
      <w:lvlJc w:val="left"/>
      <w:lvlText w:val="#"/>
      <w:numFmt w:val="bullet"/>
      <w:start w:val="1"/>
    </w:lvl>
    <w:lvl w:ilvl="1">
      <w:lvlJc w:val="left"/>
      <w:lvlText w:val="%2"/>
      <w:numFmt w:val="decimal"/>
      <w:start w:val="101"/>
    </w:lvl>
  </w:abstractNum>
  <w:abstractNum w:abstractNumId="46">
    <w:nsid w:val="39386575"/>
    <w:multiLevelType w:val="hybridMultilevel"/>
    <w:lvl w:ilvl="0">
      <w:lvlJc w:val="left"/>
      <w:lvlText w:val="%1."/>
      <w:numFmt w:val="upperLetter"/>
      <w:start w:val="1"/>
    </w:lvl>
  </w:abstractNum>
  <w:abstractNum w:abstractNumId="47">
    <w:nsid w:val="1CF10FD8"/>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48">
    <w:nsid w:val="180115BE"/>
    <w:multiLevelType w:val="hybridMultilevel"/>
    <w:lvl w:ilvl="0">
      <w:lvlJc w:val="left"/>
      <w:lvlText w:val="(%1)"/>
      <w:numFmt w:val="lowerLetter"/>
      <w:start w:val="2"/>
    </w:lvl>
    <w:lvl w:ilvl="1">
      <w:lvlJc w:val="left"/>
      <w:lvlText w:val="%2"/>
      <w:numFmt w:val="decimal"/>
      <w:start w:val="1"/>
    </w:lvl>
    <w:lvl w:ilvl="2">
      <w:lvlJc w:val="left"/>
      <w:lvlText w:val="(%3)"/>
      <w:numFmt w:val="lowerLetter"/>
      <w:start w:val="1"/>
    </w:lvl>
  </w:abstractNum>
  <w:abstractNum w:abstractNumId="49">
    <w:nsid w:val="235BA861"/>
    <w:multiLevelType w:val="hybridMultilevel"/>
    <w:lvl w:ilvl="0">
      <w:lvlJc w:val="left"/>
      <w:lvlText w:val="%1."/>
      <w:numFmt w:val="decimal"/>
      <w:start w:val="3"/>
    </w:lvl>
    <w:lvl w:ilvl="1">
      <w:lvlJc w:val="left"/>
      <w:lvlText w:val="(%2)"/>
      <w:numFmt w:val="lowerLetter"/>
      <w:start w:val="1"/>
    </w:lvl>
  </w:abstractNum>
  <w:abstractNum w:abstractNumId="50">
    <w:nsid w:val="47398C89"/>
    <w:multiLevelType w:val="hybridMultilevel"/>
    <w:lvl w:ilvl="0">
      <w:lvlJc w:val="left"/>
      <w:lvlText w:val="(%1)"/>
      <w:numFmt w:val="lowerLetter"/>
      <w:start w:val="4"/>
    </w:lvl>
  </w:abstractNum>
  <w:abstractNum w:abstractNumId="51">
    <w:nsid w:val="354FE9F9"/>
    <w:multiLevelType w:val="hybridMultilevel"/>
    <w:lvl w:ilvl="0">
      <w:lvlJc w:val="left"/>
      <w:lvlText w:val="%1."/>
      <w:numFmt w:val="decimal"/>
      <w:start w:val="4"/>
    </w:lvl>
    <w:lvl w:ilvl="1">
      <w:lvlJc w:val="left"/>
      <w:lvlText w:val="(%2)"/>
      <w:numFmt w:val="lowerLetter"/>
      <w:start w:val="1"/>
    </w:lvl>
  </w:abstractNum>
  <w:abstractNum w:abstractNumId="52">
    <w:nsid w:val="15B5AF5C"/>
    <w:multiLevelType w:val="hybridMultilevel"/>
    <w:lvl w:ilvl="0">
      <w:lvlJc w:val="left"/>
      <w:lvlText w:val="(%1)"/>
      <w:numFmt w:val="lowerLetter"/>
      <w:start w:val="1"/>
    </w:lvl>
    <w:lvl w:ilvl="1">
      <w:lvlJc w:val="left"/>
      <w:lvlText w:val="(%2)"/>
      <w:numFmt w:val="lowerRoman"/>
      <w:start w:val="1"/>
    </w:lvl>
  </w:abstractNum>
  <w:abstractNum w:abstractNumId="53">
    <w:nsid w:val="741226BB"/>
    <w:multiLevelType w:val="hybridMultilevel"/>
    <w:lvl w:ilvl="0">
      <w:lvlJc w:val="left"/>
      <w:lvlText w:val="(%1)"/>
      <w:numFmt w:val="lowerLetter"/>
      <w:start w:val="3"/>
    </w:lvl>
  </w:abstractNum>
  <w:abstractNum w:abstractNumId="54">
    <w:nsid w:val="D34B6A8"/>
    <w:multiLevelType w:val="hybridMultilevel"/>
    <w:lvl w:ilvl="0">
      <w:lvlJc w:val="left"/>
      <w:lvlText w:val="%1."/>
      <w:numFmt w:val="decimal"/>
      <w:start w:val="7"/>
    </w:lvl>
    <w:lvl w:ilvl="1">
      <w:lvlJc w:val="left"/>
      <w:lvlText w:val="(%2)"/>
      <w:numFmt w:val="lowerLetter"/>
      <w:start w:val="1"/>
    </w:lvl>
  </w:abstractNum>
  <w:abstractNum w:abstractNumId="55">
    <w:nsid w:val="10233C99"/>
    <w:multiLevelType w:val="hybridMultilevel"/>
    <w:lvl w:ilvl="0">
      <w:lvlJc w:val="left"/>
      <w:lvlText w:val="%1."/>
      <w:numFmt w:val="decimal"/>
      <w:start w:val="9"/>
    </w:lvl>
  </w:abstractNum>
  <w:abstractNum w:abstractNumId="56">
    <w:nsid w:val="3F6AB60F"/>
    <w:multiLevelType w:val="hybridMultilevel"/>
    <w:lvl w:ilvl="0">
      <w:lvlJc w:val="left"/>
      <w:lvlText w:val="%1."/>
      <w:numFmt w:val="decimal"/>
      <w:start w:val="14"/>
    </w:lvl>
    <w:lvl w:ilvl="1">
      <w:lvlJc w:val="left"/>
      <w:lvlText w:val="(%2)"/>
      <w:numFmt w:val="lowerLetter"/>
      <w:start w:val="1"/>
    </w:lvl>
  </w:abstractNum>
  <w:abstractNum w:abstractNumId="57">
    <w:nsid w:val="6157409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58">
    <w:nsid w:val="7E0C57B1"/>
    <w:multiLevelType w:val="hybridMultilevel"/>
    <w:lvl w:ilvl="0">
      <w:lvlJc w:val="left"/>
      <w:lvlText w:val="%1"/>
      <w:numFmt w:val="lowerLetter"/>
      <w:start w:val="1"/>
    </w:lvl>
    <w:lvl w:ilvl="1">
      <w:lvlJc w:val="left"/>
      <w:lvlText w:val="(%2)"/>
      <w:numFmt w:val="lowerRoman"/>
      <w:start w:val="5"/>
    </w:lvl>
  </w:abstractNum>
  <w:abstractNum w:abstractNumId="59">
    <w:nsid w:val="77AE35EB"/>
    <w:multiLevelType w:val="hybridMultilevel"/>
    <w:lvl w:ilvl="0">
      <w:lvlJc w:val="left"/>
      <w:lvlText w:val="(%1)"/>
      <w:numFmt w:val="lowerLetter"/>
      <w:start w:val="2"/>
    </w:lvl>
    <w:lvl w:ilvl="1">
      <w:lvlJc w:val="left"/>
      <w:lvlText w:val="%2"/>
      <w:numFmt w:val="lowerRoman"/>
      <w:start w:val="1"/>
    </w:lvl>
  </w:abstractNum>
  <w:abstractNum w:abstractNumId="60">
    <w:nsid w:val="579BE4F1"/>
    <w:multiLevelType w:val="hybridMultilevel"/>
    <w:lvl w:ilvl="0">
      <w:lvlJc w:val="left"/>
      <w:lvlText w:val="(%1)"/>
      <w:numFmt w:val="lowerLetter"/>
      <w:start w:val="4"/>
    </w:lvl>
  </w:abstractNum>
  <w:abstractNum w:abstractNumId="61">
    <w:nsid w:val="310C50B3"/>
    <w:multiLevelType w:val="hybridMultilevel"/>
    <w:lvl w:ilvl="0">
      <w:lvlJc w:val="left"/>
      <w:lvlText w:val="%1."/>
      <w:numFmt w:val="decimal"/>
      <w:start w:val="2"/>
    </w:lvl>
    <w:lvl w:ilvl="1">
      <w:lvlJc w:val="left"/>
      <w:lvlText w:val="(%2)"/>
      <w:numFmt w:val="lowerLetter"/>
      <w:start w:val="1"/>
    </w:lvl>
  </w:abstractNum>
  <w:abstractNum w:abstractNumId="62">
    <w:nsid w:val="5FF87E05"/>
    <w:multiLevelType w:val="hybridMultilevel"/>
    <w:lvl w:ilvl="0">
      <w:lvlJc w:val="left"/>
      <w:lvlText w:val="%1."/>
      <w:numFmt w:val="decimal"/>
      <w:start w:val="6"/>
    </w:lvl>
  </w:abstractNum>
  <w:abstractNum w:abstractNumId="63">
    <w:nsid w:val="2F305DEF"/>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64">
    <w:nsid w:val="25A70BF7"/>
    <w:multiLevelType w:val="hybridMultilevel"/>
    <w:lvl w:ilvl="0">
      <w:lvlJc w:val="left"/>
      <w:lvlText w:val="%1."/>
      <w:numFmt w:val="decimal"/>
      <w:start w:val="1"/>
    </w:lvl>
    <w:lvl w:ilvl="1">
      <w:lvlJc w:val="left"/>
      <w:lvlText w:val="(%2)"/>
      <w:numFmt w:val="lowerLetter"/>
      <w:start w:val="1"/>
    </w:lvl>
  </w:abstractNum>
  <w:abstractNum w:abstractNumId="65">
    <w:nsid w:val="1DBABF0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2019-12-29T03:00:17Z</dcterms:created>
  <dcterms:modified xsi:type="dcterms:W3CDTF">2019-12-29T03:00:17Z</dcterms:modified>
</cp:coreProperties>
</file>