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280" w:type="dxa"/>
            <w:vAlign w:val="bottom"/>
          </w:tcPr>
          <w:p>
            <w:pPr>
              <w:spacing w:after="0"/>
              <w:rPr>
                <w:sz w:val="24"/>
                <w:szCs w:val="24"/>
                <w:color w:val="auto"/>
              </w:rPr>
            </w:pPr>
          </w:p>
        </w:tc>
        <w:tc>
          <w:tcPr>
            <w:tcW w:w="4840" w:type="dxa"/>
            <w:vAlign w:val="bottom"/>
            <w:gridSpan w:val="3"/>
          </w:tcPr>
          <w:p>
            <w:pPr>
              <w:jc w:val="center"/>
              <w:ind w:left="225"/>
              <w:spacing w:after="0"/>
              <w:rPr>
                <w:sz w:val="20"/>
                <w:szCs w:val="20"/>
                <w:color w:val="auto"/>
              </w:rPr>
            </w:pPr>
            <w:r>
              <w:rPr>
                <w:rFonts w:ascii="Arial" w:cs="Arial" w:eastAsia="Arial" w:hAnsi="Arial"/>
                <w:sz w:val="32"/>
                <w:szCs w:val="32"/>
                <w:b w:val="1"/>
                <w:bCs w:val="1"/>
                <w:color w:val="auto"/>
                <w:w w:val="99"/>
              </w:rPr>
              <w:t>SCHEDULE 14A</w:t>
            </w:r>
          </w:p>
        </w:tc>
      </w:tr>
      <w:tr>
        <w:trPr>
          <w:trHeight w:val="268"/>
        </w:trPr>
        <w:tc>
          <w:tcPr>
            <w:tcW w:w="2280" w:type="dxa"/>
            <w:vAlign w:val="bottom"/>
          </w:tcPr>
          <w:p>
            <w:pPr>
              <w:spacing w:after="0"/>
              <w:rPr>
                <w:sz w:val="23"/>
                <w:szCs w:val="23"/>
                <w:color w:val="auto"/>
              </w:rPr>
            </w:pPr>
          </w:p>
        </w:tc>
        <w:tc>
          <w:tcPr>
            <w:tcW w:w="4840" w:type="dxa"/>
            <w:vAlign w:val="bottom"/>
            <w:gridSpan w:val="3"/>
          </w:tcPr>
          <w:p>
            <w:pPr>
              <w:jc w:val="center"/>
              <w:ind w:left="225"/>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280" w:type="dxa"/>
            <w:vAlign w:val="bottom"/>
          </w:tcPr>
          <w:p>
            <w:pPr>
              <w:spacing w:after="0"/>
              <w:rPr>
                <w:sz w:val="21"/>
                <w:szCs w:val="21"/>
                <w:color w:val="auto"/>
              </w:rPr>
            </w:pPr>
          </w:p>
        </w:tc>
        <w:tc>
          <w:tcPr>
            <w:tcW w:w="4840" w:type="dxa"/>
            <w:vAlign w:val="bottom"/>
            <w:gridSpan w:val="3"/>
          </w:tcPr>
          <w:p>
            <w:pPr>
              <w:jc w:val="center"/>
              <w:ind w:left="205"/>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0"/>
        </w:trPr>
        <w:tc>
          <w:tcPr>
            <w:tcW w:w="2280" w:type="dxa"/>
            <w:vAlign w:val="bottom"/>
          </w:tcPr>
          <w:p>
            <w:pPr>
              <w:spacing w:after="0"/>
              <w:rPr>
                <w:sz w:val="24"/>
                <w:szCs w:val="24"/>
                <w:color w:val="auto"/>
              </w:rPr>
            </w:pPr>
          </w:p>
        </w:tc>
        <w:tc>
          <w:tcPr>
            <w:tcW w:w="4840" w:type="dxa"/>
            <w:vAlign w:val="bottom"/>
            <w:gridSpan w:val="3"/>
          </w:tcPr>
          <w:p>
            <w:pPr>
              <w:jc w:val="center"/>
              <w:ind w:left="205"/>
              <w:spacing w:after="0"/>
              <w:rPr>
                <w:sz w:val="20"/>
                <w:szCs w:val="20"/>
                <w:color w:val="auto"/>
              </w:rPr>
            </w:pPr>
            <w:r>
              <w:rPr>
                <w:rFonts w:ascii="Arial" w:cs="Arial" w:eastAsia="Arial" w:hAnsi="Arial"/>
                <w:sz w:val="22"/>
                <w:szCs w:val="22"/>
                <w:b w:val="1"/>
                <w:bCs w:val="1"/>
                <w:color w:val="auto"/>
                <w:w w:val="96"/>
              </w:rPr>
              <w:t>(Amendment No.  )</w:t>
            </w:r>
          </w:p>
        </w:tc>
      </w:tr>
      <w:tr>
        <w:trPr>
          <w:trHeight w:val="219"/>
        </w:trPr>
        <w:tc>
          <w:tcPr>
            <w:tcW w:w="2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378"/>
        </w:trPr>
        <w:tc>
          <w:tcPr>
            <w:tcW w:w="22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4840" w:type="dxa"/>
            <w:vAlign w:val="bottom"/>
            <w:gridSpan w:val="3"/>
          </w:tcPr>
          <w:p>
            <w:pPr>
              <w:ind w:left="5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31"/>
        </w:trPr>
        <w:tc>
          <w:tcPr>
            <w:tcW w:w="22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75"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highlight w:val="black"/>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8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8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right="20" w:hanging="405"/>
        <w:spacing w:after="0" w:line="277" w:lineRule="auto"/>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5"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580390</wp:posOffset>
            </wp:positionV>
            <wp:extent cx="699516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460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237490</wp:posOffset>
            </wp:positionV>
            <wp:extent cx="5666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-164465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-567690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-970280</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-2393315</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-2796540</wp:posOffset>
            </wp:positionV>
            <wp:extent cx="5666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-3199130</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-3739515</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-4142105</wp:posOffset>
            </wp:positionV>
            <wp:extent cx="5666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383540</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443230</wp:posOffset>
            </wp:positionV>
            <wp:extent cx="61722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225" w:right="1159" w:bottom="511"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92075</wp:posOffset>
            </wp:positionV>
            <wp:extent cx="68580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34175 Ardenwood Blvd., Fremont, CA 94555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Fifth Avenue, Suite 210, Waltham, MA 02451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16, 2021</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Stockholders of Ardelyx, Inc.:</w:t>
      </w:r>
    </w:p>
    <w:p>
      <w:pPr>
        <w:spacing w:after="0" w:line="117" w:lineRule="exact"/>
        <w:rPr>
          <w:sz w:val="20"/>
          <w:szCs w:val="20"/>
          <w:color w:val="auto"/>
        </w:rPr>
      </w:pPr>
    </w:p>
    <w:p>
      <w:pPr>
        <w:ind w:left="300" w:right="439"/>
        <w:spacing w:after="0" w:line="255" w:lineRule="auto"/>
        <w:rPr>
          <w:sz w:val="20"/>
          <w:szCs w:val="20"/>
          <w:color w:val="auto"/>
        </w:rPr>
      </w:pPr>
      <w:r>
        <w:rPr>
          <w:rFonts w:ascii="Arial" w:cs="Arial" w:eastAsia="Arial" w:hAnsi="Arial"/>
          <w:sz w:val="18"/>
          <w:szCs w:val="18"/>
          <w:color w:val="auto"/>
        </w:rPr>
        <w:t>The 2021 Annual Meeting of Stockholders, or the 2021 Annual Meeting, of Ardelyx, Inc., a Delaware corporation, or the Company, will be held on June 16, 2021 at 8:30 a.m. Pacific Time. The 2021 Annual Meeting will be held entirely online due to the ongoing public health impact of the coronavirus outbreak (COVID-19) and to support the health and well-being of our employees, stockholders and partners. You will be able to attend the meeting online where you will be able to listen to the meeting live and vote. The 2021 Annual Meeting will be held for the following purposes:</w:t>
      </w:r>
    </w:p>
    <w:p>
      <w:pPr>
        <w:spacing w:after="0" w:line="84"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three Class I directors to hold office until the 2024 Annual Meeting of Stockholders and until their successors are elected and qualified;</w:t>
      </w:r>
    </w:p>
    <w:p>
      <w:pPr>
        <w:spacing w:after="0" w:line="62" w:lineRule="exact"/>
        <w:rPr>
          <w:rFonts w:ascii="Arial" w:cs="Arial" w:eastAsia="Arial" w:hAnsi="Arial"/>
          <w:sz w:val="18"/>
          <w:szCs w:val="18"/>
          <w:color w:val="auto"/>
        </w:rPr>
      </w:pPr>
    </w:p>
    <w:p>
      <w:pPr>
        <w:jc w:val="both"/>
        <w:ind w:left="1000" w:right="53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our Board of Directors, of Ernst &amp; Young LLP as the independent registered public accounting firm of the Company for the fiscal year ending December 31, 2021;</w:t>
      </w:r>
    </w:p>
    <w:p>
      <w:pPr>
        <w:spacing w:after="0" w:line="75" w:lineRule="exact"/>
        <w:rPr>
          <w:rFonts w:ascii="Arial" w:cs="Arial" w:eastAsia="Arial" w:hAnsi="Arial"/>
          <w:sz w:val="18"/>
          <w:szCs w:val="18"/>
          <w:color w:val="auto"/>
        </w:rPr>
      </w:pPr>
    </w:p>
    <w:p>
      <w:pPr>
        <w:ind w:left="1000" w:right="479" w:hanging="348"/>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on a non-binding, advisory basis, the compensation of our named executive officers as disclosed in the proxy statement accompanying this notice pursuant to the compensation disclosure rules of the Securities and Exchange Commission (“Say-on-Pay”); and</w:t>
      </w:r>
    </w:p>
    <w:p>
      <w:pPr>
        <w:spacing w:after="0" w:line="57" w:lineRule="exact"/>
        <w:rPr>
          <w:rFonts w:ascii="Arial" w:cs="Arial" w:eastAsia="Arial" w:hAnsi="Arial"/>
          <w:sz w:val="17"/>
          <w:szCs w:val="17"/>
          <w:color w:val="auto"/>
        </w:rPr>
      </w:pPr>
    </w:p>
    <w:p>
      <w:pPr>
        <w:ind w:left="1000" w:right="12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2021 Annual Meeting or any adjournment or postponement thereof.</w:t>
      </w:r>
    </w:p>
    <w:p>
      <w:pPr>
        <w:spacing w:after="0" w:line="62" w:lineRule="exact"/>
        <w:rPr>
          <w:sz w:val="20"/>
          <w:szCs w:val="20"/>
          <w:color w:val="auto"/>
        </w:rPr>
      </w:pPr>
    </w:p>
    <w:p>
      <w:pPr>
        <w:jc w:val="both"/>
        <w:ind w:left="300" w:right="819"/>
        <w:spacing w:after="0" w:line="311"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of Annual Meeting of Stockholders. Only stockholders who owned the Company’s common stock at the close of business on April 20, 2021 may vote at the 2021 Annual Meeting or any adjournments that take place.</w:t>
      </w:r>
    </w:p>
    <w:p>
      <w:pPr>
        <w:spacing w:after="0" w:line="41" w:lineRule="exact"/>
        <w:rPr>
          <w:sz w:val="20"/>
          <w:szCs w:val="20"/>
          <w:color w:val="auto"/>
        </w:rPr>
      </w:pPr>
    </w:p>
    <w:p>
      <w:pPr>
        <w:ind w:left="300" w:right="299"/>
        <w:spacing w:after="0" w:line="269" w:lineRule="auto"/>
        <w:rPr>
          <w:sz w:val="20"/>
          <w:szCs w:val="20"/>
          <w:color w:val="auto"/>
        </w:rPr>
      </w:pPr>
      <w:r>
        <w:rPr>
          <w:rFonts w:ascii="Arial" w:cs="Arial" w:eastAsia="Arial" w:hAnsi="Arial"/>
          <w:sz w:val="17"/>
          <w:szCs w:val="17"/>
          <w:color w:val="auto"/>
        </w:rPr>
        <w:t>We have elected to provide our proxy materials to our stockholders over the internet as permitted by the rules of the U.S. Securities and Exchange Commission. As a result, we are mailing most of our stockholders a paper copy of the Notice of Internet Availability of Proxy Materials, or the Notice, but not a paper copy of our proxy statement and our 2020 Annual Report to Stockholders.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those documents over the internet. The Notice also contains instructions on how to request a paper copy of our proxy materials, including this proxy statement, our 2020 Annual Report to Stockholders and a form of proxy card or voting instruction card. All stockholders who have previously requested a paper copy of our proxy materials will continue to receive a paper copy of the proxy materials by mail.</w:t>
      </w:r>
    </w:p>
    <w:p>
      <w:pPr>
        <w:spacing w:after="0" w:line="77" w:lineRule="exact"/>
        <w:rPr>
          <w:sz w:val="20"/>
          <w:szCs w:val="20"/>
          <w:color w:val="auto"/>
        </w:rPr>
      </w:pPr>
    </w:p>
    <w:p>
      <w:pPr>
        <w:ind w:left="300" w:right="379"/>
        <w:spacing w:after="0" w:line="291" w:lineRule="auto"/>
        <w:rPr>
          <w:sz w:val="20"/>
          <w:szCs w:val="20"/>
          <w:color w:val="auto"/>
        </w:rPr>
      </w:pPr>
      <w:r>
        <w:rPr>
          <w:rFonts w:ascii="Arial" w:cs="Arial" w:eastAsia="Arial" w:hAnsi="Arial"/>
          <w:sz w:val="16"/>
          <w:szCs w:val="16"/>
          <w:color w:val="auto"/>
        </w:rPr>
        <w:t xml:space="preserve">You are cordially invited to attend the virtual 2021 Annual Meeting online via live audio-only webcast at </w:t>
      </w:r>
      <w:r>
        <w:rPr>
          <w:rFonts w:ascii="Arial" w:cs="Arial" w:eastAsia="Arial" w:hAnsi="Arial"/>
          <w:sz w:val="16"/>
          <w:szCs w:val="16"/>
          <w:i w:val="1"/>
          <w:iCs w:val="1"/>
          <w:color w:val="auto"/>
        </w:rPr>
        <w:t>www.virtualshareholdermeeting.com/ARDX2021</w:t>
      </w:r>
      <w:r>
        <w:rPr>
          <w:rFonts w:ascii="Arial" w:cs="Arial" w:eastAsia="Arial" w:hAnsi="Arial"/>
          <w:sz w:val="16"/>
          <w:szCs w:val="16"/>
          <w:color w:val="auto"/>
        </w:rPr>
        <w:t>. Whether or not you plan to attend the 2021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online, please vote as soon as possible. You may vote over the internet or by a toll-free telephone number. If, however, you requested to receive paper proxy materials, then you may also vote by mailing a complete, signed and dated proxy card or voting instruction card in the envelope provided. Please note that any stockholder attending the 2021 Annual Meeting may vote online at the 2021 Annual Meeting, even if the stockholder has already voted over the internet or by phone or returned a proxy card or voting instruction card by mail.</w:t>
      </w:r>
    </w:p>
    <w:p>
      <w:pPr>
        <w:spacing w:after="0" w:line="54" w:lineRule="exact"/>
        <w:rPr>
          <w:sz w:val="20"/>
          <w:szCs w:val="20"/>
          <w:color w:val="auto"/>
        </w:rPr>
      </w:pPr>
    </w:p>
    <w:p>
      <w:pPr>
        <w:ind w:left="300" w:right="519"/>
        <w:spacing w:after="0" w:line="312" w:lineRule="auto"/>
        <w:rPr>
          <w:sz w:val="20"/>
          <w:szCs w:val="20"/>
          <w:color w:val="auto"/>
        </w:rPr>
      </w:pPr>
      <w:r>
        <w:rPr>
          <w:rFonts w:ascii="Arial" w:cs="Arial" w:eastAsia="Arial" w:hAnsi="Arial"/>
          <w:sz w:val="17"/>
          <w:szCs w:val="17"/>
          <w:color w:val="auto"/>
        </w:rPr>
        <w:t>Our board of directors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the director nominees named in Proposal No. 1 of the proxy statement,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Ernst &amp; Young LLP as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83185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319"/>
        <w:spacing w:after="0" w:line="266" w:lineRule="auto"/>
        <w:rPr>
          <w:sz w:val="20"/>
          <w:szCs w:val="20"/>
          <w:color w:val="auto"/>
        </w:rPr>
      </w:pPr>
      <w:r>
        <w:rPr>
          <w:rFonts w:ascii="Arial" w:cs="Arial" w:eastAsia="Arial" w:hAnsi="Arial"/>
          <w:sz w:val="18"/>
          <w:szCs w:val="18"/>
          <w:color w:val="auto"/>
        </w:rPr>
        <w:t>independent registered public accounting firm as described in Proposal No. 2 of the proxy statement, and “</w:t>
      </w:r>
      <w:r>
        <w:rPr>
          <w:rFonts w:ascii="Arial" w:cs="Arial" w:eastAsia="Arial" w:hAnsi="Arial"/>
          <w:sz w:val="18"/>
          <w:szCs w:val="18"/>
          <w:b w:val="1"/>
          <w:bCs w:val="1"/>
          <w:color w:val="auto"/>
        </w:rPr>
        <w:t>FOR</w:t>
      </w:r>
      <w:r>
        <w:rPr>
          <w:rFonts w:ascii="Arial" w:cs="Arial" w:eastAsia="Arial" w:hAnsi="Arial"/>
          <w:sz w:val="18"/>
          <w:szCs w:val="18"/>
          <w:color w:val="auto"/>
        </w:rPr>
        <w:t>” the approval, on a non-binding, advisory basis, of the Say-On-Pay proposal as described in Proposal No. 3 of the proxy statement.</w:t>
      </w:r>
    </w:p>
    <w:p>
      <w:pPr>
        <w:spacing w:after="0" w:line="1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Elizabeth Grammer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Legal and Administrative Officer</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Fremont,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QUESTIONS AND ANSWERS REGARDING THE PROXY MATERIALS AND THE VOTING</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9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PROCESS</w:t>
              </w:r>
            </w:hyperlink>
          </w:p>
        </w:tc>
        <w:tc>
          <w:tcPr>
            <w:tcW w:w="102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PROPOSAL NO. 1 ELECTION OF DIRECTORS</w:t>
              </w:r>
            </w:hyperlink>
          </w:p>
        </w:tc>
        <w:tc>
          <w:tcPr>
            <w:tcW w:w="22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3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PROPOSAL NO. 2 RATIFICATION OF SELECTION OF INDEPENDENT REGISTERED PUBLIC</w:t>
              </w:r>
            </w:hyperlink>
          </w:p>
        </w:tc>
        <w:tc>
          <w:tcPr>
            <w:tcW w:w="7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17"/>
            <w:shd w:val="clear" w:color="auto" w:fill="CCEEFF"/>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ACCOUNTING FIRM</w:t>
              </w:r>
            </w:hyperlink>
          </w:p>
        </w:tc>
        <w:tc>
          <w:tcPr>
            <w:tcW w:w="300" w:type="dxa"/>
            <w:vAlign w:val="bottom"/>
            <w:tcBorders>
              <w:right w:val="single" w:sz="8" w:color="CCEEFF"/>
            </w:tcBorders>
            <w:gridSpan w:val="4"/>
            <w:shd w:val="clear" w:color="auto" w:fill="CCEEFF"/>
          </w:tcPr>
          <w:p>
            <w:pPr>
              <w:jc w:val="right"/>
              <w:ind w:right="6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REPORT OF THE AUDIT COMMITTEE OF THE BOARD OF DIRECTORS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58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PROPOSAL NO. 3 ADVISORY VOTE TO APPROVE NAMED EXECUTIVE OFFICER</w:t>
              </w:r>
            </w:hyperlink>
          </w:p>
        </w:tc>
        <w:tc>
          <w:tcPr>
            <w:tcW w:w="1540" w:type="dxa"/>
            <w:vAlign w:val="bottom"/>
            <w:tcBorders>
              <w:bottom w:val="single" w:sz="8" w:color="CCEEFF"/>
            </w:tcBorders>
            <w:gridSpan w:val="4"/>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17"/>
            <w:shd w:val="clear" w:color="auto" w:fill="CCEEFF"/>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COMPENSATION</w:t>
              </w:r>
            </w:hyperlink>
          </w:p>
        </w:tc>
        <w:tc>
          <w:tcPr>
            <w:tcW w:w="300" w:type="dxa"/>
            <w:vAlign w:val="bottom"/>
            <w:tcBorders>
              <w:right w:val="single" w:sz="8" w:color="CCEEFF"/>
            </w:tcBorders>
            <w:gridSpan w:val="4"/>
            <w:shd w:val="clear" w:color="auto" w:fill="CCEEFF"/>
          </w:tcPr>
          <w:p>
            <w:pPr>
              <w:jc w:val="right"/>
              <w:ind w:right="6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CERTAIN RELATIONSHIPS AND RELATED PARTY TRANSACTIONS</w:t>
              </w:r>
            </w:hyperlink>
          </w:p>
        </w:tc>
        <w:tc>
          <w:tcPr>
            <w:tcW w:w="300" w:type="dxa"/>
            <w:vAlign w:val="bottom"/>
            <w:tcBorders>
              <w:right w:val="single" w:sz="8" w:color="CCEEFF"/>
            </w:tcBorders>
            <w:gridSpan w:val="4"/>
            <w:shd w:val="clear" w:color="auto" w:fill="CCEEFF"/>
          </w:tcPr>
          <w:p>
            <w:pPr>
              <w:jc w:val="right"/>
              <w:ind w:right="60"/>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6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NON-EMPLOYEE DIRECTOR COMPENSATION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300" w:type="dxa"/>
            <w:vAlign w:val="bottom"/>
            <w:tcBorders>
              <w:right w:val="single" w:sz="8" w:color="CCEEFF"/>
            </w:tcBorders>
            <w:gridSpan w:val="4"/>
            <w:shd w:val="clear" w:color="auto" w:fill="CCEEFF"/>
          </w:tcPr>
          <w:p>
            <w:pPr>
              <w:jc w:val="right"/>
              <w:ind w:right="60"/>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COMPENSATION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SECURITY OWNERSHIP OF CERTAIN BENEFICIAL OWNERS AND MANAGEMENT</w:t>
              </w:r>
            </w:hyperlink>
          </w:p>
        </w:tc>
        <w:tc>
          <w:tcPr>
            <w:tcW w:w="300" w:type="dxa"/>
            <w:vAlign w:val="bottom"/>
            <w:tcBorders>
              <w:right w:val="single" w:sz="8" w:color="CCEEFF"/>
            </w:tcBorders>
            <w:gridSpan w:val="4"/>
            <w:shd w:val="clear" w:color="auto" w:fill="CCEEFF"/>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6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SECTION 16(a) BENEFICIAL OWNERSHIP REPORTING COMPLIANCE</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ADDITIONAL INFORMATION</w:t>
              </w:r>
            </w:hyperlink>
          </w:p>
        </w:tc>
        <w:tc>
          <w:tcPr>
            <w:tcW w:w="300" w:type="dxa"/>
            <w:vAlign w:val="bottom"/>
            <w:tcBorders>
              <w:right w:val="single" w:sz="8" w:color="CCEEFF"/>
            </w:tcBorders>
            <w:gridSpan w:val="4"/>
            <w:shd w:val="clear" w:color="auto" w:fill="CCEEFF"/>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-3222625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34175 Ardenwood Blvd., Fremont, CA 94555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Fifth Avenue, Suite 210, Waltham, MA 02451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16, 2021</w:t>
      </w:r>
    </w:p>
    <w:p>
      <w:pPr>
        <w:spacing w:after="0" w:line="207" w:lineRule="exact"/>
        <w:rPr>
          <w:sz w:val="20"/>
          <w:szCs w:val="20"/>
          <w:color w:val="auto"/>
        </w:rPr>
      </w:pPr>
    </w:p>
    <w:p>
      <w:pPr>
        <w:jc w:val="center"/>
        <w:ind w:left="1760" w:right="24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TO BE HELD ON JUNE 16, 2021</w:t>
      </w:r>
    </w:p>
    <w:p>
      <w:pPr>
        <w:spacing w:after="0" w:line="58"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 xml:space="preserve">This proxy statement and our 2020 Annual Report to Stockholders, which includes our Annual Report on Form 10-K for the fiscal year ended December 31, 2020 are available on our website at www.ardelyx.com and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76"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color w:val="auto"/>
        </w:rPr>
        <w:t>Unless the context requires otherwise, in this proxy statement the terms “Ardelyx,” “we,” “us,” “our” and “the Company” refer to Ardelyx, Inc.</w:t>
      </w:r>
    </w:p>
    <w:p>
      <w:pPr>
        <w:spacing w:after="0" w:line="166" w:lineRule="exact"/>
        <w:rPr>
          <w:sz w:val="20"/>
          <w:szCs w:val="20"/>
          <w:color w:val="auto"/>
        </w:rPr>
      </w:pPr>
    </w:p>
    <w:p>
      <w:pPr>
        <w:ind w:left="300" w:right="399"/>
        <w:spacing w:after="0" w:line="393" w:lineRule="auto"/>
        <w:rPr>
          <w:sz w:val="20"/>
          <w:szCs w:val="20"/>
          <w:color w:val="auto"/>
        </w:rPr>
      </w:pPr>
      <w:r>
        <w:rPr>
          <w:rFonts w:ascii="Arial" w:cs="Arial" w:eastAsia="Arial" w:hAnsi="Arial"/>
          <w:sz w:val="18"/>
          <w:szCs w:val="18"/>
          <w:b w:val="1"/>
          <w:bCs w:val="1"/>
          <w:color w:val="auto"/>
        </w:rPr>
        <w:t>QUESTIONS AND ANSWERS REGARDING THE PROXY MATERIALS AND THE VOTING PROCESS Why am I receiving these proxy materials?</w:t>
      </w:r>
    </w:p>
    <w:p>
      <w:pPr>
        <w:spacing w:after="0" w:line="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 xml:space="preserve">We have made these proxy materials available to you on the internet or, upon your request, have delivered paper proxy materials to you, because the board of directors of Ardelyx is soliciting your proxy to vote at the 2021 Annual Meeting of Stockholders, or the 2021 Annual Meeting, or any adjournments that take place. The 2021 Annual Meeting will be held online on June 16, 2021 at 8:30 a.m. Pacific Time via live audio-only webcast at </w:t>
      </w:r>
      <w:r>
        <w:rPr>
          <w:rFonts w:ascii="Arial" w:cs="Arial" w:eastAsia="Arial" w:hAnsi="Arial"/>
          <w:sz w:val="18"/>
          <w:szCs w:val="18"/>
          <w:i w:val="1"/>
          <w:iCs w:val="1"/>
          <w:color w:val="auto"/>
        </w:rPr>
        <w:t>www.virtualshareholdermeeting.com/ARDX2021</w:t>
      </w:r>
      <w:r>
        <w:rPr>
          <w:rFonts w:ascii="Arial" w:cs="Arial" w:eastAsia="Arial" w:hAnsi="Arial"/>
          <w:sz w:val="18"/>
          <w:szCs w:val="18"/>
          <w:color w:val="auto"/>
        </w:rPr>
        <w:t>. As a stockholder, you are invited to attend the 2021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online and are requested to vote on the proposals described in this proxy statement. However, you do not need to attend the 2021 Annual Meeting to vote.</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proxy materials include:</w:t>
      </w:r>
    </w:p>
    <w:p>
      <w:pPr>
        <w:spacing w:after="0" w:line="117" w:lineRule="exact"/>
        <w:rPr>
          <w:sz w:val="20"/>
          <w:szCs w:val="20"/>
          <w:color w:val="auto"/>
        </w:rPr>
      </w:pPr>
    </w:p>
    <w:p>
      <w:pPr>
        <w:ind w:left="1000" w:right="45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2021 Annual Meeting, the voting process, corporate governance, the compensation of our directors and certain executive officers, and other required information;</w:t>
      </w:r>
    </w:p>
    <w:p>
      <w:pPr>
        <w:spacing w:after="0" w:line="75"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2020 Annual Report to Stockholders, which includes our Annual Report on Form 10-K for the fiscal year ended December 31, 2020;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2021 Annual Meeting.</w:t>
      </w:r>
    </w:p>
    <w:p>
      <w:pPr>
        <w:spacing w:after="0" w:line="117" w:lineRule="exact"/>
        <w:rPr>
          <w:sz w:val="20"/>
          <w:szCs w:val="20"/>
          <w:color w:val="auto"/>
        </w:rPr>
      </w:pPr>
    </w:p>
    <w:p>
      <w:pPr>
        <w:ind w:left="300" w:right="999"/>
        <w:spacing w:after="0" w:line="277" w:lineRule="auto"/>
        <w:rPr>
          <w:sz w:val="20"/>
          <w:szCs w:val="20"/>
          <w:color w:val="auto"/>
        </w:rPr>
      </w:pPr>
      <w:r>
        <w:rPr>
          <w:rFonts w:ascii="Arial" w:cs="Arial" w:eastAsia="Arial" w:hAnsi="Arial"/>
          <w:sz w:val="18"/>
          <w:szCs w:val="18"/>
          <w:color w:val="auto"/>
        </w:rPr>
        <w:t>The proxy materials are being mailed or made available to stockholders on or about April 30, 2021, and are available at www.ardelyx.com.</w:t>
      </w:r>
    </w:p>
    <w:p>
      <w:pPr>
        <w:spacing w:after="0" w:line="166" w:lineRule="exact"/>
        <w:rPr>
          <w:sz w:val="20"/>
          <w:szCs w:val="20"/>
          <w:color w:val="auto"/>
        </w:rPr>
      </w:pPr>
    </w:p>
    <w:p>
      <w:pPr>
        <w:ind w:left="300" w:right="499"/>
        <w:spacing w:after="0" w:line="282" w:lineRule="auto"/>
        <w:rPr>
          <w:sz w:val="20"/>
          <w:szCs w:val="20"/>
          <w:color w:val="auto"/>
        </w:rPr>
      </w:pPr>
      <w:r>
        <w:rPr>
          <w:rFonts w:ascii="Arial" w:cs="Arial" w:eastAsia="Arial" w:hAnsi="Arial"/>
          <w:sz w:val="18"/>
          <w:szCs w:val="18"/>
          <w:b w:val="1"/>
          <w:bCs w:val="1"/>
          <w:color w:val="auto"/>
        </w:rPr>
        <w:t>Why did I receive a Notice of Internet Availability of Proxy Materials, or the Notice, in the mail instead of a complete set of paper proxy materials?</w:t>
      </w:r>
    </w:p>
    <w:p>
      <w:pPr>
        <w:spacing w:after="0" w:line="58" w:lineRule="exact"/>
        <w:rPr>
          <w:sz w:val="20"/>
          <w:szCs w:val="20"/>
          <w:color w:val="auto"/>
        </w:rPr>
      </w:pPr>
    </w:p>
    <w:p>
      <w:pPr>
        <w:ind w:left="300" w:right="399"/>
        <w:spacing w:after="0" w:line="290" w:lineRule="auto"/>
        <w:rPr>
          <w:sz w:val="20"/>
          <w:szCs w:val="20"/>
          <w:color w:val="auto"/>
        </w:rPr>
      </w:pPr>
      <w:r>
        <w:rPr>
          <w:rFonts w:ascii="Arial" w:cs="Arial" w:eastAsia="Arial" w:hAnsi="Arial"/>
          <w:sz w:val="16"/>
          <w:szCs w:val="16"/>
          <w:color w:val="auto"/>
        </w:rPr>
        <w:t>We have elected to provide our proxy materials to our stockholders over the internet as permitted by the rules of the U.S. Securities and Exchange Commission, or SEC.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the proxy materials over the internet, and how to request a paper copy of the proxy materials. All stockholders who have previously elected to receive a paper copy of our proxy materials will continue to receive a paper copy of the proxy materials by mail until the stockholder terminates such election.</w:t>
      </w:r>
    </w:p>
    <w:p>
      <w:pPr>
        <w:spacing w:after="0" w:line="161" w:lineRule="exact"/>
        <w:rPr>
          <w:sz w:val="20"/>
          <w:szCs w:val="20"/>
          <w:color w:val="auto"/>
        </w:rPr>
      </w:pPr>
    </w:p>
    <w:p>
      <w:pPr>
        <w:ind w:left="300" w:right="1099"/>
        <w:spacing w:after="0" w:line="282" w:lineRule="auto"/>
        <w:rPr>
          <w:sz w:val="20"/>
          <w:szCs w:val="20"/>
          <w:color w:val="auto"/>
        </w:rPr>
      </w:pPr>
      <w:r>
        <w:rPr>
          <w:rFonts w:ascii="Arial" w:cs="Arial" w:eastAsia="Arial" w:hAnsi="Arial"/>
          <w:sz w:val="18"/>
          <w:szCs w:val="18"/>
          <w:b w:val="1"/>
          <w:bCs w:val="1"/>
          <w:color w:val="auto"/>
        </w:rPr>
        <w:t>Why did I receive a complete set of paper proxy materials in the mail instead of a Notice of Internet Availability of Proxy Materials?</w:t>
      </w:r>
    </w:p>
    <w:p>
      <w:pPr>
        <w:spacing w:after="0" w:line="58" w:lineRule="exact"/>
        <w:rPr>
          <w:sz w:val="20"/>
          <w:szCs w:val="20"/>
          <w:color w:val="auto"/>
        </w:rPr>
      </w:pPr>
    </w:p>
    <w:p>
      <w:pPr>
        <w:ind w:left="300" w:right="559"/>
        <w:spacing w:after="0" w:line="342" w:lineRule="auto"/>
        <w:rPr>
          <w:sz w:val="20"/>
          <w:szCs w:val="20"/>
          <w:color w:val="auto"/>
        </w:rPr>
      </w:pPr>
      <w:r>
        <w:rPr>
          <w:rFonts w:ascii="Arial" w:cs="Arial" w:eastAsia="Arial" w:hAnsi="Arial"/>
          <w:sz w:val="16"/>
          <w:szCs w:val="16"/>
          <w:color w:val="auto"/>
        </w:rPr>
        <w:t>We are providing stockholders who have previously requested to receive paper copies of the proxy materials with paper copies of the proxy materials instead of the Notice. If you would like to reduce the environmental impact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59"/>
        <w:spacing w:after="0" w:line="311" w:lineRule="auto"/>
        <w:rPr>
          <w:sz w:val="20"/>
          <w:szCs w:val="20"/>
          <w:color w:val="auto"/>
        </w:rPr>
      </w:pPr>
      <w:r>
        <w:rPr>
          <w:rFonts w:ascii="Arial" w:cs="Arial" w:eastAsia="Arial" w:hAnsi="Arial"/>
          <w:sz w:val="16"/>
          <w:szCs w:val="16"/>
          <w:color w:val="auto"/>
        </w:rPr>
        <w:t>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 at the 2021 Annual Meeting?</w:t>
      </w:r>
    </w:p>
    <w:p>
      <w:pPr>
        <w:spacing w:after="0" w:line="121" w:lineRule="exact"/>
        <w:rPr>
          <w:sz w:val="20"/>
          <w:szCs w:val="20"/>
          <w:color w:val="auto"/>
        </w:rPr>
      </w:pPr>
    </w:p>
    <w:p>
      <w:pPr>
        <w:ind w:left="300" w:right="599"/>
        <w:spacing w:after="0" w:line="342" w:lineRule="auto"/>
        <w:rPr>
          <w:sz w:val="20"/>
          <w:szCs w:val="20"/>
          <w:color w:val="auto"/>
        </w:rPr>
      </w:pPr>
      <w:r>
        <w:rPr>
          <w:rFonts w:ascii="Arial" w:cs="Arial" w:eastAsia="Arial" w:hAnsi="Arial"/>
          <w:sz w:val="16"/>
          <w:szCs w:val="16"/>
          <w:color w:val="auto"/>
        </w:rPr>
        <w:t>Only stockholders of record at the close of business on April 20, 2021 will be entitled to vote at the 2021 Annual Meeting. On this record date, there were 98,688,577 shares of common stock outstanding and entitled to vote.</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If, at the close of business on April 20, 2021, your shares were registered directly in your name with our transfer agent, American Stock Transfer &amp; Trust Company, LLC, then you are a stockholder of record. As a stockholder of record, you may vote online at the 2021 Annual Meeting or vote by proxy. Whether or not you plan to attend the 2021 Annual Meeting, please vote as soon as possible by internet, telephone or by mail as instructed below to ensure your vote is counted.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or Bank</w:t>
      </w:r>
    </w:p>
    <w:p>
      <w:pPr>
        <w:spacing w:after="0" w:line="117"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color w:val="auto"/>
        </w:rPr>
        <w:t>If, at the close of business on April 20, 2021,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2021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2021 Annual Meeting, you must obtain a valid proxy from your broker or other agent. Follow the instructions from your broker or other agent included with these proxy materials, or contact your broker or bank to request a proxy form. In order to login to the online 2021 Annual Meeting, you will need the unique account number which appears on the Notice and the instructions that accompanied the proxy materials. In the event that you do not have a control number, please contact your broker, bank, or other nominee as soon as possible so that you can be provided with a control number.</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proposals are scheduled for a vote?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three proposals scheduled for a vote at the 2021 Annual Meeting:</w:t>
      </w:r>
    </w:p>
    <w:p>
      <w:pPr>
        <w:spacing w:after="0" w:line="117" w:lineRule="exact"/>
        <w:rPr>
          <w:sz w:val="20"/>
          <w:szCs w:val="20"/>
          <w:color w:val="auto"/>
        </w:rPr>
      </w:pPr>
    </w:p>
    <w:p>
      <w:pPr>
        <w:ind w:left="1000" w:right="10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No. 1 — To elect three Class I directors to hold office until the 2024 Annual Meeting of Stockholders and until their successors are elected and qualified;</w:t>
      </w:r>
    </w:p>
    <w:p>
      <w:pPr>
        <w:spacing w:after="0" w:line="62"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No. 2 — To ratify the selection, by the Audit Committee of our Board of Directors, of Ernst &amp; Young LLP as the independent registered public accounting firm of the Company for the fiscal year ending December 31, 2021; and</w:t>
      </w:r>
    </w:p>
    <w:p>
      <w:pPr>
        <w:spacing w:after="0" w:line="75" w:lineRule="exact"/>
        <w:rPr>
          <w:rFonts w:ascii="Arial" w:cs="Arial" w:eastAsia="Arial" w:hAnsi="Arial"/>
          <w:sz w:val="18"/>
          <w:szCs w:val="18"/>
          <w:color w:val="auto"/>
        </w:rPr>
      </w:pPr>
    </w:p>
    <w:p>
      <w:pPr>
        <w:jc w:val="both"/>
        <w:ind w:left="1000" w:right="33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No. 3 — To approve, on a non-binding, advisory basis, the compensation of our named executive officers as disclosed in this proxy statement pursuant to the compensation disclosure rules of the Securities and Exchange Commission (“Say-on-Pay”).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17" w:lineRule="exact"/>
        <w:rPr>
          <w:sz w:val="20"/>
          <w:szCs w:val="20"/>
          <w:color w:val="auto"/>
        </w:rPr>
      </w:pPr>
    </w:p>
    <w:p>
      <w:pPr>
        <w:jc w:val="both"/>
        <w:ind w:left="300" w:right="339"/>
        <w:spacing w:after="0" w:line="266" w:lineRule="auto"/>
        <w:rPr>
          <w:sz w:val="20"/>
          <w:szCs w:val="20"/>
          <w:color w:val="auto"/>
        </w:rPr>
      </w:pPr>
      <w:r>
        <w:rPr>
          <w:rFonts w:ascii="Arial" w:cs="Arial" w:eastAsia="Arial" w:hAnsi="Arial"/>
          <w:sz w:val="18"/>
          <w:szCs w:val="18"/>
          <w:color w:val="auto"/>
        </w:rPr>
        <w:t>For Proposal No. 1, you may either vote “</w:t>
      </w:r>
      <w:r>
        <w:rPr>
          <w:rFonts w:ascii="Arial" w:cs="Arial" w:eastAsia="Arial" w:hAnsi="Arial"/>
          <w:sz w:val="18"/>
          <w:szCs w:val="18"/>
          <w:b w:val="1"/>
          <w:bCs w:val="1"/>
          <w:color w:val="auto"/>
        </w:rPr>
        <w:t>FOR</w:t>
      </w:r>
      <w:r>
        <w:rPr>
          <w:rFonts w:ascii="Arial" w:cs="Arial" w:eastAsia="Arial" w:hAnsi="Arial"/>
          <w:sz w:val="18"/>
          <w:szCs w:val="18"/>
          <w:color w:val="auto"/>
        </w:rPr>
        <w:t>” all nominees to the board of directors or you may “</w:t>
      </w:r>
      <w:r>
        <w:rPr>
          <w:rFonts w:ascii="Arial" w:cs="Arial" w:eastAsia="Arial" w:hAnsi="Arial"/>
          <w:sz w:val="18"/>
          <w:szCs w:val="18"/>
          <w:b w:val="1"/>
          <w:bCs w:val="1"/>
          <w:color w:val="auto"/>
        </w:rPr>
        <w:t>WITHHOLD</w:t>
      </w:r>
      <w:r>
        <w:rPr>
          <w:rFonts w:ascii="Arial" w:cs="Arial" w:eastAsia="Arial" w:hAnsi="Arial"/>
          <w:sz w:val="18"/>
          <w:szCs w:val="18"/>
          <w:color w:val="auto"/>
        </w:rPr>
        <w:t>” your vote for any nominee you specify. For Proposals No. 2 and No. 3, you may either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you may abstain from voting.</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If you are a stockholder of record, you may vote online at the virtual 2021 Annual Meeting or vote by internet, telephone or by mail. Whether or not you plan to attend the 2021 Annual Meeting online, please vote as soon as possible to ensure your vote is counted. You may still attend the 2021 Annual Meeting online and vote online even if you have already voted by proxy.</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000" w:right="579" w:hanging="348"/>
        <w:spacing w:after="0" w:line="26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Attending the 2021 Annual Meeting Online. </w:t>
      </w:r>
      <w:r>
        <w:rPr>
          <w:rFonts w:ascii="Arial" w:cs="Arial" w:eastAsia="Arial" w:hAnsi="Arial"/>
          <w:sz w:val="18"/>
          <w:szCs w:val="18"/>
          <w:color w:val="auto"/>
        </w:rPr>
        <w:t>You may vote online at the 2021 Annual Meeting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attending the 2021 Annual Meeting online via live audio-only webcast at </w:t>
      </w:r>
      <w:r>
        <w:rPr>
          <w:rFonts w:ascii="Arial" w:cs="Arial" w:eastAsia="Arial" w:hAnsi="Arial"/>
          <w:sz w:val="18"/>
          <w:szCs w:val="18"/>
          <w:i w:val="1"/>
          <w:iCs w:val="1"/>
          <w:color w:val="auto"/>
        </w:rPr>
        <w:t>www.virtualshareholdermeeting.com/ARDX2021</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000" w:right="459" w:hanging="348"/>
        <w:spacing w:after="0" w:line="261"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 vote by proxy by internet or telephone. </w:t>
      </w:r>
      <w:r>
        <w:rPr>
          <w:rFonts w:ascii="Arial" w:cs="Arial" w:eastAsia="Arial" w:hAnsi="Arial"/>
          <w:sz w:val="18"/>
          <w:szCs w:val="18"/>
          <w:color w:val="auto"/>
        </w:rPr>
        <w:t>If you have internet or telephone access, you may submit</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by following the instructions provided in the Notice, or if you received paper proxy materials by mail, by following the instructions provided with your proxy materials and on your proxy card or voting instruction card.</w:t>
      </w:r>
    </w:p>
    <w:p>
      <w:pPr>
        <w:spacing w:after="0" w:line="71" w:lineRule="exact"/>
        <w:rPr>
          <w:rFonts w:ascii="Arial" w:cs="Arial" w:eastAsia="Arial" w:hAnsi="Arial"/>
          <w:sz w:val="18"/>
          <w:szCs w:val="18"/>
          <w:color w:val="auto"/>
        </w:rPr>
      </w:pPr>
    </w:p>
    <w:p>
      <w:pPr>
        <w:ind w:left="1000" w:right="339" w:hanging="348"/>
        <w:spacing w:after="0" w:line="26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 vote by proxy by mail. </w:t>
      </w:r>
      <w:r>
        <w:rPr>
          <w:rFonts w:ascii="Arial" w:cs="Arial" w:eastAsia="Arial" w:hAnsi="Arial"/>
          <w:sz w:val="18"/>
          <w:szCs w:val="18"/>
          <w:color w:val="auto"/>
        </w:rPr>
        <w:t>If you received paper proxy materials, you may submit your proxy by mail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and signing your proxy card and mailing it in the enclosed envelope. Your shares will be voted as you have instructed.</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Beneficial Owner: Shares Registered in the Name of Broker or Bank</w:t>
      </w:r>
    </w:p>
    <w:p>
      <w:pPr>
        <w:spacing w:after="0" w:line="117" w:lineRule="exact"/>
        <w:rPr>
          <w:sz w:val="20"/>
          <w:szCs w:val="20"/>
          <w:color w:val="auto"/>
        </w:rPr>
      </w:pPr>
    </w:p>
    <w:p>
      <w:pPr>
        <w:ind w:left="300" w:right="559"/>
        <w:spacing w:after="0" w:line="254" w:lineRule="auto"/>
        <w:rPr>
          <w:sz w:val="20"/>
          <w:szCs w:val="20"/>
          <w:color w:val="auto"/>
        </w:rPr>
      </w:pPr>
      <w:r>
        <w:rPr>
          <w:rFonts w:ascii="Arial" w:cs="Arial" w:eastAsia="Arial" w:hAnsi="Arial"/>
          <w:sz w:val="18"/>
          <w:szCs w:val="18"/>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2021 Annual Meeting, you must obtain a valid proxy from your broker or other agent. Follow the instructions from your broker or other agent included with these proxy materials, or contact your broker or bank to request a proxy form.</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vote my shares by completing and returning the Notice?</w:t>
      </w:r>
    </w:p>
    <w:p>
      <w:pPr>
        <w:spacing w:after="0" w:line="121" w:lineRule="exact"/>
        <w:rPr>
          <w:sz w:val="20"/>
          <w:szCs w:val="20"/>
          <w:color w:val="auto"/>
        </w:rPr>
      </w:pPr>
    </w:p>
    <w:p>
      <w:pPr>
        <w:ind w:left="300" w:right="739"/>
        <w:spacing w:after="0" w:line="342" w:lineRule="auto"/>
        <w:rPr>
          <w:sz w:val="20"/>
          <w:szCs w:val="20"/>
          <w:color w:val="auto"/>
        </w:rPr>
      </w:pPr>
      <w:r>
        <w:rPr>
          <w:rFonts w:ascii="Arial" w:cs="Arial" w:eastAsia="Arial" w:hAnsi="Arial"/>
          <w:sz w:val="16"/>
          <w:szCs w:val="16"/>
          <w:color w:val="auto"/>
        </w:rPr>
        <w:t>No. The Notice will, however, provide instructions on how to vote by internet, by telephone, by requesting and returning a paper proxy card or voting instruction card, or by voting online at the 2021 Annual Meeting.</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On each matter to be voted upon, you have one vote for each share of the Company’s common stock you owned as of April 20, 2021.</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300" w:right="319"/>
        <w:spacing w:after="0" w:line="294" w:lineRule="auto"/>
        <w:rPr>
          <w:sz w:val="20"/>
          <w:szCs w:val="20"/>
          <w:color w:val="auto"/>
        </w:rPr>
      </w:pPr>
      <w:r>
        <w:rPr>
          <w:rFonts w:ascii="Arial" w:cs="Arial" w:eastAsia="Arial" w:hAnsi="Arial"/>
          <w:sz w:val="16"/>
          <w:szCs w:val="16"/>
          <w:color w:val="auto"/>
        </w:rPr>
        <w:t>If you return a signed and dated proxy card without marking any voting selections,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nominee for director (Proposal No. 1),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selection of Ernst &amp; Young LLP as the independent registered public accounting firm of the Company for the fiscal year ending December 31, 2021 (Proposal No. 2), and “</w:t>
      </w:r>
      <w:r>
        <w:rPr>
          <w:rFonts w:ascii="Arial" w:cs="Arial" w:eastAsia="Arial" w:hAnsi="Arial"/>
          <w:sz w:val="16"/>
          <w:szCs w:val="16"/>
          <w:b w:val="1"/>
          <w:bCs w:val="1"/>
          <w:color w:val="auto"/>
        </w:rPr>
        <w:t>FOR</w:t>
      </w:r>
      <w:r>
        <w:rPr>
          <w:rFonts w:ascii="Arial" w:cs="Arial" w:eastAsia="Arial" w:hAnsi="Arial"/>
          <w:sz w:val="16"/>
          <w:szCs w:val="16"/>
          <w:color w:val="auto"/>
        </w:rPr>
        <w:t>” the approval, on a non-binding, advisory basis, of the Say-On-Pay proposal (Proposal No. 3). If any other matter is properly presented at the 2021 Annual Meeting, your proxyholder (one of the individuals named on your proxy card) will vote your shares using his or her best judgment.</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jc w:val="both"/>
        <w:ind w:left="300" w:right="839"/>
        <w:spacing w:after="0" w:line="311" w:lineRule="auto"/>
        <w:rPr>
          <w:sz w:val="20"/>
          <w:szCs w:val="20"/>
          <w:color w:val="auto"/>
        </w:rPr>
      </w:pPr>
      <w:r>
        <w:rPr>
          <w:rFonts w:ascii="Arial" w:cs="Arial" w:eastAsia="Arial" w:hAnsi="Arial"/>
          <w:sz w:val="16"/>
          <w:szCs w:val="16"/>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does it mean if I receive more than one Notice or proxy card?</w:t>
      </w:r>
    </w:p>
    <w:p>
      <w:pPr>
        <w:spacing w:after="0" w:line="121" w:lineRule="exact"/>
        <w:rPr>
          <w:sz w:val="20"/>
          <w:szCs w:val="20"/>
          <w:color w:val="auto"/>
        </w:rPr>
      </w:pPr>
    </w:p>
    <w:p>
      <w:pPr>
        <w:ind w:left="300" w:right="299"/>
        <w:spacing w:after="0" w:line="263" w:lineRule="auto"/>
        <w:rPr>
          <w:sz w:val="20"/>
          <w:szCs w:val="20"/>
          <w:color w:val="auto"/>
        </w:rPr>
      </w:pPr>
      <w:r>
        <w:rPr>
          <w:rFonts w:ascii="Arial" w:cs="Arial" w:eastAsia="Arial" w:hAnsi="Arial"/>
          <w:sz w:val="18"/>
          <w:szCs w:val="18"/>
          <w:color w:val="auto"/>
        </w:rPr>
        <w:t>If you receive more than one Notice or proxy card, your shares are registered in more than one name or are registered in different accounts. In order to vote all the shares you own, you must vote pursuant to the instructions on each Notice or return each proxy card.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300" w:right="959"/>
        <w:spacing w:after="0" w:line="308" w:lineRule="auto"/>
        <w:rPr>
          <w:sz w:val="20"/>
          <w:szCs w:val="20"/>
          <w:color w:val="auto"/>
        </w:rPr>
      </w:pPr>
      <w:r>
        <w:rPr>
          <w:rFonts w:ascii="Arial" w:cs="Arial" w:eastAsia="Arial" w:hAnsi="Arial"/>
          <w:sz w:val="17"/>
          <w:szCs w:val="17"/>
          <w:color w:val="auto"/>
        </w:rPr>
        <w:t>Yes. You can revoke your proxy at any time before the final vote at the 2021 Annual Meeting. If you are the stockholder of record of your shares, you may revoke your proxy in any one of three ways:</w:t>
      </w:r>
    </w:p>
    <w:p>
      <w:pPr>
        <w:spacing w:after="0" w:line="38"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may submit another properly completed proxy, bearing a date later than the date of the original proxy.</w:t>
      </w:r>
    </w:p>
    <w:p>
      <w:pPr>
        <w:spacing w:after="0" w:line="140" w:lineRule="exact"/>
        <w:rPr>
          <w:rFonts w:ascii="Arial" w:cs="Arial" w:eastAsia="Arial" w:hAnsi="Arial"/>
          <w:sz w:val="16"/>
          <w:szCs w:val="16"/>
          <w:color w:val="auto"/>
        </w:rPr>
      </w:pPr>
    </w:p>
    <w:p>
      <w:pPr>
        <w:ind w:left="1000" w:right="43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a timely written notice, bearing a date later than the date of the original proxy, that you are revoking your proxy to the Company’s Chief Legal and Administrative Officer at the following email address: general-counsel@ardelyx.com.</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attend the virtual 2021 Annual Meeting and vote online. Simply attending the 2021 Annual Meeting online will not, by itself, revoke your proxy.</w:t>
      </w:r>
    </w:p>
    <w:p>
      <w:pPr>
        <w:spacing w:after="0" w:line="62"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If your shares are held in “street name” by your broker or other agent, you should follow the instructions provided by your broker or agent to change your vote.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at least a majority of the outstanding shares entitled to vote are present in attendance at the virtual 2021 Annual Meeting. On the record date, there were 98,688,577 shares outstanding and entitled to vote. Accordingly, the holders of 49,344,289 shares must be present at the 2021 Annual Meeting to have a quorum. Your shares will be counted toward the quorum at the 2021 Annual Meeting only if you vote online at the meeting, or you submit a valid proxy vote.</w:t>
      </w:r>
    </w:p>
    <w:p>
      <w:pPr>
        <w:spacing w:after="0" w:line="84" w:lineRule="exact"/>
        <w:rPr>
          <w:sz w:val="20"/>
          <w:szCs w:val="20"/>
          <w:color w:val="auto"/>
        </w:rPr>
      </w:pPr>
    </w:p>
    <w:p>
      <w:pPr>
        <w:ind w:left="300" w:right="419"/>
        <w:spacing w:after="0" w:line="286" w:lineRule="auto"/>
        <w:rPr>
          <w:sz w:val="20"/>
          <w:szCs w:val="20"/>
          <w:color w:val="auto"/>
        </w:rPr>
      </w:pPr>
      <w:r>
        <w:rPr>
          <w:rFonts w:ascii="Arial" w:cs="Arial" w:eastAsia="Arial" w:hAnsi="Arial"/>
          <w:sz w:val="17"/>
          <w:szCs w:val="17"/>
          <w:color w:val="auto"/>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2021 Annual Meeting to another date.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are votes counted?</w:t>
      </w:r>
    </w:p>
    <w:p>
      <w:pPr>
        <w:spacing w:after="0" w:line="117" w:lineRule="exact"/>
        <w:rPr>
          <w:sz w:val="20"/>
          <w:szCs w:val="20"/>
          <w:color w:val="auto"/>
        </w:rPr>
      </w:pPr>
    </w:p>
    <w:p>
      <w:pPr>
        <w:ind w:left="300" w:right="379"/>
        <w:spacing w:after="0" w:line="261" w:lineRule="auto"/>
        <w:rPr>
          <w:sz w:val="20"/>
          <w:szCs w:val="20"/>
          <w:color w:val="auto"/>
        </w:rPr>
      </w:pPr>
      <w:r>
        <w:rPr>
          <w:rFonts w:ascii="Arial" w:cs="Arial" w:eastAsia="Arial" w:hAnsi="Arial"/>
          <w:sz w:val="18"/>
          <w:szCs w:val="18"/>
          <w:color w:val="auto"/>
        </w:rPr>
        <w:t>With respect to the election of directors (Proposal 1),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for each of the nominees for the Board. If you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With respect to the ratification of Ernst &amp; Young LLP as of our independent registered public accounting firm for</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year ending December 31, 2021 (Proposal 2),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If you</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ABSTAIN</w:t>
      </w:r>
      <w:r>
        <w:rPr>
          <w:rFonts w:ascii="Arial" w:cs="Arial" w:eastAsia="Arial" w:hAnsi="Arial"/>
          <w:sz w:val="17"/>
          <w:szCs w:val="17"/>
          <w:color w:val="auto"/>
        </w:rPr>
        <w:t>” from voting with respect to this proposal, your 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proposal. Broker non-votes will have no effect on the vote for this proposal.</w:t>
      </w:r>
    </w:p>
    <w:p>
      <w:pPr>
        <w:spacing w:after="0" w:line="99" w:lineRule="exact"/>
        <w:rPr>
          <w:sz w:val="20"/>
          <w:szCs w:val="20"/>
          <w:color w:val="auto"/>
        </w:rPr>
      </w:pPr>
    </w:p>
    <w:p>
      <w:pPr>
        <w:jc w:val="both"/>
        <w:ind w:left="300" w:right="419"/>
        <w:spacing w:after="0" w:line="266" w:lineRule="auto"/>
        <w:rPr>
          <w:sz w:val="20"/>
          <w:szCs w:val="20"/>
          <w:color w:val="auto"/>
        </w:rPr>
      </w:pPr>
      <w:r>
        <w:rPr>
          <w:rFonts w:ascii="Arial" w:cs="Arial" w:eastAsia="Arial" w:hAnsi="Arial"/>
          <w:sz w:val="18"/>
          <w:szCs w:val="18"/>
          <w:color w:val="auto"/>
        </w:rPr>
        <w:t>With respect to the Say-On-Pay proposal (Proposal 3),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If you “</w:t>
      </w:r>
      <w:r>
        <w:rPr>
          <w:rFonts w:ascii="Arial" w:cs="Arial" w:eastAsia="Arial" w:hAnsi="Arial"/>
          <w:sz w:val="18"/>
          <w:szCs w:val="18"/>
          <w:b w:val="1"/>
          <w:bCs w:val="1"/>
          <w:color w:val="auto"/>
        </w:rPr>
        <w:t>ABSTAIN</w:t>
      </w:r>
      <w:r>
        <w:rPr>
          <w:rFonts w:ascii="Arial" w:cs="Arial" w:eastAsia="Arial" w:hAnsi="Arial"/>
          <w:sz w:val="18"/>
          <w:szCs w:val="18"/>
          <w:color w:val="auto"/>
        </w:rPr>
        <w:t>” from voting with respect to this proposal, your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have no effect on the vote for this proposal.</w:t>
      </w:r>
    </w:p>
    <w:p>
      <w:pPr>
        <w:spacing w:after="0" w:line="72"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Votes will be counted by the Inspector of Elections appointed for the 2021 Annual Meeting. The Inspector of Elections will separately count “</w:t>
      </w:r>
      <w:r>
        <w:rPr>
          <w:rFonts w:ascii="Arial" w:cs="Arial" w:eastAsia="Arial" w:hAnsi="Arial"/>
          <w:sz w:val="18"/>
          <w:szCs w:val="18"/>
          <w:b w:val="1"/>
          <w:bCs w:val="1"/>
          <w:color w:val="auto"/>
        </w:rPr>
        <w:t>FOR</w:t>
      </w:r>
      <w:r>
        <w:rPr>
          <w:rFonts w:ascii="Arial" w:cs="Arial" w:eastAsia="Arial" w:hAnsi="Arial"/>
          <w:sz w:val="18"/>
          <w:szCs w:val="18"/>
          <w:color w:val="auto"/>
        </w:rPr>
        <w:t>” votes for the election of directors (Proposal 1),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abstentions and, if any, broker non-votes for the ratification of the selection of Ernst &amp; Young LLP as the independent registered accounting firm of the Company for the fiscal year ending December 31, 2021 (Proposal 2), and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abstentions and, if any, broker non-votes for the approval, on a non-binding, advisory basis, of the Say-On-Pay (Proposal 3).</w:t>
      </w:r>
    </w:p>
    <w:p>
      <w:pPr>
        <w:spacing w:after="0" w:line="84"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300" w:right="519"/>
        <w:spacing w:after="0" w:line="342" w:lineRule="auto"/>
        <w:rPr>
          <w:sz w:val="20"/>
          <w:szCs w:val="20"/>
          <w:color w:val="auto"/>
        </w:rPr>
      </w:pPr>
      <w:r>
        <w:rPr>
          <w:rFonts w:ascii="Arial" w:cs="Arial" w:eastAsia="Arial" w:hAnsi="Arial"/>
          <w:sz w:val="16"/>
          <w:szCs w:val="16"/>
          <w:color w:val="auto"/>
        </w:rPr>
        <w:t>If you hold shares beneficially in street name and do not provide your broker with voting instructions, your shares may constitute “broker non-votes.” Broker non-votes occur on a matter when a broker is not permitted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vote on that matter without instructions from the beneficial owner and instructions are not given. These matters are referred to as “non-routine” matters. Proposal No. 1 to elect directors and Proposal No. 3 to approve the Say-On-Pay are both “non-routine” matters, but Proposal No. 2 to ratify the selection of Ernst &amp; Young LLP as the independent registered public accounting firm for the Company for the fiscal year ending December 31, 2021 is a “routine” matter.</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000" w:right="379" w:hanging="348"/>
        <w:spacing w:after="0" w:line="25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1 — To elect three Class I directors to hold office until the 2024 Annual Meeting of Stockholders and until their successors are elected and qualified. Directors shall be elected by a plurality of the votes cast, which means that the three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(from the votes of shares present in attendance or represented by proxy and entitled to vote on the election of directors) will be elected. “</w:t>
      </w:r>
      <w:r>
        <w:rPr>
          <w:rFonts w:ascii="Arial" w:cs="Arial" w:eastAsia="Arial" w:hAnsi="Arial"/>
          <w:sz w:val="18"/>
          <w:szCs w:val="18"/>
          <w:b w:val="1"/>
          <w:bCs w:val="1"/>
          <w:color w:val="auto"/>
        </w:rPr>
        <w:t>WITHHOLD</w:t>
      </w:r>
      <w:r>
        <w:rPr>
          <w:rFonts w:ascii="Arial" w:cs="Arial" w:eastAsia="Arial" w:hAnsi="Arial"/>
          <w:sz w:val="18"/>
          <w:szCs w:val="18"/>
          <w:color w:val="auto"/>
        </w:rPr>
        <w:t>” votes and broker non-votes will not be counted towards the vote total for this proposal.</w:t>
      </w:r>
    </w:p>
    <w:p>
      <w:pPr>
        <w:spacing w:after="0" w:line="84" w:lineRule="exact"/>
        <w:rPr>
          <w:rFonts w:ascii="Arial" w:cs="Arial" w:eastAsia="Arial" w:hAnsi="Arial"/>
          <w:sz w:val="18"/>
          <w:szCs w:val="18"/>
          <w:color w:val="auto"/>
        </w:rPr>
      </w:pPr>
    </w:p>
    <w:p>
      <w:pPr>
        <w:ind w:left="1000" w:right="399" w:hanging="348"/>
        <w:spacing w:after="0" w:line="271"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Proposal No. 2 — To ratify the selection of Ernst &amp; Young LLP as the independent registered public accounting firm of the Company for the fiscal year ending December 31, 2021. The ratification of our Ernst &amp; Young LLP as independent registered public accounting firm for the year ending December 31, 2021 requires the affirmative vote of the majority of the votes cast, which means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the proposal must exceed the number of shares voted “</w:t>
      </w:r>
      <w:r>
        <w:rPr>
          <w:rFonts w:ascii="Arial" w:cs="Arial" w:eastAsia="Arial" w:hAnsi="Arial"/>
          <w:sz w:val="17"/>
          <w:szCs w:val="17"/>
          <w:b w:val="1"/>
          <w:bCs w:val="1"/>
          <w:color w:val="auto"/>
        </w:rPr>
        <w:t>AGAINST</w:t>
      </w:r>
      <w:r>
        <w:rPr>
          <w:rFonts w:ascii="Arial" w:cs="Arial" w:eastAsia="Arial" w:hAnsi="Arial"/>
          <w:sz w:val="17"/>
          <w:szCs w:val="17"/>
          <w:color w:val="auto"/>
        </w:rPr>
        <w:t>” such proposal). Abstentions and broker non-votes are not considered votes cast for the foregoing purpose, and will have no effect on the vote for this proposal. Because Proposal No. 2 is considered a “routine” matter, no broker non-votes are expected in connection with this proposal.</w:t>
      </w:r>
    </w:p>
    <w:p>
      <w:pPr>
        <w:spacing w:after="0" w:line="70" w:lineRule="exact"/>
        <w:rPr>
          <w:rFonts w:ascii="Arial" w:cs="Arial" w:eastAsia="Arial" w:hAnsi="Arial"/>
          <w:sz w:val="17"/>
          <w:szCs w:val="17"/>
          <w:color w:val="auto"/>
        </w:rPr>
      </w:pPr>
    </w:p>
    <w:p>
      <w:pPr>
        <w:ind w:left="1000" w:right="499" w:hanging="348"/>
        <w:spacing w:after="0" w:line="296"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Proposal No. 3 — To approve, on a non-binding, advisory basis, the Say-On-Pay proposal. The Say-On-Pay Proposal requires the affirmative vote of the majority of the votes cast, which means the number of shares voted “</w:t>
      </w:r>
      <w:r>
        <w:rPr>
          <w:rFonts w:ascii="Arial" w:cs="Arial" w:eastAsia="Arial" w:hAnsi="Arial"/>
          <w:sz w:val="16"/>
          <w:szCs w:val="16"/>
          <w:b w:val="1"/>
          <w:bCs w:val="1"/>
          <w:color w:val="auto"/>
        </w:rPr>
        <w:t>FOR</w:t>
      </w:r>
      <w:r>
        <w:rPr>
          <w:rFonts w:ascii="Arial" w:cs="Arial" w:eastAsia="Arial" w:hAnsi="Arial"/>
          <w:sz w:val="16"/>
          <w:szCs w:val="16"/>
          <w:color w:val="auto"/>
        </w:rPr>
        <w:t>” the proposal must exceed the number of shares voted “</w:t>
      </w:r>
      <w:r>
        <w:rPr>
          <w:rFonts w:ascii="Arial" w:cs="Arial" w:eastAsia="Arial" w:hAnsi="Arial"/>
          <w:sz w:val="16"/>
          <w:szCs w:val="16"/>
          <w:b w:val="1"/>
          <w:bCs w:val="1"/>
          <w:color w:val="auto"/>
        </w:rPr>
        <w:t>AGAINST</w:t>
      </w:r>
      <w:r>
        <w:rPr>
          <w:rFonts w:ascii="Arial" w:cs="Arial" w:eastAsia="Arial" w:hAnsi="Arial"/>
          <w:sz w:val="16"/>
          <w:szCs w:val="16"/>
          <w:color w:val="auto"/>
        </w:rPr>
        <w:t>” such proposal). Abstentions have the same effect as a vote “AGAINST” such proposal. Broker non-votes are not considered votes cast for the foregoing purpose, and will have no effect on the vote for this proposal.</w:t>
      </w:r>
    </w:p>
    <w:p>
      <w:pPr>
        <w:spacing w:after="0" w:line="53" w:lineRule="exact"/>
        <w:rPr>
          <w:rFonts w:ascii="Arial" w:cs="Arial" w:eastAsia="Arial" w:hAnsi="Arial"/>
          <w:sz w:val="16"/>
          <w:szCs w:val="16"/>
          <w:color w:val="auto"/>
        </w:rPr>
      </w:pPr>
    </w:p>
    <w:p>
      <w:pPr>
        <w:ind w:left="1020" w:right="539"/>
        <w:spacing w:after="0" w:line="259" w:lineRule="auto"/>
        <w:rPr>
          <w:rFonts w:ascii="Arial" w:cs="Arial" w:eastAsia="Arial" w:hAnsi="Arial"/>
          <w:sz w:val="16"/>
          <w:szCs w:val="16"/>
          <w:color w:val="auto"/>
        </w:rPr>
      </w:pPr>
      <w:r>
        <w:rPr>
          <w:rFonts w:ascii="Arial" w:cs="Arial" w:eastAsia="Arial" w:hAnsi="Arial"/>
          <w:sz w:val="18"/>
          <w:szCs w:val="18"/>
          <w:color w:val="auto"/>
        </w:rPr>
        <w:t>Because votes on Proposal No. 3 is advisory, it will not be binding on the Board of Directors, the compensation committee of the Board of Directors or the Company. With respect to Proposal No. 3, the Board of Directors will review the voting results and take them into consideration when making future decisions about executive compensation.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121" w:lineRule="exact"/>
        <w:rPr>
          <w:sz w:val="20"/>
          <w:szCs w:val="20"/>
          <w:color w:val="auto"/>
        </w:rPr>
      </w:pPr>
    </w:p>
    <w:p>
      <w:pPr>
        <w:ind w:left="300" w:right="339"/>
        <w:spacing w:after="0" w:line="271" w:lineRule="auto"/>
        <w:rPr>
          <w:sz w:val="20"/>
          <w:szCs w:val="20"/>
          <w:color w:val="auto"/>
        </w:rPr>
      </w:pPr>
      <w:r>
        <w:rPr>
          <w:rFonts w:ascii="Arial" w:cs="Arial" w:eastAsia="Arial" w:hAnsi="Arial"/>
          <w:sz w:val="17"/>
          <w:szCs w:val="17"/>
          <w:color w:val="auto"/>
        </w:rPr>
        <w:t xml:space="preserve">This year’s Annual Meeting will be held entirely online due to the ongoing public health impact of the coronavirus outbreak (COVID-19) and to support the health and well-being of our partners, employees and stockholders. Stockholders of record as of April 20, 2021 will be able to attend and participate in the 2021 Annual Meeting online via live audio-only webcast at </w:t>
      </w:r>
      <w:r>
        <w:rPr>
          <w:rFonts w:ascii="Arial" w:cs="Arial" w:eastAsia="Arial" w:hAnsi="Arial"/>
          <w:sz w:val="17"/>
          <w:szCs w:val="17"/>
          <w:i w:val="1"/>
          <w:iCs w:val="1"/>
          <w:color w:val="auto"/>
        </w:rPr>
        <w:t>www.virtualshareholdermeeting.com/ARDX2021</w:t>
      </w:r>
      <w:r>
        <w:rPr>
          <w:rFonts w:ascii="Arial" w:cs="Arial" w:eastAsia="Arial" w:hAnsi="Arial"/>
          <w:sz w:val="17"/>
          <w:szCs w:val="17"/>
          <w:color w:val="auto"/>
        </w:rPr>
        <w:t>. You will be able to vote your shares electronically by Internet and submit questions online during the meeting by logging in to the website listed above and using the 16-digit control number included in your Notice, on your proxy card or on the instructions that accompanied your proxy materials. The virtual meeting has been designed to provide the same rights to participate as you would have at an in-person meeting.</w:t>
      </w:r>
    </w:p>
    <w:p>
      <w:pPr>
        <w:spacing w:after="0" w:line="70"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color w:val="auto"/>
        </w:rPr>
        <w:t>Even if you plan to attend the 2021 Annual Meeting online, we recommend that you also vote by proxy as described herein so that your vote will be counted if you decide not to attend the 2021 Annual Meeting.</w:t>
      </w:r>
    </w:p>
    <w:p>
      <w:pPr>
        <w:spacing w:after="0" w:line="62"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b w:val="1"/>
          <w:bCs w:val="1"/>
          <w:i w:val="1"/>
          <w:iCs w:val="1"/>
          <w:color w:val="auto"/>
        </w:rPr>
        <w:t xml:space="preserve">Access to the Audio Webcast of the 2021 Annual Meeting. </w:t>
      </w:r>
      <w:r>
        <w:rPr>
          <w:rFonts w:ascii="Arial" w:cs="Arial" w:eastAsia="Arial" w:hAnsi="Arial"/>
          <w:sz w:val="16"/>
          <w:szCs w:val="16"/>
          <w:color w:val="auto"/>
        </w:rPr>
        <w:t>The live audio webcast of the 2021 Annual Meeting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 promptly at 8:30 a.m. Pacific Time. Online check-in will begin at 8:15 a.m. Pacific Time and should allow ample time for the check-in procedures. We encourage our stockholders to access the meeting prior to the start time.</w:t>
      </w:r>
    </w:p>
    <w:p>
      <w:pPr>
        <w:spacing w:after="0" w:line="41" w:lineRule="exact"/>
        <w:rPr>
          <w:sz w:val="20"/>
          <w:szCs w:val="20"/>
          <w:color w:val="auto"/>
        </w:rPr>
      </w:pPr>
    </w:p>
    <w:p>
      <w:pPr>
        <w:ind w:left="300" w:right="619"/>
        <w:spacing w:after="0" w:line="259" w:lineRule="auto"/>
        <w:rPr>
          <w:sz w:val="20"/>
          <w:szCs w:val="20"/>
          <w:color w:val="auto"/>
        </w:rPr>
      </w:pPr>
      <w:r>
        <w:rPr>
          <w:rFonts w:ascii="Arial" w:cs="Arial" w:eastAsia="Arial" w:hAnsi="Arial"/>
          <w:sz w:val="18"/>
          <w:szCs w:val="18"/>
          <w:b w:val="1"/>
          <w:bCs w:val="1"/>
          <w:i w:val="1"/>
          <w:iCs w:val="1"/>
          <w:color w:val="auto"/>
        </w:rPr>
        <w:t xml:space="preserve">Log in Instructions. </w:t>
      </w:r>
      <w:r>
        <w:rPr>
          <w:rFonts w:ascii="Arial" w:cs="Arial" w:eastAsia="Arial" w:hAnsi="Arial"/>
          <w:sz w:val="18"/>
          <w:szCs w:val="18"/>
          <w:color w:val="auto"/>
        </w:rPr>
        <w:t>To attend the online 2021 Annual Meeting, you will need to login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www.virtualshareholdermeeting.com/ARDX2021</w:t>
      </w:r>
      <w:r>
        <w:rPr>
          <w:rFonts w:ascii="Arial" w:cs="Arial" w:eastAsia="Arial" w:hAnsi="Arial"/>
          <w:sz w:val="18"/>
          <w:szCs w:val="18"/>
          <w:color w:val="auto"/>
        </w:rPr>
        <w:t>. To attend the 2021 Annual Meeting, you will need the 16-digit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number included in your Notice, on your proxy card or on the instructions that accompanied your proxy materials.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b w:val="1"/>
          <w:bCs w:val="1"/>
          <w:i w:val="1"/>
          <w:iCs w:val="1"/>
          <w:color w:val="auto"/>
        </w:rPr>
        <w:t xml:space="preserve">Voting. You may vote online during the 2021 Annual Meeting. </w:t>
      </w:r>
      <w:r>
        <w:rPr>
          <w:rFonts w:ascii="Arial" w:cs="Arial" w:eastAsia="Arial" w:hAnsi="Arial"/>
          <w:sz w:val="18"/>
          <w:szCs w:val="18"/>
          <w:color w:val="auto"/>
        </w:rPr>
        <w:t>To do so, go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www.virtualshareholder.com/ARDX2021 </w:t>
      </w:r>
      <w:r>
        <w:rPr>
          <w:rFonts w:ascii="Arial" w:cs="Arial" w:eastAsia="Arial" w:hAnsi="Arial"/>
          <w:sz w:val="18"/>
          <w:szCs w:val="18"/>
          <w:color w:val="auto"/>
        </w:rPr>
        <w:t>and have available the 16-digit control number included in your Notice,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or on the instructions that accompanied your proxy materials.</w:t>
      </w:r>
    </w:p>
    <w:p>
      <w:pPr>
        <w:spacing w:after="0" w:line="76" w:lineRule="exact"/>
        <w:rPr>
          <w:sz w:val="20"/>
          <w:szCs w:val="20"/>
          <w:color w:val="auto"/>
        </w:rPr>
      </w:pPr>
    </w:p>
    <w:p>
      <w:pPr>
        <w:ind w:left="300" w:right="339"/>
        <w:spacing w:after="0" w:line="286" w:lineRule="auto"/>
        <w:rPr>
          <w:sz w:val="20"/>
          <w:szCs w:val="20"/>
          <w:color w:val="auto"/>
        </w:rPr>
      </w:pPr>
      <w:r>
        <w:rPr>
          <w:rFonts w:ascii="Arial" w:cs="Arial" w:eastAsia="Arial" w:hAnsi="Arial"/>
          <w:sz w:val="17"/>
          <w:szCs w:val="17"/>
          <w:b w:val="1"/>
          <w:bCs w:val="1"/>
          <w:i w:val="1"/>
          <w:iCs w:val="1"/>
          <w:color w:val="auto"/>
        </w:rPr>
        <w:t xml:space="preserve">Submitting Questions During the virtual 2021 Annual Meeting. </w:t>
      </w:r>
      <w:r>
        <w:rPr>
          <w:rFonts w:ascii="Arial" w:cs="Arial" w:eastAsia="Arial" w:hAnsi="Arial"/>
          <w:sz w:val="17"/>
          <w:szCs w:val="17"/>
          <w:color w:val="auto"/>
        </w:rPr>
        <w:t>During the 2021 Annual Meeting, you will be 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submit questions in the question box provided at </w:t>
      </w:r>
      <w:r>
        <w:rPr>
          <w:rFonts w:ascii="Arial" w:cs="Arial" w:eastAsia="Arial" w:hAnsi="Arial"/>
          <w:sz w:val="17"/>
          <w:szCs w:val="17"/>
          <w:i w:val="1"/>
          <w:iCs w:val="1"/>
          <w:color w:val="auto"/>
        </w:rPr>
        <w:t>www.virtualshareholdermeeting.com/ARDX2021</w:t>
      </w:r>
      <w:r>
        <w:rPr>
          <w:rFonts w:ascii="Arial" w:cs="Arial" w:eastAsia="Arial" w:hAnsi="Arial"/>
          <w:sz w:val="17"/>
          <w:szCs w:val="17"/>
          <w:color w:val="auto"/>
        </w:rPr>
        <w:t>. We will respond to as many inquiries at the 2021 Annual Meeting as time allows.</w:t>
      </w:r>
    </w:p>
    <w:p>
      <w:pPr>
        <w:spacing w:after="0" w:line="57"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b w:val="1"/>
          <w:bCs w:val="1"/>
          <w:i w:val="1"/>
          <w:iCs w:val="1"/>
          <w:color w:val="auto"/>
        </w:rPr>
        <w:t xml:space="preserve">Technical Assistance. </w:t>
      </w:r>
      <w:r>
        <w:rPr>
          <w:rFonts w:ascii="Arial" w:cs="Arial" w:eastAsia="Arial" w:hAnsi="Arial"/>
          <w:sz w:val="18"/>
          <w:szCs w:val="18"/>
          <w:color w:val="auto"/>
        </w:rPr>
        <w:t>Beginning 15 minutes prior to the start of and during the virtual 2021 Annual Meeting,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have a support team ready to assist stockholders with any technical difficulties they may have accessing or hearing the virtual meeting. If you encounter difficulties accessing the virtual 2021 Annual Meeting during check-in or meeting time, please call the technical support number that will be posted on the 2021 Annual Meeting website log-in page.</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find out the results of the voting at the 2021 Annual Meeting?</w:t>
      </w:r>
    </w:p>
    <w:p>
      <w:pPr>
        <w:spacing w:after="0" w:line="121" w:lineRule="exact"/>
        <w:rPr>
          <w:sz w:val="20"/>
          <w:szCs w:val="20"/>
          <w:color w:val="auto"/>
        </w:rPr>
      </w:pPr>
    </w:p>
    <w:p>
      <w:pPr>
        <w:ind w:left="300" w:right="419"/>
        <w:spacing w:after="0" w:line="279" w:lineRule="auto"/>
        <w:rPr>
          <w:sz w:val="20"/>
          <w:szCs w:val="20"/>
          <w:color w:val="auto"/>
        </w:rPr>
      </w:pPr>
      <w:r>
        <w:rPr>
          <w:rFonts w:ascii="Arial" w:cs="Arial" w:eastAsia="Arial" w:hAnsi="Arial"/>
          <w:sz w:val="17"/>
          <w:szCs w:val="17"/>
          <w:color w:val="auto"/>
        </w:rPr>
        <w:t>We will disclose final voting results in a Current Report on Form 8-K filed with the SEC within four business days after the 2021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right="539"/>
        <w:spacing w:after="0" w:line="291" w:lineRule="auto"/>
        <w:rPr>
          <w:sz w:val="20"/>
          <w:szCs w:val="20"/>
          <w:color w:val="auto"/>
        </w:rPr>
      </w:pPr>
      <w:r>
        <w:rPr>
          <w:rFonts w:ascii="Arial" w:cs="Arial" w:eastAsia="Arial" w:hAnsi="Arial"/>
          <w:sz w:val="16"/>
          <w:szCs w:val="16"/>
          <w:color w:val="auto"/>
        </w:rPr>
        <w:t>We are a “smaller reporting company” as defined in the Securities and Exchange Act of 1934, as amended, or the Exchange Act, and as such, have elected to comply with certain reduced public company reporting requirements. These reduced reporting requirements include reduced disclosure about the company’s executive compensation arrangements. We will remain a smaller reporting company until the last day of the fiscal year in which (1) the market value of our common stock held by non-affiliates exceeds $250 million as of the end of that year’s second fiscal quarter, and our annual revenues exceed $100 million during such fiscal year, or (2) the market value of our common stock held by non-affiliates exceeds $700 million as of the end of that year’s second fiscal quarter.</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be considered for inclusion in the proxy materials for the 2022 Annual Meeting of Stockholders, your proposal</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must be submitted in writing by December 30, 2021, to the Company’s Corporate Secretary at Ardelyx, Inc., 400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Fifth Avenue, Suite 210, Waltham, Massachusetts 02451. However, if the meeting is more than 30 days from</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June 16, 2022, then the deadline will be a reasonable time before we begin to print and mail our proxy materials for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that meeting.</w:t>
      </w:r>
    </w:p>
    <w:p>
      <w:pPr>
        <w:spacing w:after="0" w:line="103" w:lineRule="exact"/>
        <w:rPr>
          <w:sz w:val="20"/>
          <w:szCs w:val="20"/>
          <w:color w:val="auto"/>
        </w:rPr>
      </w:pPr>
    </w:p>
    <w:p>
      <w:pPr>
        <w:ind w:left="300" w:right="319"/>
        <w:spacing w:after="0" w:line="250" w:lineRule="auto"/>
        <w:rPr>
          <w:sz w:val="20"/>
          <w:szCs w:val="20"/>
          <w:color w:val="auto"/>
        </w:rPr>
      </w:pPr>
      <w:r>
        <w:rPr>
          <w:rFonts w:ascii="Arial" w:cs="Arial" w:eastAsia="Arial" w:hAnsi="Arial"/>
          <w:sz w:val="16"/>
          <w:szCs w:val="16"/>
          <w:color w:val="auto"/>
        </w:rPr>
        <w:t>If you wish to submit a proposal before the stockholders or nominate a director at the 2022 Annual Meeting of Stockholders, but you are not requesting that your proposal or nomination be included in the proxy materials for that meeting, then you must follow the procedures set forth in our bylaws and, among other things, notify the Company’s Corporate Secretary in writing between February 16, 2022 and March 18, 2022. However, if the date of the 2022 Annual Meeting of Stockholders is more than 30 days before June 16, 2022, then you must give notice not later than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that meeting, and if the date of the 2022 Annual Meeting of Stockholders is more than 60 days after June 16, 2022, you must give notice not later than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disclosure of that annual meeting date is first made. You are also advised to review our bylaws, which contain additional requirements regarding advance notice of stockholder proposals and director nominations.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board of directors currently consists of nine directors and no vacancies, divided into the following three classes:</w:t>
      </w:r>
    </w:p>
    <w:p>
      <w:pPr>
        <w:spacing w:after="0" w:line="140" w:lineRule="exact"/>
        <w:rPr>
          <w:sz w:val="20"/>
          <w:szCs w:val="20"/>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 directors are William Bertrand, Jr., Esq., Onaiza Cadoret-Manier and Jan Lundberg, Ph.D., and their terms will expire at the 2021 Annual Meeting;</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 directors are Geoffrey A. Block, M.D., David Mott and Michael Raab, and their terms will expire at the 2022 Annual Meeting of Stockholders; and</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III directors are Robert Bazemore, Muna Bhanji, R.Ph, and Richard Rodgers, and their terms will expire at the 2023 Annual Meeting of Stockholders.</w:t>
      </w:r>
    </w:p>
    <w:p>
      <w:pPr>
        <w:spacing w:after="0" w:line="62"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Our current Class I directors, William Bertrand, Jr., Esq., Onaiza Cadoret-Manier and Jan Lundberg, Ph.D., have been nominated to serve as Class I directors and have agreed to stand for election. If the nominees for Class I are elected at the 2021 Annual Meeting, then each nominee will serve for a three-year term expiring at the 2024 Annual Meeting of Stockholders, and until his or her successor is elected and qualified, or until his or her earlier death, resignation or removal.</w:t>
      </w:r>
    </w:p>
    <w:p>
      <w:pPr>
        <w:spacing w:after="0" w:line="80"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the three nominees for Class 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69"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The following is a brief biography and discussion of the specific attributes, qualifications, experience and skills of each nominee for director and each director whose term will continue after the 2021 Annual Meeting. Our board of directors and management encourage each nominee for director and each continuing director to attend the 2021 Annual Meeting.</w:t>
      </w:r>
    </w:p>
    <w:p>
      <w:pPr>
        <w:spacing w:after="0" w:line="75"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THE BOARD OF DIRECTORS RECOMMENDS A VOTE “FOR” EACH OF THE THREE CLASS I NOMINEES FOR DIRECTOR.</w:t>
      </w:r>
    </w:p>
    <w:p>
      <w:pPr>
        <w:spacing w:after="0" w:line="54" w:lineRule="exact"/>
        <w:rPr>
          <w:sz w:val="20"/>
          <w:szCs w:val="20"/>
          <w:color w:val="auto"/>
        </w:rPr>
      </w:pPr>
    </w:p>
    <w:p>
      <w:pPr>
        <w:ind w:left="300" w:right="739"/>
        <w:spacing w:after="0" w:line="282" w:lineRule="auto"/>
        <w:rPr>
          <w:sz w:val="20"/>
          <w:szCs w:val="20"/>
          <w:color w:val="auto"/>
        </w:rPr>
      </w:pPr>
      <w:r>
        <w:rPr>
          <w:rFonts w:ascii="Arial" w:cs="Arial" w:eastAsia="Arial" w:hAnsi="Arial"/>
          <w:sz w:val="18"/>
          <w:szCs w:val="18"/>
          <w:b w:val="1"/>
          <w:bCs w:val="1"/>
          <w:color w:val="auto"/>
        </w:rPr>
        <w:t xml:space="preserve">CLASS I NOMINEES FOR DIRECTOR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be elected for a three-year term expiring at the 2024 Annual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Meeting of Stockholders</w:t>
      </w:r>
    </w:p>
    <w:p>
      <w:pPr>
        <w:spacing w:after="0" w:line="54"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b w:val="1"/>
          <w:bCs w:val="1"/>
          <w:color w:val="auto"/>
        </w:rPr>
        <w:t>William Bertrand, Jr. Esq.</w:t>
      </w:r>
      <w:r>
        <w:rPr>
          <w:rFonts w:ascii="Arial" w:cs="Arial" w:eastAsia="Arial" w:hAnsi="Arial"/>
          <w:sz w:val="16"/>
          <w:szCs w:val="16"/>
          <w:color w:val="auto"/>
        </w:rPr>
        <w:t>, age 56, was appointed to our board of directors in October 2015. Mr. Bertrand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Chief Operating Officer at Adaptimmune Therapeutics Plc (Nasdaq: ADAP) since March 2017.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pursued a 12 year career at Medimmune Limited, a biotechnology company and subsidiary of AstraZeneca Plc (NYSE:AZN),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399"/>
        <w:spacing w:after="0" w:line="270" w:lineRule="auto"/>
        <w:rPr>
          <w:sz w:val="20"/>
          <w:szCs w:val="20"/>
          <w:color w:val="auto"/>
        </w:rPr>
      </w:pPr>
      <w:r>
        <w:rPr>
          <w:rFonts w:ascii="Arial" w:cs="Arial" w:eastAsia="Arial" w:hAnsi="Arial"/>
          <w:sz w:val="17"/>
          <w:szCs w:val="17"/>
          <w:b w:val="1"/>
          <w:bCs w:val="1"/>
          <w:color w:val="auto"/>
        </w:rPr>
        <w:t>Onaiza Cadoret-Manier</w:t>
      </w:r>
      <w:r>
        <w:rPr>
          <w:rFonts w:ascii="Arial" w:cs="Arial" w:eastAsia="Arial" w:hAnsi="Arial"/>
          <w:sz w:val="17"/>
          <w:szCs w:val="17"/>
          <w:color w:val="auto"/>
        </w:rPr>
        <w:t>, age 57, was appointed to our board of directors in March 2020. Ms. Cadoret-Manier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Chief Corporate Development and Commercial Officer at Ionis Pharmaceuticals (Nasdaq: IONS), since January 2020. Ms. Cadoret-Manier previously was the Chief Commercial Officer for Grail Biosciences, an early detection genomics company, from June 2018 until June 2019. Prior to Grail, from April 2011 until June 2018, she was Vice President of the Respiratory Franchise at Genentech. Ms. Cadoret-Manier also has held multiple senior management positions overseeing corporate strategy, alliances, and marketing and sales for numerous disease areas for Genentech, Pfizer and Amylin Pharmaceuticals. She has an MBA from the University of Chicago and a bachelor’s degree in economics and accounting from City University of New York Queens College. We believe that Ms. Cadoret-Manier is qualified to serve on our board of directors due to her extensive commercial and operational experience with life sciences companies.</w:t>
      </w:r>
    </w:p>
    <w:p>
      <w:pPr>
        <w:spacing w:after="0" w:line="69"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b w:val="1"/>
          <w:bCs w:val="1"/>
          <w:color w:val="auto"/>
        </w:rPr>
        <w:t>Jan Lundberg, Ph.D.</w:t>
      </w:r>
      <w:r>
        <w:rPr>
          <w:rFonts w:ascii="Arial" w:cs="Arial" w:eastAsia="Arial" w:hAnsi="Arial"/>
          <w:sz w:val="17"/>
          <w:szCs w:val="17"/>
          <w:color w:val="auto"/>
        </w:rPr>
        <w:t>, age 66, was appointed to our board of directors in March 2018. Dr. Lundberg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Lilly Research Laboratories and Executive Vice President of Science and Technology for Eli Lilly and Company (NYSE: LLY) from January 2010 to March 2018. Prior to joining Lilly he served for ten years as global head of discovery research at AstraZeneca Plc (NYSE: AZN), where he was a member of the senior executive team. Dr. Lundberg also served as a professor at the Karolinska Institute’s department of pharmacology in Sweden, and was a cofounder of biotechnology company, Aerocrine. Dr. Lundberg currently serves on the board of directors of several privately held life sciences and pharmaceutical companies, including Ferring Pharmaceuticals, where he also serves as the Chairman of the Research and Development Committee. Dr. Lundberg was instrumental in the establishment of the Innovative Medicines Initiative in Europe and the Accelerating Medicines Partnership with National Institutes of Health. Dr. Lundberg received a B.S.M. in medicine from the University of Gothenberg and a Ph.D. in pharmacology from the Karolinska Institute in Sweden. We believe that Dr. Lundberg is qualified to serve on our board of directors due to his extensive scientific research background and significant life science industry experience.</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CLASS II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2022 Annual Meeting of Stockholders</w:t>
      </w:r>
    </w:p>
    <w:p>
      <w:pPr>
        <w:spacing w:after="0" w:line="117" w:lineRule="exact"/>
        <w:rPr>
          <w:sz w:val="20"/>
          <w:szCs w:val="20"/>
          <w:color w:val="auto"/>
        </w:rPr>
      </w:pPr>
    </w:p>
    <w:p>
      <w:pPr>
        <w:ind w:left="300" w:right="359"/>
        <w:spacing w:after="0" w:line="288" w:lineRule="auto"/>
        <w:rPr>
          <w:sz w:val="20"/>
          <w:szCs w:val="20"/>
          <w:color w:val="auto"/>
        </w:rPr>
      </w:pPr>
      <w:r>
        <w:rPr>
          <w:rFonts w:ascii="Arial" w:cs="Arial" w:eastAsia="Arial" w:hAnsi="Arial"/>
          <w:sz w:val="16"/>
          <w:szCs w:val="16"/>
          <w:b w:val="1"/>
          <w:bCs w:val="1"/>
          <w:color w:val="auto"/>
        </w:rPr>
        <w:t>Geoffrey A. Block, M.D.</w:t>
      </w:r>
      <w:r>
        <w:rPr>
          <w:rFonts w:ascii="Arial" w:cs="Arial" w:eastAsia="Arial" w:hAnsi="Arial"/>
          <w:sz w:val="16"/>
          <w:szCs w:val="16"/>
          <w:color w:val="auto"/>
        </w:rPr>
        <w:t>, age 55, was appointed to our board of directors in March 2019. Dr. Block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Associate Chief Medical Officer of U.S. Renal Care since February 2020. Prior to that, Dr. Block served as Vice President, Nephrology of Reata Pharmaceuticals, Inc. (Nasdaq: RETA) from January 2019 to January 2020. Prior to that, Dr. Block held a variety of positions with the Denver Nephrology Division at Colorado Kidney Care/Denver Nephrologists, most recently serving as the Director of Clinical Research from 1998 to 2018. Dr. Block served as an associate professor in medicine at the University of Colorado Health Sciences Center from 2008 to 2018. Prior to that, Dr. Block served as an attending physician at St. Joseph’s Hospital and as the medical director of the DaVita-Lowry Hemodialysis Unit. Dr. Block received his M.D. from the University of Cincinnati College of Medicine and completed his fellowship in nephrology at that the University of Michigan at Ann Arbor. We believe that Dr. Block is qualified to serve on our board of directors due to his extensive experience in the field of nephrology, and his unique ability to understand the treatment options, needs and challenges for the patients we expect to serve.</w:t>
      </w:r>
    </w:p>
    <w:p>
      <w:pPr>
        <w:spacing w:after="0" w:line="55" w:lineRule="exact"/>
        <w:rPr>
          <w:sz w:val="20"/>
          <w:szCs w:val="20"/>
          <w:color w:val="auto"/>
        </w:rPr>
      </w:pPr>
    </w:p>
    <w:p>
      <w:pPr>
        <w:ind w:left="300" w:right="359"/>
        <w:spacing w:after="0" w:line="268" w:lineRule="auto"/>
        <w:rPr>
          <w:sz w:val="20"/>
          <w:szCs w:val="20"/>
          <w:color w:val="auto"/>
        </w:rPr>
      </w:pPr>
      <w:r>
        <w:rPr>
          <w:rFonts w:ascii="Arial" w:cs="Arial" w:eastAsia="Arial" w:hAnsi="Arial"/>
          <w:sz w:val="17"/>
          <w:szCs w:val="17"/>
          <w:b w:val="1"/>
          <w:bCs w:val="1"/>
          <w:color w:val="auto"/>
        </w:rPr>
        <w:t>David Mott</w:t>
      </w:r>
      <w:r>
        <w:rPr>
          <w:rFonts w:ascii="Arial" w:cs="Arial" w:eastAsia="Arial" w:hAnsi="Arial"/>
          <w:sz w:val="17"/>
          <w:szCs w:val="17"/>
          <w:color w:val="auto"/>
        </w:rPr>
        <w:t>, age 55, has served on our board of directors since March 2009 and as chairman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since March 2014. Mr. Mott is currently a private investor through Mott Family Capital. Mr. Mott 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Chairman of the Board of Directors for Adaptimmune (Nasdaq:ADAP), Epizyme, Inc. (Nasdaq:EPZM), Imara Inc. (Nasdaq: IMRA) and Mersana Therapeutics, Inc. (Nasdaq:MRSN). In addition, Mr. Mott serves on the board of directors of Novavax, Inc. (Nasdaq: NVAX).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b w:val="1"/>
          <w:bCs w:val="1"/>
          <w:color w:val="auto"/>
        </w:rPr>
        <w:t>Michael Raab</w:t>
      </w:r>
      <w:r>
        <w:rPr>
          <w:rFonts w:ascii="Arial" w:cs="Arial" w:eastAsia="Arial" w:hAnsi="Arial"/>
          <w:sz w:val="16"/>
          <w:szCs w:val="16"/>
          <w:color w:val="auto"/>
        </w:rPr>
        <w:t>, age 56, has served as our President and Chief Executive Officer and a director since March 2009.</w:t>
      </w:r>
      <w:r>
        <w:rPr>
          <w:rFonts w:ascii="Arial" w:cs="Arial" w:eastAsia="Arial" w:hAnsi="Arial"/>
          <w:sz w:val="16"/>
          <w:szCs w:val="16"/>
          <w:b w:val="1"/>
          <w:bCs w:val="1"/>
          <w:color w:val="auto"/>
        </w:rPr>
        <w:t xml:space="preserve"> </w:t>
      </w:r>
      <w:r>
        <w:rPr>
          <w:rFonts w:ascii="Arial" w:cs="Arial" w:eastAsia="Arial" w:hAnsi="Arial"/>
          <w:sz w:val="16"/>
          <w:szCs w:val="16"/>
          <w:color w:val="auto"/>
        </w:rPr>
        <w:t>From 2002 to 2009, Mr. Raab was a partner at NEA,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the Chairman of the Board of Tempest Therapeutics, a biotechnology company. Mr. Raab currently serves as a member of both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CLASS III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2023 Annual Meeting of Stockholders</w:t>
      </w:r>
    </w:p>
    <w:p>
      <w:pPr>
        <w:spacing w:after="0" w:line="117"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b w:val="1"/>
          <w:bCs w:val="1"/>
          <w:color w:val="auto"/>
        </w:rPr>
        <w:t>Robert Bazemore</w:t>
      </w:r>
      <w:r>
        <w:rPr>
          <w:rFonts w:ascii="Arial" w:cs="Arial" w:eastAsia="Arial" w:hAnsi="Arial"/>
          <w:sz w:val="17"/>
          <w:szCs w:val="17"/>
          <w:color w:val="auto"/>
        </w:rPr>
        <w:t>, age 53, was appointed to our board of directors in June 2016. Mr. Bazemore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Executive Officer and a director of Epizyme, Inc. (Nasdaq: EPZM) since September 2015. Prior to joining Epizyme, Mr. Bazemore served as Chief Operating Officer of Synageva BioPharma Corp., which was acquired by Alexion Pharmaceuticals (Nasdaq: ALXN) for $8.4 billion in July 2015. Prior to that, Mr. Bazemore was President of Janssen Biotech, part of the Janssen Pharmaceutical Companies of Johnson &amp; Johnson (NYSE: JNJ). Mr. Bazemore currently serves on the board of directors of Epizime, Inc. and Nuvation Bio, Inc. (NYSE: NUVB). Additionally, he served on the board of directors of Neon Therapeutics, Inc. from November 2018 to its acquisition by Biopharmaceuticals New Technologies, or BioNTech (Nasdaq: BNTX) in May 2020. 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w:t>
      </w:r>
    </w:p>
    <w:p>
      <w:pPr>
        <w:spacing w:after="0" w:line="74"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b w:val="1"/>
          <w:bCs w:val="1"/>
          <w:color w:val="auto"/>
        </w:rPr>
        <w:t>Muna Bhanji</w:t>
      </w:r>
      <w:r>
        <w:rPr>
          <w:rFonts w:ascii="Arial" w:cs="Arial" w:eastAsia="Arial" w:hAnsi="Arial"/>
          <w:sz w:val="17"/>
          <w:szCs w:val="17"/>
          <w:color w:val="auto"/>
        </w:rPr>
        <w:t>, age 58, was appointed to our board of directors in March 2021. Ms. Bhanji has served as the founder</w:t>
      </w:r>
      <w:r>
        <w:rPr>
          <w:rFonts w:ascii="Arial" w:cs="Arial" w:eastAsia="Arial" w:hAnsi="Arial"/>
          <w:sz w:val="17"/>
          <w:szCs w:val="17"/>
          <w:b w:val="1"/>
          <w:bCs w:val="1"/>
          <w:color w:val="auto"/>
        </w:rPr>
        <w:t xml:space="preserve"> </w:t>
      </w:r>
      <w:r>
        <w:rPr>
          <w:rFonts w:ascii="Arial" w:cs="Arial" w:eastAsia="Arial" w:hAnsi="Arial"/>
          <w:sz w:val="17"/>
          <w:szCs w:val="17"/>
          <w:color w:val="auto"/>
        </w:rPr>
        <w:t>and principal of Tiba Global Access, LLC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and Cytokinetics Incorporated (Nasdaq: CYTK).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w:t>
      </w:r>
    </w:p>
    <w:p>
      <w:pPr>
        <w:spacing w:after="0" w:line="65" w:lineRule="exact"/>
        <w:rPr>
          <w:sz w:val="20"/>
          <w:szCs w:val="20"/>
          <w:color w:val="auto"/>
        </w:rPr>
      </w:pPr>
    </w:p>
    <w:p>
      <w:pPr>
        <w:ind w:left="300" w:right="499"/>
        <w:spacing w:after="0" w:line="284" w:lineRule="auto"/>
        <w:rPr>
          <w:sz w:val="20"/>
          <w:szCs w:val="20"/>
          <w:color w:val="auto"/>
        </w:rPr>
      </w:pPr>
      <w:r>
        <w:rPr>
          <w:rFonts w:ascii="Arial" w:cs="Arial" w:eastAsia="Arial" w:hAnsi="Arial"/>
          <w:sz w:val="16"/>
          <w:szCs w:val="16"/>
          <w:b w:val="1"/>
          <w:bCs w:val="1"/>
          <w:color w:val="auto"/>
        </w:rPr>
        <w:t>Richard Rodgers</w:t>
      </w:r>
      <w:r>
        <w:rPr>
          <w:rFonts w:ascii="Arial" w:cs="Arial" w:eastAsia="Arial" w:hAnsi="Arial"/>
          <w:sz w:val="16"/>
          <w:szCs w:val="16"/>
          <w:color w:val="auto"/>
        </w:rPr>
        <w:t>, age 54, has served on our board of directors since March 2014. From March 2010 until August</w:t>
      </w:r>
      <w:r>
        <w:rPr>
          <w:rFonts w:ascii="Arial" w:cs="Arial" w:eastAsia="Arial" w:hAnsi="Arial"/>
          <w:sz w:val="16"/>
          <w:szCs w:val="16"/>
          <w:b w:val="1"/>
          <w:bCs w:val="1"/>
          <w:color w:val="auto"/>
        </w:rPr>
        <w:t xml:space="preserve"> </w:t>
      </w:r>
      <w:r>
        <w:rPr>
          <w:rFonts w:ascii="Arial" w:cs="Arial" w:eastAsia="Arial" w:hAnsi="Arial"/>
          <w:sz w:val="16"/>
          <w:szCs w:val="16"/>
          <w:color w:val="auto"/>
        </w:rPr>
        <w:t>2013, Mr. Rodgers was co-founder, Executive Vice President, Chief Financial Officer, Secretary and Treasurer of Tesaro, Inc., which was acquired by GlaxoSmithKline plc (LSE/NYSE: GSK) for approximately $5.1 billion in January 2019.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a pharmaceutical company, in January 2008. Mr. Rodgers has held finance and accounting positions at several private and public companies, including Arthur Anderson &amp; Co.</w:t>
      </w:r>
    </w:p>
    <w:p>
      <w:pPr>
        <w:spacing w:after="0" w:line="5"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Mr. Rodgers currently serves as a director of Ocuphire Pharma, Inc. (Nasdaq: OCUP).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03"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The audit committee of our board of directors has selected Ernst &amp; Young LLP, or EY, as our independent registered public accounting firm for the year ending December 31, 2021, and is seeking ratification of such selection by our stockholders at the 2021 Annual Meeting. EY has audited our financial statements since the fiscal year ended December 31, 2014. Representatives of EY are expected to be present in attendance online at the 2021 Annual Meeting. They will have an opportunity to make a statement if they so desire and will be available to respond to appropriate questions.</w:t>
      </w:r>
    </w:p>
    <w:p>
      <w:pPr>
        <w:spacing w:after="0" w:line="84" w:lineRule="exact"/>
        <w:rPr>
          <w:sz w:val="20"/>
          <w:szCs w:val="20"/>
          <w:color w:val="auto"/>
        </w:rPr>
      </w:pPr>
    </w:p>
    <w:p>
      <w:pPr>
        <w:ind w:left="300" w:right="439"/>
        <w:spacing w:after="0" w:line="293"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56" w:lineRule="exact"/>
        <w:rPr>
          <w:sz w:val="20"/>
          <w:szCs w:val="20"/>
          <w:color w:val="auto"/>
        </w:rPr>
      </w:pPr>
    </w:p>
    <w:p>
      <w:pPr>
        <w:ind w:left="300" w:right="859"/>
        <w:spacing w:after="0" w:line="263" w:lineRule="auto"/>
        <w:rPr>
          <w:sz w:val="20"/>
          <w:szCs w:val="20"/>
          <w:color w:val="auto"/>
        </w:rPr>
      </w:pPr>
      <w:r>
        <w:rPr>
          <w:rFonts w:ascii="Arial" w:cs="Arial" w:eastAsia="Arial" w:hAnsi="Arial"/>
          <w:sz w:val="18"/>
          <w:szCs w:val="18"/>
          <w:color w:val="auto"/>
        </w:rPr>
        <w:t>The affirmative vote of a majority of the shares cast at the 2021 Annual Meeting will be required to ratify the selection of EY.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PROPOSAL NO. 2.</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and Related Fees</w:t>
      </w:r>
    </w:p>
    <w:p>
      <w:pPr>
        <w:spacing w:after="0" w:line="121"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For the fiscal years ended December 31, 2020 and 2019, EY billed the approximate fees set forth below. All fees included below were approved by the audit committee.</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8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9"/>
              </w:rPr>
              <w:t>Year Ended December 31,</w:t>
            </w:r>
          </w:p>
        </w:tc>
      </w:tr>
      <w:tr>
        <w:trPr>
          <w:trHeight w:val="53"/>
        </w:trPr>
        <w:tc>
          <w:tcPr>
            <w:tcW w:w="65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4"/>
        </w:trPr>
        <w:tc>
          <w:tcPr>
            <w:tcW w:w="654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r>
      <w:tr>
        <w:trPr>
          <w:trHeight w:val="53"/>
        </w:trPr>
        <w:tc>
          <w:tcPr>
            <w:tcW w:w="65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31"/>
        </w:trPr>
        <w:tc>
          <w:tcPr>
            <w:tcW w:w="654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$1,078,000</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$1,646,800</w:t>
            </w:r>
          </w:p>
        </w:tc>
      </w:tr>
      <w:tr>
        <w:trPr>
          <w:trHeight w:val="324"/>
        </w:trPr>
        <w:tc>
          <w:tcPr>
            <w:tcW w:w="6540" w:type="dxa"/>
            <w:vAlign w:val="bottom"/>
          </w:tcPr>
          <w:p>
            <w:pPr>
              <w:spacing w:after="0" w:line="32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125,866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57"/>
        </w:trPr>
        <w:tc>
          <w:tcPr>
            <w:tcW w:w="6540" w:type="dxa"/>
            <w:vAlign w:val="bottom"/>
            <w:tcBorders>
              <w:bottom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Other Fees</w:t>
            </w:r>
            <w:r>
              <w:rPr>
                <w:rFonts w:ascii="Arial" w:cs="Arial" w:eastAsia="Arial" w:hAnsi="Arial"/>
                <w:sz w:val="29"/>
                <w:szCs w:val="29"/>
                <w:color w:val="auto"/>
                <w:vertAlign w:val="superscript"/>
              </w:rPr>
              <w:t>(3)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r>
      <w:tr>
        <w:trPr>
          <w:trHeight w:val="61"/>
        </w:trPr>
        <w:tc>
          <w:tcPr>
            <w:tcW w:w="65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r>
      <w:tr>
        <w:trPr>
          <w:trHeight w:val="270"/>
        </w:trPr>
        <w:tc>
          <w:tcPr>
            <w:tcW w:w="6540" w:type="dxa"/>
            <w:vAlign w:val="bottom"/>
          </w:tcPr>
          <w:p>
            <w:pPr>
              <w:spacing w:after="0"/>
              <w:rPr>
                <w:sz w:val="20"/>
                <w:szCs w:val="20"/>
                <w:color w:val="auto"/>
              </w:rPr>
            </w:pPr>
            <w:r>
              <w:rPr>
                <w:rFonts w:ascii="Arial" w:cs="Arial" w:eastAsia="Arial" w:hAnsi="Arial"/>
                <w:sz w:val="18"/>
                <w:szCs w:val="18"/>
                <w:color w:val="auto"/>
              </w:rPr>
              <w:t>Total All Fees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1,206,376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1,679,875</w:t>
            </w:r>
          </w:p>
        </w:tc>
      </w:tr>
      <w:tr>
        <w:trPr>
          <w:trHeight w:val="20"/>
        </w:trPr>
        <w:tc>
          <w:tcPr>
            <w:tcW w:w="6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-848360</wp:posOffset>
            </wp:positionV>
            <wp:extent cx="1543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-848360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1" w:lineRule="exact"/>
        <w:rPr>
          <w:sz w:val="20"/>
          <w:szCs w:val="20"/>
          <w:color w:val="auto"/>
        </w:rPr>
      </w:pPr>
    </w:p>
    <w:p>
      <w:pPr>
        <w:ind w:left="640" w:right="499" w:hanging="348"/>
        <w:spacing w:after="0" w:line="255" w:lineRule="auto"/>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category consists of fees and expenses for professional services rendered for the audit of our annual financial statements, reviews of our interim quarterly reports, accounting and financial reporting consultations, and the issuance of consents and comfort letters in connection with statutory and regulatory filings or engagements. In 2019, Audit Fees also included fees and expenses rendered in connection with our integrated audit of our annual financial statements and of our internal controls over financial reporting.</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category consists of fees for professional services rendered by EY for tax compliance, tax advice and tax planning.</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category consists of fees related to accessing EY’s online research database.</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300" w:right="399"/>
        <w:spacing w:after="0" w:line="285" w:lineRule="auto"/>
        <w:rPr>
          <w:sz w:val="20"/>
          <w:szCs w:val="20"/>
          <w:color w:val="auto"/>
        </w:rPr>
      </w:pPr>
      <w:r>
        <w:rPr>
          <w:rFonts w:ascii="Arial" w:cs="Arial" w:eastAsia="Arial" w:hAnsi="Arial"/>
          <w:sz w:val="16"/>
          <w:szCs w:val="16"/>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http://ir.ardelyx.com/corporate-governance. The policy provides that before an independent registered public accounting firm is engaged by Ardelyx or its subsidiaries to render audit or non-audit services, the audit committee must review the terms of the proposed engagement and pre-approve the engagement. Audit committee pre-approval of audit and non-audit services is not required if the engagement for the services is entered into pursuant to the pre-approval policies and procedures established by the audit committee regarding Ardelyx’s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management. The audit committee may delegate to one or more designated members of the audit committee the authority to grant pre-approvals, provided such approvals are presented to the audit committee at a subsequent meeting. Audit committee pre-approval of non-audit services (other than review and attest services) also will not be required if such services fall within available exceptions established by the SEC. The audit committee has considered the role of EY in providing audit and audit-related services to the Company and has concluded that such services are compatible with EY’s role as the Company’s independent registered public accounting firm.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left="300" w:right="799"/>
        <w:spacing w:after="0" w:line="26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76"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The primary purpose of the audit committee is to oversee our accounting and our financial reporting processes on behalf of our board of directors and our compliance with legal and regulatory requirements. The audit committee’s functions are more fully described in its charter, which is available on our website at http://ir.ardelyx.com/corporate-governance.</w:t>
      </w:r>
    </w:p>
    <w:p>
      <w:pPr>
        <w:spacing w:after="0" w:line="79"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color w:val="auto"/>
        </w:rPr>
        <w:t>In fulfilling its oversight responsibilities, the audit committee reviewed and discussed with management the Company’s audited financial statements for the fiscal year ended December 31, 2020. The audit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committee has discussed with EY their independence, and received from EY the written disclosures and the letter required by PCAOB Ethics and Independence Rule 3526, “Communication with Audit Committees Concerning Independence.” Finally, the audit committee discussed with EY, with and without management present, the scope and results of EY’s audit of the financial statements for the fiscal year ended December 31, 2020.</w:t>
      </w:r>
    </w:p>
    <w:p>
      <w:pPr>
        <w:spacing w:after="0" w:line="73"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Based on these reviews and discussions, the audit committee has recommended to our board of directors that such audited financial statements be included in our Annual Report on Form 10-K for the year ended December 31, 2020 for filing with the SEC.</w:t>
      </w:r>
    </w:p>
    <w:p>
      <w:pPr>
        <w:spacing w:after="0" w:line="15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Richard Rodgers, Chair</w:t>
      </w:r>
    </w:p>
    <w:p>
      <w:pPr>
        <w:spacing w:after="0" w:line="1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William Bertrand, Jr., Esq.</w:t>
      </w:r>
    </w:p>
    <w:p>
      <w:pPr>
        <w:spacing w:after="0" w:line="1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David Mott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21"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In accordance with Section 14A of the Exchange Act, the Company is providing stockholders an opportunity to cast a non-binding, advisory vote to approve the compensation of our Named Executive Officers, or NEOs (sometimes referred to as a “Say-on-Pay” vote). Accordingly, you have the opportunity to vote “</w:t>
      </w:r>
      <w:r>
        <w:rPr>
          <w:rFonts w:ascii="Arial" w:cs="Arial" w:eastAsia="Arial" w:hAnsi="Arial"/>
          <w:sz w:val="17"/>
          <w:szCs w:val="17"/>
          <w:b w:val="1"/>
          <w:bCs w:val="1"/>
          <w:color w:val="auto"/>
        </w:rPr>
        <w:t>FOR</w:t>
      </w:r>
      <w:r>
        <w:rPr>
          <w:rFonts w:ascii="Arial" w:cs="Arial" w:eastAsia="Arial" w:hAnsi="Arial"/>
          <w:sz w:val="17"/>
          <w:szCs w:val="17"/>
          <w:color w:val="auto"/>
        </w:rPr>
        <w:t>” or “</w:t>
      </w:r>
      <w:r>
        <w:rPr>
          <w:rFonts w:ascii="Arial" w:cs="Arial" w:eastAsia="Arial" w:hAnsi="Arial"/>
          <w:sz w:val="17"/>
          <w:szCs w:val="17"/>
          <w:b w:val="1"/>
          <w:bCs w:val="1"/>
          <w:color w:val="auto"/>
        </w:rPr>
        <w:t>AGAINST</w:t>
      </w:r>
      <w:r>
        <w:rPr>
          <w:rFonts w:ascii="Arial" w:cs="Arial" w:eastAsia="Arial" w:hAnsi="Arial"/>
          <w:sz w:val="17"/>
          <w:szCs w:val="17"/>
          <w:color w:val="auto"/>
        </w:rPr>
        <w:t>” or to “</w:t>
      </w:r>
      <w:r>
        <w:rPr>
          <w:rFonts w:ascii="Arial" w:cs="Arial" w:eastAsia="Arial" w:hAnsi="Arial"/>
          <w:sz w:val="17"/>
          <w:szCs w:val="17"/>
          <w:b w:val="1"/>
          <w:bCs w:val="1"/>
          <w:color w:val="auto"/>
        </w:rPr>
        <w:t>ABSTAIN</w:t>
      </w:r>
      <w:r>
        <w:rPr>
          <w:rFonts w:ascii="Arial" w:cs="Arial" w:eastAsia="Arial" w:hAnsi="Arial"/>
          <w:sz w:val="17"/>
          <w:szCs w:val="17"/>
          <w:color w:val="auto"/>
        </w:rPr>
        <w:t>” from voting on the following non-binding resolution at the 2021 Annual Meeting:</w:t>
      </w:r>
    </w:p>
    <w:p>
      <w:pPr>
        <w:spacing w:after="0" w:line="63" w:lineRule="exact"/>
        <w:rPr>
          <w:sz w:val="20"/>
          <w:szCs w:val="20"/>
          <w:color w:val="auto"/>
        </w:rPr>
      </w:pPr>
    </w:p>
    <w:p>
      <w:pPr>
        <w:ind w:left="660" w:right="299"/>
        <w:spacing w:after="0" w:line="259" w:lineRule="auto"/>
        <w:rPr>
          <w:sz w:val="20"/>
          <w:szCs w:val="20"/>
          <w:color w:val="auto"/>
        </w:rPr>
      </w:pPr>
      <w:r>
        <w:rPr>
          <w:rFonts w:ascii="Arial" w:cs="Arial" w:eastAsia="Arial" w:hAnsi="Arial"/>
          <w:sz w:val="18"/>
          <w:szCs w:val="18"/>
          <w:color w:val="auto"/>
        </w:rPr>
        <w:t>“Resolved, that the stockholders approve, on an advisory basis, the compensation of the Company’s named executive officers as disclosed in the Company’s proxy statement for the 2021 Annual Meeting of Stockholders pursuant to the compensation disclosure rules of the SEC, including the accompanying compensation tables and the related narrative disclosure in the proxy statement.”</w:t>
      </w:r>
    </w:p>
    <w:p>
      <w:pPr>
        <w:spacing w:after="0" w:line="79" w:lineRule="exact"/>
        <w:rPr>
          <w:sz w:val="20"/>
          <w:szCs w:val="20"/>
          <w:color w:val="auto"/>
        </w:rPr>
      </w:pPr>
    </w:p>
    <w:p>
      <w:pPr>
        <w:ind w:left="300" w:right="439"/>
        <w:spacing w:after="0" w:line="254" w:lineRule="auto"/>
        <w:rPr>
          <w:sz w:val="20"/>
          <w:szCs w:val="20"/>
          <w:color w:val="auto"/>
        </w:rPr>
      </w:pPr>
      <w:r>
        <w:rPr>
          <w:rFonts w:ascii="Arial" w:cs="Arial" w:eastAsia="Arial" w:hAnsi="Arial"/>
          <w:sz w:val="18"/>
          <w:szCs w:val="18"/>
          <w:color w:val="auto"/>
        </w:rPr>
        <w:t>In deciding how to vote on this proposal, you are encouraged to review the accompanying compensation tables and the related narrative disclosure. As described in detail in the section entitled “Executive Compensation,”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419"/>
        <w:spacing w:after="0" w:line="293" w:lineRule="auto"/>
        <w:rPr>
          <w:sz w:val="20"/>
          <w:szCs w:val="20"/>
          <w:color w:val="auto"/>
        </w:rPr>
      </w:pPr>
      <w:r>
        <w:rPr>
          <w:rFonts w:ascii="Arial" w:cs="Arial" w:eastAsia="Arial" w:hAnsi="Arial"/>
          <w:sz w:val="16"/>
          <w:szCs w:val="16"/>
          <w:color w:val="auto"/>
        </w:rPr>
        <w:t>Approval, on a non-binding, advisory basis, of the compensation of our NEOs, as disclosed in this Proxy Statement pursuant to the compensation disclosure rules of the SEC, requires the affirmative vote of the majority of shares of common stock present online live or represented by proxy at the 2021 Annual Meeting and entitled to vote on such proposal. Abstentions and broker non-votes will be counted towards a quorum. Abstentions will have the same effect as an “Against” vote for purposes of determining whether this matter has been approved. Broker non-votes will not be counted for any purpose in determining whether this matter has been approved.</w:t>
      </w:r>
    </w:p>
    <w:p>
      <w:pPr>
        <w:spacing w:after="0" w:line="56" w:lineRule="exact"/>
        <w:rPr>
          <w:sz w:val="20"/>
          <w:szCs w:val="20"/>
          <w:color w:val="auto"/>
        </w:rPr>
      </w:pPr>
    </w:p>
    <w:p>
      <w:pPr>
        <w:ind w:left="300" w:right="539"/>
        <w:spacing w:after="0" w:line="293" w:lineRule="auto"/>
        <w:rPr>
          <w:sz w:val="20"/>
          <w:szCs w:val="20"/>
          <w:color w:val="auto"/>
        </w:rPr>
      </w:pPr>
      <w:r>
        <w:rPr>
          <w:rFonts w:ascii="Arial" w:cs="Arial" w:eastAsia="Arial" w:hAnsi="Arial"/>
          <w:sz w:val="16"/>
          <w:szCs w:val="16"/>
          <w:color w:val="auto"/>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2022 annual meeting of stockholders.</w:t>
      </w:r>
    </w:p>
    <w:p>
      <w:pPr>
        <w:spacing w:after="0" w:line="97" w:lineRule="exact"/>
        <w:rPr>
          <w:sz w:val="20"/>
          <w:szCs w:val="20"/>
          <w:color w:val="auto"/>
        </w:rPr>
      </w:pPr>
    </w:p>
    <w:p>
      <w:pPr>
        <w:jc w:val="center"/>
        <w:ind w:left="300" w:right="299"/>
        <w:spacing w:after="0" w:line="308" w:lineRule="auto"/>
        <w:rPr>
          <w:sz w:val="20"/>
          <w:szCs w:val="20"/>
          <w:color w:val="auto"/>
        </w:rPr>
      </w:pPr>
      <w:r>
        <w:rPr>
          <w:rFonts w:ascii="Arial" w:cs="Arial" w:eastAsia="Arial" w:hAnsi="Arial"/>
          <w:sz w:val="17"/>
          <w:szCs w:val="17"/>
          <w:b w:val="1"/>
          <w:bCs w:val="1"/>
          <w:i w:val="1"/>
          <w:iCs w:val="1"/>
          <w:color w:val="auto"/>
        </w:rPr>
        <w:t xml:space="preserve">THE BOARD OF DIRECTORS RECOMMENDS A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b w:val="1"/>
          <w:bCs w:val="1"/>
          <w:i w:val="1"/>
          <w:iCs w:val="1"/>
          <w:color w:val="auto"/>
        </w:rPr>
        <w:t xml:space="preserve"> THE APPROVAL OF THE COMPENSATION OF THE NAMED EXECUTIVE OFFICERS, AS DISCLOSED IN THIS PROXY STATEMENT.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Our board of directors currently consists of nine members. Our board of directors has determined that all of our directors, as well as each individual nominated by our board of directors for election to our board of directors at the 2021 Annual Meeting, other than Mr. Raab, qualify as “independent” directors in accordance with the Nasdaq listing requirements. Mr. Raab is not considered independent because he is an employee of our company.</w:t>
      </w:r>
    </w:p>
    <w:p>
      <w:pPr>
        <w:spacing w:after="0" w:line="49" w:lineRule="exact"/>
        <w:rPr>
          <w:sz w:val="20"/>
          <w:szCs w:val="20"/>
          <w:color w:val="auto"/>
        </w:rPr>
      </w:pPr>
    </w:p>
    <w:p>
      <w:pPr>
        <w:ind w:left="300" w:right="299"/>
        <w:spacing w:after="0" w:line="269" w:lineRule="auto"/>
        <w:rPr>
          <w:sz w:val="20"/>
          <w:szCs w:val="20"/>
          <w:color w:val="auto"/>
        </w:rPr>
      </w:pPr>
      <w:r>
        <w:rPr>
          <w:rFonts w:ascii="Arial" w:cs="Arial" w:eastAsia="Arial" w:hAnsi="Arial"/>
          <w:sz w:val="17"/>
          <w:szCs w:val="17"/>
          <w:color w:val="auto"/>
        </w:rPr>
        <w:t>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77"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As described more fully below, the board of directors has also determined that each current member of the compensation committee, the audit committee and the nominating and corporate governance committee meets the independence standards applicable to those committees prescribed by Nasdaq, the SEC and the Internal Revenue Service.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Our amended and restated bylaws and corporate governance guidelines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Mott currently serves as the Chairman of the Board. In that role,</w:t>
      </w:r>
    </w:p>
    <w:p>
      <w:pPr>
        <w:spacing w:after="0" w:line="1" w:lineRule="exact"/>
        <w:rPr>
          <w:sz w:val="20"/>
          <w:szCs w:val="20"/>
          <w:color w:val="auto"/>
        </w:rPr>
      </w:pPr>
    </w:p>
    <w:p>
      <w:pPr>
        <w:ind w:left="300" w:right="519"/>
        <w:spacing w:after="0" w:line="260" w:lineRule="auto"/>
        <w:rPr>
          <w:sz w:val="20"/>
          <w:szCs w:val="20"/>
          <w:color w:val="auto"/>
        </w:rPr>
      </w:pPr>
      <w:r>
        <w:rPr>
          <w:rFonts w:ascii="Arial" w:cs="Arial" w:eastAsia="Arial" w:hAnsi="Arial"/>
          <w:sz w:val="18"/>
          <w:szCs w:val="18"/>
          <w:color w:val="auto"/>
        </w:rPr>
        <w:t>Mr. Mott presides over the executive sessions of the board of directors in which Mr. Raab does not participate and serves as a liaison to Mr. Raab and management on behalf of the board of directors.</w:t>
      </w:r>
    </w:p>
    <w:p>
      <w:pPr>
        <w:spacing w:after="0" w:line="77" w:lineRule="exact"/>
        <w:rPr>
          <w:sz w:val="20"/>
          <w:szCs w:val="20"/>
          <w:color w:val="auto"/>
        </w:rPr>
      </w:pPr>
    </w:p>
    <w:p>
      <w:pPr>
        <w:jc w:val="both"/>
        <w:ind w:left="300" w:right="499"/>
        <w:spacing w:after="0" w:line="263"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left="300" w:right="299"/>
        <w:spacing w:after="0" w:line="291"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58" w:lineRule="exact"/>
        <w:rPr>
          <w:sz w:val="20"/>
          <w:szCs w:val="20"/>
          <w:color w:val="auto"/>
        </w:rPr>
      </w:pPr>
    </w:p>
    <w:p>
      <w:pPr>
        <w:ind w:left="300" w:right="539"/>
        <w:spacing w:after="0" w:line="342"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71" w:lineRule="auto"/>
        <w:rPr>
          <w:sz w:val="20"/>
          <w:szCs w:val="20"/>
          <w:color w:val="auto"/>
        </w:rPr>
      </w:pPr>
      <w:r>
        <w:rPr>
          <w:rFonts w:ascii="Arial" w:cs="Arial" w:eastAsia="Arial" w:hAnsi="Arial"/>
          <w:sz w:val="17"/>
          <w:szCs w:val="17"/>
          <w:color w:val="auto"/>
        </w:rPr>
        <w:t>our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121"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During 2020, the board of directors met six times, the audit committee met eight times, the compensation committee met three times and the nominating and corporate governance committee met four times. In that year, each director attended at least 75% of the aggregate number of meetings of the board of directors and the committees on which he or she served. As required under Nasdaq rules and regulations, our independent directors meet in regularly scheduled executive sessions at which only independent directors are present.</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62"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1000" w:right="11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audit and non-audit services;</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as required by law;</w:t>
      </w:r>
    </w:p>
    <w:p>
      <w:pPr>
        <w:spacing w:after="0" w:line="62"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responsible for being knowledgeable about the content and operation of our global compliance program and exercising oversight over its implementation and effectiveness;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Messrs. Rodgers and Bertrand and Dr. Annalisa Jenkins served as members of the audit committee, until</w:t>
      </w:r>
    </w:p>
    <w:p>
      <w:pPr>
        <w:spacing w:after="0" w:line="23" w:lineRule="exact"/>
        <w:rPr>
          <w:sz w:val="20"/>
          <w:szCs w:val="20"/>
          <w:color w:val="auto"/>
        </w:rPr>
      </w:pPr>
    </w:p>
    <w:p>
      <w:pPr>
        <w:ind w:left="300" w:right="419"/>
        <w:spacing w:after="0" w:line="286" w:lineRule="auto"/>
        <w:rPr>
          <w:sz w:val="20"/>
          <w:szCs w:val="20"/>
          <w:color w:val="auto"/>
        </w:rPr>
      </w:pPr>
      <w:r>
        <w:rPr>
          <w:rFonts w:ascii="Arial" w:cs="Arial" w:eastAsia="Arial" w:hAnsi="Arial"/>
          <w:sz w:val="16"/>
          <w:szCs w:val="16"/>
          <w:color w:val="auto"/>
        </w:rPr>
        <w:t>March 2020, when Dr. Jenkins stepped down from the audit committee in connection with her resignation from our board of directors and we appointed Mr. Mott as her successor. Mr. Rodgers serves as the chairperson of the committee. Each of the members of our audit committee during 2020 met, and each of the current members of our audit committee, meets or will meet,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committee during 2020 was, and each of the current members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275" w:lineRule="auto"/>
        <w:rPr>
          <w:sz w:val="20"/>
          <w:szCs w:val="20"/>
          <w:color w:val="auto"/>
        </w:rPr>
      </w:pPr>
      <w:r>
        <w:rPr>
          <w:rFonts w:ascii="Arial" w:cs="Arial" w:eastAsia="Arial" w:hAnsi="Arial"/>
          <w:sz w:val="17"/>
          <w:szCs w:val="17"/>
          <w:color w:val="auto"/>
        </w:rPr>
        <w:t>of our audit committee is or will be an “independent director” under the heightened independence standards under the applicable rules of Nasdaq.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http://ir.ardelyx.com/corporate-governance.</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color w:val="auto"/>
        </w:rPr>
        <w:t>Our compensation committee reviews and recommends policies relating to compensation and benefits of our officers and employees.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 also approves grants of stock options and other awards under our stock plans. The compensation committee has delegated authority to the Chief Executive Officer to grant stock options to purchase shares of common stock to existing and new non-senior management team employees, with such individual grants to be consistent with equity grant guidelines provided by our compensation consultant and approved by the compensation committee. The compensation committee will review and evaluate, at least annually, the performance of the compensation committee and its members, including compliance of the compensation committee with its charter.</w:t>
      </w:r>
    </w:p>
    <w:p>
      <w:pPr>
        <w:spacing w:after="0" w:line="76"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In 2020, Messrs. Mott, Bazemore and Rodgers and Dr. Lundberg served as members of the compensation committee, and they comprise the current members of our compensation committee. Mr. Mott serves as the chairman of the committee. Each of the members of our compensation committee during 2020 was, and each of the current members of our compensation committee, is or will be, an “independent director” under the applicable rules and regulations of The Nasdaq Global Market, a “non-employee director” as defined in Rule 16b-3 promulgated under the Exchange Act and an “outside director” as that term is defined in Section 162(m) of the U.S. Internal Revenue Code of 1986, as amended, or Section 162(m).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58"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For fiscal year 2020,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Dr. Gordon Ringold, Dr. Block, and Messrs. Bertrand and Mott served as members of the nominating and corporate governance until March 2020, when Mr. Mott resigned from the committee and we appointed Ms. Cadoret-Manier as his successor. In March 2021, Dr. Ringold resigned from the board and nominating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311" w:lineRule="auto"/>
        <w:rPr>
          <w:sz w:val="20"/>
          <w:szCs w:val="20"/>
          <w:color w:val="auto"/>
        </w:rPr>
      </w:pPr>
      <w:r>
        <w:rPr>
          <w:rFonts w:ascii="Arial" w:cs="Arial" w:eastAsia="Arial" w:hAnsi="Arial"/>
          <w:sz w:val="16"/>
          <w:szCs w:val="16"/>
          <w:color w:val="auto"/>
        </w:rPr>
        <w:t>corporate governance committee, and Ms. Bhanji was appointed to the nominating and corporate governance committee at such time. The current members of our nominating and corporate governance committee are Dr. Block and Mmes. Cadoret-Manier and Bhanji and Mr. Bertrand. Mr. Bertrand serves as the chairman of the committee.</w:t>
      </w:r>
    </w:p>
    <w:p>
      <w:pPr>
        <w:spacing w:after="0" w:line="41" w:lineRule="exact"/>
        <w:rPr>
          <w:sz w:val="20"/>
          <w:szCs w:val="20"/>
          <w:color w:val="auto"/>
        </w:rPr>
      </w:pPr>
    </w:p>
    <w:p>
      <w:pPr>
        <w:ind w:left="300" w:right="559"/>
        <w:spacing w:after="0" w:line="290" w:lineRule="auto"/>
        <w:rPr>
          <w:sz w:val="20"/>
          <w:szCs w:val="20"/>
          <w:color w:val="auto"/>
        </w:rPr>
      </w:pPr>
      <w:r>
        <w:rPr>
          <w:rFonts w:ascii="Arial" w:cs="Arial" w:eastAsia="Arial" w:hAnsi="Arial"/>
          <w:sz w:val="16"/>
          <w:szCs w:val="16"/>
          <w:color w:val="auto"/>
        </w:rPr>
        <w:t>Each of the members of our nominating and corporate governance committee during 2020 was, and each of the current members of our nominating and corporate governance committee is, an “independent director” under the applicable rules and regulations of Nasdaq relating to nominating and corporate governance committee independence. Following the 2021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300" w:right="379"/>
        <w:spacing w:after="0" w:line="273" w:lineRule="auto"/>
        <w:rPr>
          <w:sz w:val="20"/>
          <w:szCs w:val="20"/>
          <w:color w:val="auto"/>
        </w:rPr>
      </w:pPr>
      <w:r>
        <w:rPr>
          <w:rFonts w:ascii="Arial" w:cs="Arial" w:eastAsia="Arial" w:hAnsi="Arial"/>
          <w:sz w:val="17"/>
          <w:szCs w:val="17"/>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70"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117"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 Our nominating and corporate governance committee considers diversity among the factors it considers in selecting candidates for nomination to the board recognizing the benefits to the Company of national origin, gender, race, and cultural diversity in board composition. The current composition of our board of directors consists of nine individuals, 2 of which are diverse.</w:t>
      </w:r>
    </w:p>
    <w:p>
      <w:pPr>
        <w:spacing w:after="0" w:line="74"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At this time, our nominating and corporate governance committee does not have a policy with regard to the consideration of director candidates recommended by our stockholders, but expects to adopt such a policy in the future. Until such a policy is adopted, our board of directors and nominating and corporate governance committee will consider candidates recommended by our stockholders on a case-by-case basis.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300" w:right="439"/>
        <w:spacing w:after="0" w:line="296"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The reference to our web address does not constitute incorporation by reference of the information contained at or available through our website.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jc w:val="both"/>
        <w:ind w:left="300" w:right="519"/>
        <w:spacing w:after="0" w:line="311" w:lineRule="auto"/>
        <w:rPr>
          <w:sz w:val="20"/>
          <w:szCs w:val="20"/>
          <w:color w:val="auto"/>
        </w:rPr>
      </w:pPr>
      <w:r>
        <w:rPr>
          <w:rFonts w:ascii="Arial" w:cs="Arial" w:eastAsia="Arial" w:hAnsi="Arial"/>
          <w:sz w:val="16"/>
          <w:szCs w:val="16"/>
          <w:color w:val="auto"/>
        </w:rPr>
        <w:t>Our board of directors has a policy of encouraging director attendance at our annual meetings of stockholders, but attendance is not mandatory. Our board of directors and management team encourage all of our directors to attend the 2021 Annual Meeting. All of our then-serving directors attended our 2020 annual meeting of stockholders.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left="300" w:right="419"/>
        <w:spacing w:after="0" w:line="279" w:lineRule="auto"/>
        <w:rPr>
          <w:sz w:val="20"/>
          <w:szCs w:val="20"/>
          <w:color w:val="auto"/>
        </w:rPr>
      </w:pPr>
      <w:r>
        <w:rPr>
          <w:rFonts w:ascii="Arial" w:cs="Arial" w:eastAsia="Arial" w:hAnsi="Arial"/>
          <w:sz w:val="17"/>
          <w:szCs w:val="17"/>
          <w:color w:val="auto"/>
        </w:rPr>
        <w:t>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During 2020, Messrs. Mott, Bazemore and Rodgers and Dr. Lundberg served as members of our compensation committee. None of Messrs. Mott, Bazemore or Rodgers or Dr. Lundberg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The following is a description of transactions either entered into since January 1, 2020 or entered into prior to January 1, 2020 which have continuing obligations and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Participation in Public Offering</w:t>
      </w:r>
    </w:p>
    <w:p>
      <w:pPr>
        <w:spacing w:after="0" w:line="121" w:lineRule="exact"/>
        <w:rPr>
          <w:sz w:val="20"/>
          <w:szCs w:val="20"/>
          <w:color w:val="auto"/>
        </w:rPr>
      </w:pPr>
    </w:p>
    <w:p>
      <w:pPr>
        <w:ind w:left="300" w:right="379"/>
        <w:spacing w:after="0" w:line="286" w:lineRule="auto"/>
        <w:rPr>
          <w:sz w:val="20"/>
          <w:szCs w:val="20"/>
          <w:color w:val="auto"/>
        </w:rPr>
      </w:pPr>
      <w:r>
        <w:rPr>
          <w:rFonts w:ascii="Arial" w:cs="Arial" w:eastAsia="Arial" w:hAnsi="Arial"/>
          <w:sz w:val="17"/>
          <w:szCs w:val="17"/>
          <w:color w:val="auto"/>
        </w:rPr>
        <w:t>In December 2020, David Mott, a member of our board of directors, purchased through our “at the market offering” program under an Open Market Sales Agreement with Jefferies LLC, as sales agent approximately $646,187 in shares of our common stock at a weighted average price per share of approximately $5.89.</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21"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300" w:right="479"/>
        <w:spacing w:after="0" w:line="272" w:lineRule="auto"/>
        <w:rPr>
          <w:sz w:val="20"/>
          <w:szCs w:val="20"/>
          <w:color w:val="auto"/>
        </w:rPr>
      </w:pPr>
      <w:r>
        <w:rPr>
          <w:rFonts w:ascii="Arial" w:cs="Arial" w:eastAsia="Arial" w:hAnsi="Arial"/>
          <w:sz w:val="17"/>
          <w:szCs w:val="17"/>
          <w:color w:val="auto"/>
        </w:rPr>
        <w:t>Our board of directors has approved a compensation policy for our non-employee directors, or the Director Compensation Program, which is periodically reviewed with consultation and recommendations provided by Pearl Meyer. Pursuant to the Director Compensation Program, we do not provide any compensation to directors who are employees. Retainers are paid to our non-employee directors in advance on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spacing w:after="0" w:line="69" w:lineRule="exact"/>
        <w:rPr>
          <w:sz w:val="20"/>
          <w:szCs w:val="20"/>
          <w:color w:val="auto"/>
        </w:rPr>
      </w:pPr>
    </w:p>
    <w:p>
      <w:pPr>
        <w:ind w:left="300" w:right="379"/>
        <w:spacing w:after="0" w:line="268" w:lineRule="auto"/>
        <w:rPr>
          <w:sz w:val="20"/>
          <w:szCs w:val="20"/>
          <w:color w:val="auto"/>
        </w:rPr>
      </w:pPr>
      <w:r>
        <w:rPr>
          <w:rFonts w:ascii="Arial" w:cs="Arial" w:eastAsia="Arial" w:hAnsi="Arial"/>
          <w:sz w:val="16"/>
          <w:szCs w:val="16"/>
          <w:color w:val="auto"/>
        </w:rPr>
        <w:t>In 2020, our non-employee directors received compensation pursuant to the Director Compensation Program as amended and restated in March 2019. In 2020, our non-employee directors received an annual retainer of $40,000. Our non-employee Chairman received an additional annual cash retainer in the amount of $30,000 per year. Non-employee directors received additional annual retainers of $10,000 for serving on the audit committee (or $20,000 for serving as the chair of the audit committee), $7,500 for serving on the compensation committee (or $15,000 for serving as the chair of the compensation committee) and $5,000 for serving on the nominating and corporate governance committee (or $10,000 for serving as the chair of the nominating and corporate governance committee). Under the Director Compensation Program, each non-employee director who was appointed to the board in 2020, was also granted an option to purchase shares of our common stock with a grant date fair value of $240,000, but with a maximum number of 75,000 shares. In addition, in 2020, each continuing non-employee director who had been serving on our board of directors for at least six months as of the date of any annual meeting of our stockholders and who continued to serve as a non-employee director immediately following such meeting was automatically granted an option to purchase shares of our common stock with a grant date fair value of $120,000, but with a maximum number of 50,000 shares. Each initial non-employee director stock option was subject to vesting with respect to 1/36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on each monthly anniversary of the grant date, subject to the non-employee director’s continued service on our board of directors through such date. Each annual non-employee director stock option was subject to vesting with respect to 1/12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on each monthly anniversary of the grant date, subject to acceleration in full immediately prior to the next annual stockholders meeting, subject to the non-employee director’s continued service on our board of directors through such date. The Director Compensation Program also provides that upon a “Change in Control” of Ardelyx (as defined in our equity incentive plan), all outstanding equity awards that are held by a non-employee director will become fully vested and/or exercisable.</w:t>
      </w:r>
    </w:p>
    <w:p>
      <w:pPr>
        <w:spacing w:after="0" w:line="73" w:lineRule="exact"/>
        <w:rPr>
          <w:sz w:val="20"/>
          <w:szCs w:val="20"/>
          <w:color w:val="auto"/>
        </w:rPr>
      </w:pPr>
    </w:p>
    <w:p>
      <w:pPr>
        <w:ind w:left="300" w:right="459"/>
        <w:spacing w:after="0" w:line="254" w:lineRule="auto"/>
        <w:rPr>
          <w:sz w:val="20"/>
          <w:szCs w:val="20"/>
          <w:color w:val="auto"/>
        </w:rPr>
      </w:pPr>
      <w:r>
        <w:rPr>
          <w:rFonts w:ascii="Arial" w:cs="Arial" w:eastAsia="Arial" w:hAnsi="Arial"/>
          <w:sz w:val="18"/>
          <w:szCs w:val="18"/>
          <w:color w:val="auto"/>
        </w:rPr>
        <w:t>In lieu of a cash retainer, each non-employee director may also elect to receive a stock award consisting of that number of fully vested shares of common stock calculated by dividing the amount of the cash retainer by the fair market value of the common stock on the date of our annual meeting of stockholders, rounded to the nearest whole share. For 2020, each of Messrs. Mott, Bertrand, and Rodgers, Ms. Cadoret-Manier and Dr. Lundberg elected to receive a stock award in lieu of their respective 2020 annual cash retainers as calculated pursuant to the preceding sentence. Members of our board of directors are also reimbursed for reasonable travel and other out-of-pocket expenses.</w:t>
      </w:r>
    </w:p>
    <w:p>
      <w:pPr>
        <w:spacing w:after="0" w:line="87" w:lineRule="exact"/>
        <w:rPr>
          <w:sz w:val="20"/>
          <w:szCs w:val="20"/>
          <w:color w:val="auto"/>
        </w:rPr>
      </w:pPr>
    </w:p>
    <w:p>
      <w:pPr>
        <w:ind w:left="300" w:right="399"/>
        <w:spacing w:after="0" w:line="291" w:lineRule="auto"/>
        <w:rPr>
          <w:sz w:val="20"/>
          <w:szCs w:val="20"/>
          <w:color w:val="auto"/>
        </w:rPr>
      </w:pPr>
      <w:r>
        <w:rPr>
          <w:rFonts w:ascii="Arial" w:cs="Arial" w:eastAsia="Arial" w:hAnsi="Arial"/>
          <w:sz w:val="16"/>
          <w:szCs w:val="16"/>
          <w:color w:val="auto"/>
        </w:rPr>
        <w:t>In June 2020, each of our non-employee directors, other than Ms. Cadoret-Manier, was granted an annual option to purchase 23,530 shares of our common stock pursuant to the Director Compensation Program. Ms. Cadoret-Manier was appointed to our board of directors in March 2020, at which time she was granted an option to purchase 65,890 shares of our common stock pursuant to the Director Compensation Program. Additionally, in June 2020, our board determined to grant Mr. Mott an option to purchase 75,000 shares of our common stock, which vests in 36 substantially equal monthly installments from the date of grant, subject to continued service. This additional option was granted to Mr. Mott in recognition of his continued service as the chairman of our board of directors.</w:t>
      </w:r>
    </w:p>
    <w:p>
      <w:pPr>
        <w:spacing w:after="0" w:line="58"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Following the periodic assessment of our Director Compensation Program, with analysis and recommendations by Pearl Meyer, in March 2021, our compensation committee recommended, and our board of directors approved the following modifications to the Director Compensation Program, beginning in March 2021: (i) the annual cash retainer for each of the board’s non-employee directors for their service on the board was increased from $40,000 to $45,000, (ii) the grant date fair value of the stock option grants to non-employee directors upon their initial appointment or election to the Board was increased from $240,000 to $300,000, and the maximum share number was increased from 75,000 shares to 100,000, and (iii) the grant date fair value of the annual stock option grants to non-employee directors was increased from $120,000 to $150,000, with the maximum share number remaining unchanged at 50,000.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17" w:lineRule="exact"/>
        <w:rPr>
          <w:sz w:val="20"/>
          <w:szCs w:val="20"/>
          <w:color w:val="auto"/>
        </w:rPr>
      </w:pPr>
    </w:p>
    <w:p>
      <w:pPr>
        <w:ind w:left="300" w:right="579"/>
        <w:spacing w:after="0" w:line="293" w:lineRule="auto"/>
        <w:rPr>
          <w:sz w:val="20"/>
          <w:szCs w:val="20"/>
          <w:color w:val="auto"/>
        </w:rPr>
      </w:pPr>
      <w:r>
        <w:rPr>
          <w:rFonts w:ascii="Arial" w:cs="Arial" w:eastAsia="Arial" w:hAnsi="Arial"/>
          <w:sz w:val="16"/>
          <w:szCs w:val="16"/>
          <w:color w:val="auto"/>
        </w:rPr>
        <w:t>The following table sets forth information for the year ended December 31, 2020 regarding the compensation awarded to, earned by or paid to our non-employee directors. Because Ms. Bhanji was appointed to our board of directors in March 2021, and did not receive any compensation during the year ended December 31, 2020, she is omitted from the table below. Additionally, Dr. Jenkins stepped down from our board of directors effective March 12, 2020 prior to the our 2020 annual stockholders meeting, and therefore, Dr. Jenkins did not receive any compensation during the year ended December 31, 2020, and is omitted from the table below.</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Fees Earned</w:t>
            </w: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9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or Paid in</w:t>
            </w:r>
          </w:p>
        </w:tc>
        <w:tc>
          <w:tcPr>
            <w:tcW w:w="9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54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140" w:type="dxa"/>
            <w:vAlign w:val="bottom"/>
          </w:tcPr>
          <w:p>
            <w:pPr>
              <w:spacing w:after="0"/>
              <w:rPr>
                <w:sz w:val="21"/>
                <w:szCs w:val="21"/>
                <w:color w:val="auto"/>
              </w:rPr>
            </w:pPr>
          </w:p>
        </w:tc>
        <w:tc>
          <w:tcPr>
            <w:tcW w:w="82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23"/>
                <w:szCs w:val="23"/>
                <w:b w:val="1"/>
                <w:bCs w:val="1"/>
                <w:color w:val="auto"/>
                <w:w w:val="90"/>
                <w:vertAlign w:val="superscript"/>
              </w:rPr>
              <w:t>(1)</w:t>
            </w:r>
            <w:r>
              <w:rPr>
                <w:rFonts w:ascii="Arial" w:cs="Arial" w:eastAsia="Arial" w:hAnsi="Arial"/>
                <w:sz w:val="14"/>
                <w:szCs w:val="14"/>
                <w:b w:val="1"/>
                <w:bCs w:val="1"/>
                <w:color w:val="auto"/>
                <w:w w:val="90"/>
              </w:rPr>
              <w:t xml:space="preserve"> ($)</w:t>
            </w:r>
          </w:p>
        </w:tc>
        <w:tc>
          <w:tcPr>
            <w:tcW w:w="1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Compensation ($)  Total ($)</w:t>
            </w:r>
          </w:p>
        </w:tc>
        <w:tc>
          <w:tcPr>
            <w:tcW w:w="0" w:type="dxa"/>
            <w:vAlign w:val="bottom"/>
          </w:tcPr>
          <w:p>
            <w:pPr>
              <w:spacing w:after="0"/>
              <w:rPr>
                <w:sz w:val="1"/>
                <w:szCs w:val="1"/>
                <w:color w:val="auto"/>
              </w:rPr>
            </w:pPr>
          </w:p>
        </w:tc>
      </w:tr>
      <w:tr>
        <w:trPr>
          <w:trHeight w:val="311"/>
        </w:trPr>
        <w:tc>
          <w:tcPr>
            <w:tcW w:w="45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Bazemore</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47,500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119,897</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167,397</w:t>
            </w:r>
          </w:p>
        </w:tc>
        <w:tc>
          <w:tcPr>
            <w:tcW w:w="0" w:type="dxa"/>
            <w:vAlign w:val="bottom"/>
          </w:tcPr>
          <w:p>
            <w:pPr>
              <w:spacing w:after="0"/>
              <w:rPr>
                <w:sz w:val="1"/>
                <w:szCs w:val="1"/>
                <w:color w:val="auto"/>
              </w:rPr>
            </w:pP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William Bertrand, Jr.</w:t>
            </w:r>
          </w:p>
        </w:tc>
        <w:tc>
          <w:tcPr>
            <w:tcW w:w="820" w:type="dxa"/>
            <w:vAlign w:val="bottom"/>
          </w:tcPr>
          <w:p>
            <w:pPr>
              <w:ind w:left="160"/>
              <w:spacing w:after="0" w:line="324" w:lineRule="exact"/>
              <w:rPr>
                <w:sz w:val="20"/>
                <w:szCs w:val="20"/>
                <w:color w:val="auto"/>
              </w:rPr>
            </w:pPr>
            <w:r>
              <w:rPr>
                <w:rFonts w:ascii="Arial" w:cs="Arial" w:eastAsia="Arial" w:hAnsi="Arial"/>
                <w:sz w:val="18"/>
                <w:szCs w:val="18"/>
                <w:color w:val="auto"/>
                <w:w w:val="81"/>
              </w:rPr>
              <w:t>55,000</w:t>
            </w:r>
            <w:r>
              <w:rPr>
                <w:rFonts w:ascii="Arial" w:cs="Arial" w:eastAsia="Arial" w:hAnsi="Arial"/>
                <w:sz w:val="29"/>
                <w:szCs w:val="29"/>
                <w:color w:val="auto"/>
                <w:w w:val="8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119,897</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174,897</w:t>
            </w:r>
          </w:p>
        </w:tc>
        <w:tc>
          <w:tcPr>
            <w:tcW w:w="0" w:type="dxa"/>
            <w:vAlign w:val="bottom"/>
          </w:tcPr>
          <w:p>
            <w:pPr>
              <w:spacing w:after="0"/>
              <w:rPr>
                <w:sz w:val="1"/>
                <w:szCs w:val="1"/>
                <w:color w:val="auto"/>
              </w:rPr>
            </w:pPr>
          </w:p>
        </w:tc>
      </w:tr>
      <w:tr>
        <w:trPr>
          <w:trHeight w:val="304"/>
        </w:trPr>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Geoffrey A. Block, M.D.</w:t>
            </w:r>
          </w:p>
        </w:tc>
        <w:tc>
          <w:tcPr>
            <w:tcW w:w="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45,000</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119,897</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164,897</w:t>
            </w:r>
          </w:p>
        </w:tc>
        <w:tc>
          <w:tcPr>
            <w:tcW w:w="0" w:type="dxa"/>
            <w:vAlign w:val="bottom"/>
          </w:tcPr>
          <w:p>
            <w:pPr>
              <w:spacing w:after="0"/>
              <w:rPr>
                <w:sz w:val="1"/>
                <w:szCs w:val="1"/>
                <w:color w:val="auto"/>
              </w:rPr>
            </w:pPr>
          </w:p>
        </w:tc>
      </w:tr>
      <w:tr>
        <w:trPr>
          <w:trHeight w:val="324"/>
        </w:trPr>
        <w:tc>
          <w:tcPr>
            <w:tcW w:w="4680" w:type="dxa"/>
            <w:vAlign w:val="bottom"/>
            <w:gridSpan w:val="2"/>
          </w:tcPr>
          <w:p>
            <w:pPr>
              <w:spacing w:after="0" w:line="324" w:lineRule="exact"/>
              <w:rPr>
                <w:sz w:val="20"/>
                <w:szCs w:val="20"/>
                <w:color w:val="auto"/>
              </w:rPr>
            </w:pPr>
            <w:r>
              <w:rPr>
                <w:rFonts w:ascii="Arial" w:cs="Arial" w:eastAsia="Arial" w:hAnsi="Arial"/>
                <w:sz w:val="18"/>
                <w:szCs w:val="18"/>
                <w:color w:val="auto"/>
              </w:rPr>
              <w:t>Onaiza Cadoret-Manier</w:t>
            </w:r>
            <w:r>
              <w:rPr>
                <w:rFonts w:ascii="Arial" w:cs="Arial" w:eastAsia="Arial" w:hAnsi="Arial"/>
                <w:sz w:val="29"/>
                <w:szCs w:val="29"/>
                <w:color w:val="auto"/>
                <w:vertAlign w:val="superscript"/>
              </w:rPr>
              <w:t>(3)</w:t>
            </w:r>
          </w:p>
        </w:tc>
        <w:tc>
          <w:tcPr>
            <w:tcW w:w="820" w:type="dxa"/>
            <w:vAlign w:val="bottom"/>
          </w:tcPr>
          <w:p>
            <w:pPr>
              <w:ind w:left="160"/>
              <w:spacing w:after="0" w:line="324" w:lineRule="exact"/>
              <w:rPr>
                <w:sz w:val="20"/>
                <w:szCs w:val="20"/>
                <w:color w:val="auto"/>
              </w:rPr>
            </w:pPr>
            <w:r>
              <w:rPr>
                <w:rFonts w:ascii="Arial" w:cs="Arial" w:eastAsia="Arial" w:hAnsi="Arial"/>
                <w:sz w:val="18"/>
                <w:szCs w:val="18"/>
                <w:color w:val="auto"/>
                <w:w w:val="81"/>
              </w:rPr>
              <w:t>56,250</w:t>
            </w:r>
            <w:r>
              <w:rPr>
                <w:rFonts w:ascii="Arial" w:cs="Arial" w:eastAsia="Arial" w:hAnsi="Arial"/>
                <w:sz w:val="29"/>
                <w:szCs w:val="29"/>
                <w:color w:val="auto"/>
                <w:w w:val="8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241,552</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297,802</w:t>
            </w:r>
          </w:p>
        </w:tc>
        <w:tc>
          <w:tcPr>
            <w:tcW w:w="0" w:type="dxa"/>
            <w:vAlign w:val="bottom"/>
          </w:tcPr>
          <w:p>
            <w:pPr>
              <w:spacing w:after="0"/>
              <w:rPr>
                <w:sz w:val="1"/>
                <w:szCs w:val="1"/>
                <w:color w:val="auto"/>
              </w:rPr>
            </w:pPr>
          </w:p>
        </w:tc>
      </w:tr>
      <w:tr>
        <w:trPr>
          <w:trHeight w:val="32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Lundberg, Ph.D.</w:t>
            </w:r>
          </w:p>
        </w:tc>
        <w:tc>
          <w:tcPr>
            <w:tcW w:w="820" w:type="dxa"/>
            <w:vAlign w:val="bottom"/>
            <w:shd w:val="clear" w:color="auto" w:fill="CCEEFF"/>
          </w:tcPr>
          <w:p>
            <w:pPr>
              <w:ind w:left="160"/>
              <w:spacing w:after="0" w:line="324" w:lineRule="exact"/>
              <w:rPr>
                <w:sz w:val="20"/>
                <w:szCs w:val="20"/>
                <w:color w:val="auto"/>
              </w:rPr>
            </w:pPr>
            <w:r>
              <w:rPr>
                <w:rFonts w:ascii="Arial" w:cs="Arial" w:eastAsia="Arial" w:hAnsi="Arial"/>
                <w:sz w:val="18"/>
                <w:szCs w:val="18"/>
                <w:color w:val="auto"/>
                <w:w w:val="81"/>
              </w:rPr>
              <w:t>47,500</w:t>
            </w:r>
            <w:r>
              <w:rPr>
                <w:rFonts w:ascii="Arial" w:cs="Arial" w:eastAsia="Arial" w:hAnsi="Arial"/>
                <w:sz w:val="29"/>
                <w:szCs w:val="29"/>
                <w:color w:val="auto"/>
                <w:w w:val="81"/>
                <w:vertAlign w:val="superscript"/>
              </w:rPr>
              <w:t>(2)</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119,897</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167,397</w:t>
            </w:r>
          </w:p>
        </w:tc>
        <w:tc>
          <w:tcPr>
            <w:tcW w:w="0" w:type="dxa"/>
            <w:vAlign w:val="bottom"/>
          </w:tcPr>
          <w:p>
            <w:pPr>
              <w:spacing w:after="0"/>
              <w:rPr>
                <w:sz w:val="1"/>
                <w:szCs w:val="1"/>
                <w:color w:val="auto"/>
              </w:rPr>
            </w:pP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David Mott</w:t>
            </w:r>
          </w:p>
        </w:tc>
        <w:tc>
          <w:tcPr>
            <w:tcW w:w="820" w:type="dxa"/>
            <w:vAlign w:val="bottom"/>
          </w:tcPr>
          <w:p>
            <w:pPr>
              <w:ind w:left="160"/>
              <w:spacing w:after="0" w:line="324" w:lineRule="exact"/>
              <w:rPr>
                <w:sz w:val="20"/>
                <w:szCs w:val="20"/>
                <w:color w:val="auto"/>
              </w:rPr>
            </w:pPr>
            <w:r>
              <w:rPr>
                <w:rFonts w:ascii="Arial" w:cs="Arial" w:eastAsia="Arial" w:hAnsi="Arial"/>
                <w:sz w:val="18"/>
                <w:szCs w:val="18"/>
                <w:color w:val="auto"/>
                <w:w w:val="81"/>
              </w:rPr>
              <w:t>95,000</w:t>
            </w:r>
            <w:r>
              <w:rPr>
                <w:rFonts w:ascii="Arial" w:cs="Arial" w:eastAsia="Arial" w:hAnsi="Arial"/>
                <w:sz w:val="29"/>
                <w:szCs w:val="29"/>
                <w:color w:val="auto"/>
                <w:w w:val="8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502,060</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597,060</w:t>
            </w:r>
          </w:p>
        </w:tc>
        <w:tc>
          <w:tcPr>
            <w:tcW w:w="0" w:type="dxa"/>
            <w:vAlign w:val="bottom"/>
          </w:tcPr>
          <w:p>
            <w:pPr>
              <w:spacing w:after="0"/>
              <w:rPr>
                <w:sz w:val="1"/>
                <w:szCs w:val="1"/>
                <w:color w:val="auto"/>
              </w:rPr>
            </w:pPr>
          </w:p>
        </w:tc>
      </w:tr>
      <w:tr>
        <w:trPr>
          <w:trHeight w:val="324"/>
        </w:trPr>
        <w:tc>
          <w:tcPr>
            <w:tcW w:w="46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Gordon Ringold, Ph.D.</w:t>
            </w:r>
            <w:r>
              <w:rPr>
                <w:rFonts w:ascii="Arial" w:cs="Arial" w:eastAsia="Arial" w:hAnsi="Arial"/>
                <w:sz w:val="29"/>
                <w:szCs w:val="29"/>
                <w:color w:val="auto"/>
                <w:vertAlign w:val="superscript"/>
              </w:rPr>
              <w:t>(4)</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119,897</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169,897</w:t>
            </w:r>
          </w:p>
        </w:tc>
        <w:tc>
          <w:tcPr>
            <w:tcW w:w="0" w:type="dxa"/>
            <w:vAlign w:val="bottom"/>
          </w:tcPr>
          <w:p>
            <w:pPr>
              <w:spacing w:after="0"/>
              <w:rPr>
                <w:sz w:val="1"/>
                <w:szCs w:val="1"/>
                <w:color w:val="auto"/>
              </w:rPr>
            </w:pPr>
          </w:p>
        </w:tc>
      </w:tr>
      <w:tr>
        <w:trPr>
          <w:trHeight w:val="420"/>
        </w:trPr>
        <w:tc>
          <w:tcPr>
            <w:tcW w:w="4680" w:type="dxa"/>
            <w:vAlign w:val="bottom"/>
            <w:gridSpan w:val="2"/>
          </w:tcPr>
          <w:p>
            <w:pPr>
              <w:spacing w:after="0"/>
              <w:rPr>
                <w:sz w:val="20"/>
                <w:szCs w:val="20"/>
                <w:color w:val="auto"/>
              </w:rPr>
            </w:pPr>
            <w:r>
              <w:rPr>
                <w:rFonts w:ascii="Arial" w:cs="Arial" w:eastAsia="Arial" w:hAnsi="Arial"/>
                <w:sz w:val="18"/>
                <w:szCs w:val="18"/>
                <w:color w:val="auto"/>
              </w:rPr>
              <w:t>Richard Rodgers</w:t>
            </w:r>
          </w:p>
        </w:tc>
        <w:tc>
          <w:tcPr>
            <w:tcW w:w="820" w:type="dxa"/>
            <w:vAlign w:val="bottom"/>
          </w:tcPr>
          <w:p>
            <w:pPr>
              <w:ind w:left="160"/>
              <w:spacing w:after="0"/>
              <w:rPr>
                <w:sz w:val="20"/>
                <w:szCs w:val="20"/>
                <w:color w:val="auto"/>
              </w:rPr>
            </w:pPr>
            <w:r>
              <w:rPr>
                <w:rFonts w:ascii="Arial" w:cs="Arial" w:eastAsia="Arial" w:hAnsi="Arial"/>
                <w:sz w:val="18"/>
                <w:szCs w:val="18"/>
                <w:color w:val="auto"/>
                <w:w w:val="81"/>
              </w:rPr>
              <w:t>67,500</w:t>
            </w:r>
            <w:r>
              <w:rPr>
                <w:rFonts w:ascii="Arial" w:cs="Arial" w:eastAsia="Arial" w:hAnsi="Arial"/>
                <w:sz w:val="29"/>
                <w:szCs w:val="29"/>
                <w:color w:val="auto"/>
                <w:w w:val="8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119,897</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187,397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-1723390</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-1723390</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-1723390</wp:posOffset>
            </wp:positionV>
            <wp:extent cx="85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-1723390</wp:posOffset>
            </wp:positionV>
            <wp:extent cx="94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6" w:lineRule="exact"/>
        <w:rPr>
          <w:sz w:val="20"/>
          <w:szCs w:val="20"/>
          <w:color w:val="auto"/>
        </w:rPr>
      </w:pPr>
    </w:p>
    <w:p>
      <w:pPr>
        <w:ind w:left="640" w:right="359" w:hanging="348"/>
        <w:spacing w:after="0" w:line="248" w:lineRule="auto"/>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amounts reported in the Option Awards column represent the grant date fair value of the stock options granted to the non-employee members of our board of directors during 2020 as computed in accordance with ASC 718. The assumptions used in calculating the grant date fair value of the stock option reported in the Option Awards column are set forth in Note 8 to the audited financial statements included in our Annual Report on Form 10-K filed on March 8, 2021.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w:t>
      </w:r>
    </w:p>
    <w:p>
      <w:pPr>
        <w:spacing w:after="0" w:line="18" w:lineRule="exact"/>
        <w:rPr>
          <w:rFonts w:ascii="Arial" w:cs="Arial" w:eastAsia="Arial" w:hAnsi="Arial"/>
          <w:sz w:val="13"/>
          <w:szCs w:val="13"/>
          <w:color w:val="auto"/>
        </w:rPr>
      </w:pPr>
    </w:p>
    <w:p>
      <w:pPr>
        <w:ind w:left="640" w:right="679" w:hanging="348"/>
        <w:spacing w:after="0" w:line="248" w:lineRule="auto"/>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Pursuant to the Director Compensation Program, each of Messrs. Bertrand, Mott and Rodgers, Dr. Lundberg and Ms. Cadoret-Manier elected to receive a stock award in lieu of their respective 2020 annual cash retainers. The fully vested stock awards consisted of</w:t>
      </w:r>
    </w:p>
    <w:p>
      <w:pPr>
        <w:ind w:left="640" w:right="319"/>
        <w:spacing w:after="0" w:line="245" w:lineRule="auto"/>
        <w:rPr>
          <w:rFonts w:ascii="Arial" w:cs="Arial" w:eastAsia="Arial" w:hAnsi="Arial"/>
          <w:sz w:val="13"/>
          <w:szCs w:val="13"/>
          <w:color w:val="auto"/>
        </w:rPr>
      </w:pPr>
      <w:r>
        <w:rPr>
          <w:rFonts w:ascii="Arial" w:cs="Arial" w:eastAsia="Arial" w:hAnsi="Arial"/>
          <w:sz w:val="13"/>
          <w:szCs w:val="13"/>
          <w:color w:val="auto"/>
        </w:rPr>
        <w:t>7,523, 12,995, 9,233, 6,497 and 6,155 shares of our common stock for Messrs. Bertrand, Mott and Rodgers, Dr. Lundberg and Ms. Cadoret-Manier, respectively. The number of shares of our common stock issued was calculated by dividing the annual retainer otherwise payable in cash at the 2020 Annual Meeting of Stockholders as reported in this column by $7.31, which was the closing trading price of our common stock on the date of the 2020 Annual Meeting of Stockholders, rounded down to the nearest whole share. Additionally, the cash retainer reported for Ms. Cadoret-Manier includes a pro-rata amount of $11,250 for services performed during the period from her appointment in March 2020 through the 2020 Annual Meeting of Stockholders, as well as her 2020 annual cash retainer of $45,000.</w:t>
      </w:r>
    </w:p>
    <w:p>
      <w:pPr>
        <w:spacing w:after="0" w:line="17" w:lineRule="exact"/>
        <w:rPr>
          <w:rFonts w:ascii="Arial" w:cs="Arial" w:eastAsia="Arial" w:hAnsi="Arial"/>
          <w:sz w:val="13"/>
          <w:szCs w:val="13"/>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 Cadoret-Manier was appointed to our board of directors effective March 12,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Dr. Ringold stepped down from the board of directors effective March 11, 2021.</w:t>
      </w:r>
    </w:p>
    <w:p>
      <w:pPr>
        <w:spacing w:after="0" w:line="100"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The following table sets forth for the number of shares of our common stock subject to outstanding options held by each of our non-employee directors as of December 31, 2020. Because Ms. Bhanji was appointed to our board of directors in March 2021, and did not hold outstanding options as of December 31, 2020, she is omitted from the table below.</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Subject to</w:t>
            </w:r>
          </w:p>
        </w:tc>
        <w:tc>
          <w:tcPr>
            <w:tcW w:w="0" w:type="dxa"/>
            <w:vAlign w:val="bottom"/>
          </w:tcPr>
          <w:p>
            <w:pPr>
              <w:spacing w:after="0"/>
              <w:rPr>
                <w:sz w:val="1"/>
                <w:szCs w:val="1"/>
                <w:color w:val="auto"/>
              </w:rPr>
            </w:pPr>
          </w:p>
        </w:tc>
      </w:tr>
      <w:tr>
        <w:trPr>
          <w:trHeight w:val="148"/>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86"/>
        </w:trPr>
        <w:tc>
          <w:tcPr>
            <w:tcW w:w="73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53"/>
        </w:trPr>
        <w:tc>
          <w:tcPr>
            <w:tcW w:w="71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Bazemore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128,530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William Bertrand, Jr.</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143,530</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Geoffrey A. Block, M.D.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106,030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Onaiza Cadoret-Manier</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65,890</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Annalisa Jenkins, MBBS, FRCP</w:t>
            </w:r>
          </w:p>
        </w:tc>
        <w:tc>
          <w:tcPr>
            <w:tcW w:w="10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Jan Lundberg, Ph.D.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103,530</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734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David Mott</w:t>
            </w:r>
            <w:r>
              <w:rPr>
                <w:rFonts w:ascii="Arial" w:cs="Arial" w:eastAsia="Arial" w:hAnsi="Arial"/>
                <w:sz w:val="29"/>
                <w:szCs w:val="29"/>
                <w:color w:val="auto"/>
                <w:vertAlign w:val="superscript"/>
              </w:rPr>
              <w:t>(1)</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208,530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Gordon Ringold, Ph.D.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163,530</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Rodgers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163,530</w:t>
            </w:r>
          </w:p>
        </w:tc>
        <w:tc>
          <w:tcPr>
            <w:tcW w:w="0" w:type="dxa"/>
            <w:vAlign w:val="bottom"/>
          </w:tcPr>
          <w:p>
            <w:pPr>
              <w:spacing w:after="0"/>
              <w:rPr>
                <w:sz w:val="1"/>
                <w:szCs w:val="1"/>
                <w:color w:val="auto"/>
              </w:rPr>
            </w:pPr>
          </w:p>
        </w:tc>
      </w:tr>
      <w:tr>
        <w:trPr>
          <w:trHeight w:val="54"/>
        </w:trPr>
        <w:tc>
          <w:tcPr>
            <w:tcW w:w="7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-1868170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399" w:hanging="348"/>
        <w:spacing w:after="0" w:line="253"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stock options to purchase 110,000 shares of our common stock that Mr. Mott holds for the benefit of entities associated with New Enterprise Associates.</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information regarding our executive officers as of March 31, 2021.</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6"/>
                <w:szCs w:val="16"/>
                <w:color w:val="auto"/>
              </w:rPr>
            </w:pPr>
          </w:p>
        </w:tc>
        <w:tc>
          <w:tcPr>
            <w:tcW w:w="4320" w:type="dxa"/>
            <w:vAlign w:val="bottom"/>
          </w:tcPr>
          <w:p>
            <w:pPr>
              <w:ind w:left="1840"/>
              <w:spacing w:after="0"/>
              <w:rPr>
                <w:sz w:val="20"/>
                <w:szCs w:val="20"/>
                <w:color w:val="auto"/>
              </w:rPr>
            </w:pPr>
            <w:r>
              <w:rPr>
                <w:rFonts w:ascii="Arial" w:cs="Arial" w:eastAsia="Arial" w:hAnsi="Arial"/>
                <w:sz w:val="14"/>
                <w:szCs w:val="14"/>
                <w:b w:val="1"/>
                <w:bCs w:val="1"/>
                <w:color w:val="auto"/>
              </w:rPr>
              <w:t>Position(s)</w:t>
            </w:r>
          </w:p>
        </w:tc>
      </w:tr>
      <w:tr>
        <w:trPr>
          <w:trHeight w:val="53"/>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Robert Blanks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w w:val="99"/>
              </w:rPr>
              <w:t>Chief Regulatory Affairs and Quality Assurance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Elizabeth Grammer, Esq.</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Legal and Administrative Officer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Jeff Jacobs, Ph.D.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Chief Scientific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Renz</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Susan Rodriguez</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Chief Commercial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Rosenbaum, Ph.D.</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4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Development Officer</w:t>
            </w: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-1456690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-1456690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719"/>
        <w:spacing w:after="0" w:line="308" w:lineRule="auto"/>
        <w:rPr>
          <w:sz w:val="20"/>
          <w:szCs w:val="20"/>
          <w:color w:val="auto"/>
        </w:rPr>
      </w:pPr>
      <w:r>
        <w:rPr>
          <w:rFonts w:ascii="Arial" w:cs="Arial" w:eastAsia="Arial" w:hAnsi="Arial"/>
          <w:sz w:val="17"/>
          <w:szCs w:val="17"/>
          <w:color w:val="auto"/>
        </w:rPr>
        <w:t>The following biographical information is furnished with regard to our executive officers (except for Mr. Raab, whose biographical information appears above under “Class II Directors”) as of March 31, 2021:</w:t>
      </w:r>
    </w:p>
    <w:p>
      <w:pPr>
        <w:spacing w:after="0" w:line="34" w:lineRule="exact"/>
        <w:rPr>
          <w:sz w:val="20"/>
          <w:szCs w:val="20"/>
          <w:color w:val="auto"/>
        </w:rPr>
      </w:pPr>
    </w:p>
    <w:p>
      <w:pPr>
        <w:ind w:left="300" w:right="359"/>
        <w:spacing w:after="0" w:line="285" w:lineRule="auto"/>
        <w:rPr>
          <w:sz w:val="20"/>
          <w:szCs w:val="20"/>
          <w:color w:val="auto"/>
        </w:rPr>
      </w:pPr>
      <w:r>
        <w:rPr>
          <w:rFonts w:ascii="Arial" w:cs="Arial" w:eastAsia="Arial" w:hAnsi="Arial"/>
          <w:sz w:val="16"/>
          <w:szCs w:val="16"/>
          <w:b w:val="1"/>
          <w:bCs w:val="1"/>
          <w:color w:val="auto"/>
        </w:rPr>
        <w:t xml:space="preserve">Robert Blanks, </w:t>
      </w:r>
      <w:r>
        <w:rPr>
          <w:rFonts w:ascii="Arial" w:cs="Arial" w:eastAsia="Arial" w:hAnsi="Arial"/>
          <w:sz w:val="16"/>
          <w:szCs w:val="16"/>
          <w:color w:val="auto"/>
        </w:rPr>
        <w:t>has served as our Chief Regulatory Affairs and Quality Assurance Officer since January 2020 and</w:t>
      </w:r>
      <w:r>
        <w:rPr>
          <w:rFonts w:ascii="Arial" w:cs="Arial" w:eastAsia="Arial" w:hAnsi="Arial"/>
          <w:sz w:val="16"/>
          <w:szCs w:val="16"/>
          <w:b w:val="1"/>
          <w:bCs w:val="1"/>
          <w:color w:val="auto"/>
        </w:rPr>
        <w:t xml:space="preserve"> </w:t>
      </w:r>
      <w:r>
        <w:rPr>
          <w:rFonts w:ascii="Arial" w:cs="Arial" w:eastAsia="Arial" w:hAnsi="Arial"/>
          <w:sz w:val="16"/>
          <w:szCs w:val="16"/>
          <w:color w:val="auto"/>
        </w:rPr>
        <w:t>formerly served as our head of regulatory affairs and quality assurance beginning in August 2013. From 2009 to 2012, Mr. Blanks served as Vice President, Chemistry, Manufacturing and Controls at Flexion Pharmaceuticals, Inc. (Nasdaq: FLXN) where he oversaw the manufacture of the company’s first two drug product candidates. Prior to that, Mr. Blanks serves as the Vice President Quality Assurance for Idenix Pharmaceuticals, a biopharmaceutical company, from 2006 to 2009, and Vice President, Technical Operations for Trine Pharmaceuticals, a biopharmaceutical company, from 2003 to 2006. At GelTex Pharmaceuticals, a biopharmaceutical company,</w:t>
      </w:r>
    </w:p>
    <w:p>
      <w:pPr>
        <w:spacing w:after="0" w:line="1" w:lineRule="exact"/>
        <w:rPr>
          <w:sz w:val="20"/>
          <w:szCs w:val="20"/>
          <w:color w:val="auto"/>
        </w:rPr>
      </w:pPr>
    </w:p>
    <w:p>
      <w:pPr>
        <w:ind w:left="300" w:right="459"/>
        <w:spacing w:after="0" w:line="302" w:lineRule="auto"/>
        <w:rPr>
          <w:sz w:val="20"/>
          <w:szCs w:val="20"/>
          <w:color w:val="auto"/>
        </w:rPr>
      </w:pPr>
      <w:r>
        <w:rPr>
          <w:rFonts w:ascii="Arial" w:cs="Arial" w:eastAsia="Arial" w:hAnsi="Arial"/>
          <w:sz w:val="16"/>
          <w:szCs w:val="16"/>
          <w:color w:val="auto"/>
        </w:rPr>
        <w:t>Mr. Blanks served in numerous roles of increasing responsibility, most recently as Senior Director, Quality Affairs, where he played a critical role in the development and commercialization of Renagel. Mr. Blanks has a B.S. in biology from Bowdoin College and an M.S. in chemistry from Boston College. Rob is regulatory affairs certified.</w:t>
      </w:r>
    </w:p>
    <w:p>
      <w:pPr>
        <w:spacing w:after="0" w:line="43"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b w:val="1"/>
          <w:bCs w:val="1"/>
          <w:color w:val="auto"/>
        </w:rPr>
        <w:t xml:space="preserve">Elizabeth Grammer, Esq., </w:t>
      </w:r>
      <w:r>
        <w:rPr>
          <w:rFonts w:ascii="Arial" w:cs="Arial" w:eastAsia="Arial" w:hAnsi="Arial"/>
          <w:sz w:val="17"/>
          <w:szCs w:val="17"/>
          <w:color w:val="auto"/>
        </w:rPr>
        <w:t>has served as our Chief Legal and Administrative Officer since January 2020, and</w:t>
      </w:r>
      <w:r>
        <w:rPr>
          <w:rFonts w:ascii="Arial" w:cs="Arial" w:eastAsia="Arial" w:hAnsi="Arial"/>
          <w:sz w:val="17"/>
          <w:szCs w:val="17"/>
          <w:b w:val="1"/>
          <w:bCs w:val="1"/>
          <w:color w:val="auto"/>
        </w:rPr>
        <w:t xml:space="preserve"> </w:t>
      </w:r>
      <w:r>
        <w:rPr>
          <w:rFonts w:ascii="Arial" w:cs="Arial" w:eastAsia="Arial" w:hAnsi="Arial"/>
          <w:sz w:val="17"/>
          <w:szCs w:val="17"/>
          <w:color w:val="auto"/>
        </w:rPr>
        <w:t>formerly served as our General Counsel beginning in May 2014, and as our vice president responsible for legal affairs from December 2012 until May 2014. From 2006 to December 2012, 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 Ms. Grammer previously served as independent outside corporate counsel to GelTex Pharmaceuticals, a biopharmaceutical company. Ms. Grammer received a B.A. from Boston University and a J.D. from Stanford Law School.</w:t>
      </w:r>
    </w:p>
    <w:p>
      <w:pPr>
        <w:spacing w:after="0" w:line="64"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b w:val="1"/>
          <w:bCs w:val="1"/>
          <w:color w:val="auto"/>
        </w:rPr>
        <w:t xml:space="preserve">Jeff Jacobs, Ph.D., </w:t>
      </w:r>
      <w:r>
        <w:rPr>
          <w:rFonts w:ascii="Arial" w:cs="Arial" w:eastAsia="Arial" w:hAnsi="Arial"/>
          <w:sz w:val="16"/>
          <w:szCs w:val="16"/>
          <w:color w:val="auto"/>
        </w:rPr>
        <w:t>has served as our Chief Scientific Officer since January 2020, and formerly served as our Senior</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Technical Operations from 2015 to 2020, and as our Vice President, Chemistry since June 2008. Prior to that, Dr. Jacobs served in numerous roles of increasing responsibility from 2000 to 2008 for Sunesis Pharmaceuticals, Inc., a biopharmaceutical company, most recently as Senior Director of Development Chemistry. Dr. Jacobs has spent his career in the discovery and development of new chemical entities for the treatment of unmet medical needs. He is a Damon-Runyon Fellow and an author and inventor on over 60 scientific papers and patents. Dr. Jacobs received a B.S. in chemistry from Gonzaga University and a Ph.D. in bioorganic chemistry from U.C. Berkeley where he started the catalytic antibody program in the laboratory of Professor Peter Schultz.</w:t>
      </w:r>
    </w:p>
    <w:p>
      <w:pPr>
        <w:spacing w:after="0" w:line="51" w:lineRule="exact"/>
        <w:rPr>
          <w:sz w:val="20"/>
          <w:szCs w:val="20"/>
          <w:color w:val="auto"/>
        </w:rPr>
      </w:pPr>
    </w:p>
    <w:p>
      <w:pPr>
        <w:jc w:val="both"/>
        <w:ind w:left="300" w:right="379"/>
        <w:spacing w:after="0" w:line="287" w:lineRule="auto"/>
        <w:rPr>
          <w:sz w:val="20"/>
          <w:szCs w:val="20"/>
          <w:color w:val="auto"/>
        </w:rPr>
      </w:pPr>
      <w:r>
        <w:rPr>
          <w:rFonts w:ascii="Arial" w:cs="Arial" w:eastAsia="Arial" w:hAnsi="Arial"/>
          <w:sz w:val="16"/>
          <w:szCs w:val="16"/>
          <w:b w:val="1"/>
          <w:bCs w:val="1"/>
          <w:color w:val="auto"/>
        </w:rPr>
        <w:t xml:space="preserve">Justin Renz </w:t>
      </w:r>
      <w:r>
        <w:rPr>
          <w:rFonts w:ascii="Arial" w:cs="Arial" w:eastAsia="Arial" w:hAnsi="Arial"/>
          <w:sz w:val="16"/>
          <w:szCs w:val="16"/>
          <w:color w:val="auto"/>
        </w:rPr>
        <w:t>has served as our Chief Financial Officer since June 2020. Beginning in 2017, Mr. Renz held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of increasing responsibility at Correvio Pharma Corp (Nasdaq: CORV), most recently as its President and Chief Financial Officer at the time of its acquisition by Advanz Pharma in May 2020. From 2014 to 2017, Mr. Renz was the Executive Vice President and Chief Financial Officer of Karyopharm Therapeutics, Inc. (Nasdaq: KTPI).</w:t>
      </w:r>
    </w:p>
    <w:p>
      <w:pPr>
        <w:spacing w:after="0" w:line="2" w:lineRule="exact"/>
        <w:rPr>
          <w:sz w:val="20"/>
          <w:szCs w:val="20"/>
          <w:color w:val="auto"/>
        </w:rPr>
      </w:pPr>
    </w:p>
    <w:p>
      <w:pPr>
        <w:ind w:left="300" w:right="419"/>
        <w:spacing w:after="0" w:line="295" w:lineRule="auto"/>
        <w:rPr>
          <w:sz w:val="20"/>
          <w:szCs w:val="20"/>
          <w:color w:val="auto"/>
        </w:rPr>
      </w:pPr>
      <w:r>
        <w:rPr>
          <w:rFonts w:ascii="Arial" w:cs="Arial" w:eastAsia="Arial" w:hAnsi="Arial"/>
          <w:sz w:val="16"/>
          <w:szCs w:val="16"/>
          <w:color w:val="auto"/>
        </w:rPr>
        <w:t>Prior to that, from 2006 to 2014, Mr. Renz held a variety of financial positions with Zalicus Incorporated,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w:t>
      </w:r>
    </w:p>
    <w:p>
      <w:pPr>
        <w:spacing w:after="0" w:line="49" w:lineRule="exact"/>
        <w:rPr>
          <w:sz w:val="20"/>
          <w:szCs w:val="20"/>
          <w:color w:val="auto"/>
        </w:rPr>
      </w:pPr>
    </w:p>
    <w:p>
      <w:pPr>
        <w:ind w:left="300" w:right="339"/>
        <w:spacing w:after="0" w:line="312" w:lineRule="auto"/>
        <w:rPr>
          <w:sz w:val="20"/>
          <w:szCs w:val="20"/>
          <w:color w:val="auto"/>
        </w:rPr>
      </w:pPr>
      <w:r>
        <w:rPr>
          <w:rFonts w:ascii="Arial" w:cs="Arial" w:eastAsia="Arial" w:hAnsi="Arial"/>
          <w:sz w:val="17"/>
          <w:szCs w:val="17"/>
          <w:b w:val="1"/>
          <w:bCs w:val="1"/>
          <w:color w:val="auto"/>
        </w:rPr>
        <w:t xml:space="preserve">Susan Rodriguez, </w:t>
      </w:r>
      <w:r>
        <w:rPr>
          <w:rFonts w:ascii="Arial" w:cs="Arial" w:eastAsia="Arial" w:hAnsi="Arial"/>
          <w:sz w:val="17"/>
          <w:szCs w:val="17"/>
          <w:color w:val="auto"/>
        </w:rPr>
        <w:t>has served as our Chief Commercial Officer since May 2020. From 2014 to 2019, Ms. Rodriguez</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Executive Officer of Tolmar Pharmaceuticals, a U.S. commercial specialty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93" w:lineRule="auto"/>
        <w:rPr>
          <w:sz w:val="20"/>
          <w:szCs w:val="20"/>
          <w:color w:val="auto"/>
        </w:rPr>
      </w:pPr>
      <w:r>
        <w:rPr>
          <w:rFonts w:ascii="Arial" w:cs="Arial" w:eastAsia="Arial" w:hAnsi="Arial"/>
          <w:sz w:val="16"/>
          <w:szCs w:val="16"/>
          <w:color w:val="auto"/>
        </w:rPr>
        <w:t>oncology company, for which in 2019, Ms. Rodriguez was named President of the branded division upon the formation of the global entity, Tolmar Inc. Prior to Tolmar, from 1990 to 2014, Ms. Rodriguez held various positions of increasing responsibility at Abbott Laboratories (NYSE: ABT), most recently as Divisional Vice President of Global Marketing, where she led the global marketing function for an international portfolio of products. Prior to this role, Ms. Rodriguez served as the Vice President and General Manager of the Abbott Renal Franchise. Ms. Rodriguez received both a M.S and B.S in Psychology from the University of Pennsylvania.</w:t>
      </w:r>
    </w:p>
    <w:p>
      <w:pPr>
        <w:spacing w:after="0" w:line="52"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b w:val="1"/>
          <w:bCs w:val="1"/>
          <w:color w:val="auto"/>
        </w:rPr>
        <w:t xml:space="preserve">David Rosenbaum, Ph.D., </w:t>
      </w:r>
      <w:r>
        <w:rPr>
          <w:rFonts w:ascii="Arial" w:cs="Arial" w:eastAsia="Arial" w:hAnsi="Arial"/>
          <w:sz w:val="17"/>
          <w:szCs w:val="17"/>
          <w:color w:val="auto"/>
        </w:rPr>
        <w:t>has served as our Chief Development Officer since January 2017 and formerly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our vice president responsible for drug development from January 2010 to January 2017. From 2003 to 2008, he was Vice President of Drug Development for Trine Pharmaceuticals, Inc., a biopharmaceutical company, where he was developing a novel non-systemic therapeutic for the treatment of IBS. In addition, Dr. Rosenbaum previously served as Vice President of Preclinical Research and Development at GelTex Pharmaceuticals, a biopharmaceutical company, where he was responsible for the preclinical development of Renagel and Welchol. He received a B.A. in Biology from the University of Pennsylvania, a M.S. in Toxicology from Albany Medical College and a Ph.D. in Pharmacology from Boston University School of Medicine.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or NEOs. As a “smaller reporting company” as defined in Item 10(f), we are not required to include a Compensation Discussion and Analysis section and have elected to comply with the scaled disclosure requirements applicable to smaller reporting companies.</w:t>
      </w:r>
    </w:p>
    <w:p>
      <w:pPr>
        <w:spacing w:after="0" w:line="79"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for fiscal year 2020 were as follows:</w:t>
      </w:r>
    </w:p>
    <w:p>
      <w:pPr>
        <w:spacing w:after="0" w:line="117"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Raab, President and Chief Executive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Susan Rodriguez, Chief Commercial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Justin Renz, Chief Financial Officer.</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Ms. Rodriguez joined the company in May 2020 and Mr. Renz joined the company in June 2020.</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NEOs for services performed in the years presented.</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7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0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633,333</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3,006,326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314,325</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3,953,984</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&amp;</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595,000</w:t>
            </w:r>
          </w:p>
        </w:tc>
        <w:tc>
          <w:tcPr>
            <w:tcW w:w="10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740,922</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393,000</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1,728,922</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vMerge w:val="continue"/>
            <w:shd w:val="clear" w:color="auto" w:fill="CCEEFF"/>
          </w:tcPr>
          <w:p>
            <w:pPr>
              <w:spacing w:after="0"/>
              <w:rPr>
                <w:sz w:val="22"/>
                <w:szCs w:val="22"/>
                <w:color w:val="auto"/>
              </w:rPr>
            </w:pPr>
          </w:p>
        </w:tc>
        <w:tc>
          <w:tcPr>
            <w:tcW w:w="720" w:type="dxa"/>
            <w:vAlign w:val="bottom"/>
            <w:tcBorders>
              <w:bottom w:val="single" w:sz="8" w:color="CCEEFF"/>
            </w:tcBorders>
            <w:gridSpan w:val="2"/>
            <w:vMerge w:val="continue"/>
            <w:shd w:val="clear" w:color="auto" w:fill="CCEEFF"/>
          </w:tcPr>
          <w:p>
            <w:pPr>
              <w:spacing w:after="0"/>
              <w:rPr>
                <w:sz w:val="22"/>
                <w:szCs w:val="22"/>
                <w:color w:val="auto"/>
              </w:rPr>
            </w:pPr>
          </w:p>
        </w:tc>
        <w:tc>
          <w:tcPr>
            <w:tcW w:w="7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vMerge w:val="continue"/>
            <w:shd w:val="clear" w:color="auto" w:fill="CCEEFF"/>
          </w:tcPr>
          <w:p>
            <w:pPr>
              <w:spacing w:after="0"/>
              <w:rPr>
                <w:sz w:val="22"/>
                <w:szCs w:val="22"/>
                <w:color w:val="auto"/>
              </w:rPr>
            </w:pPr>
          </w:p>
        </w:tc>
        <w:tc>
          <w:tcPr>
            <w:tcW w:w="74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140" w:type="dxa"/>
            <w:vAlign w:val="bottom"/>
            <w:gridSpan w:val="2"/>
          </w:tcPr>
          <w:p>
            <w:pPr>
              <w:spacing w:after="0" w:line="255" w:lineRule="exact"/>
              <w:rPr>
                <w:sz w:val="20"/>
                <w:szCs w:val="20"/>
                <w:color w:val="auto"/>
              </w:rPr>
            </w:pPr>
            <w:r>
              <w:rPr>
                <w:rFonts w:ascii="Arial" w:cs="Arial" w:eastAsia="Arial" w:hAnsi="Arial"/>
                <w:sz w:val="18"/>
                <w:szCs w:val="18"/>
                <w:color w:val="auto"/>
              </w:rPr>
              <w:t>Susan Rodriguez</w:t>
            </w:r>
            <w:r>
              <w:rPr>
                <w:rFonts w:ascii="Arial" w:cs="Arial" w:eastAsia="Arial" w:hAnsi="Arial"/>
                <w:sz w:val="29"/>
                <w:szCs w:val="29"/>
                <w:color w:val="auto"/>
                <w:vertAlign w:val="superscript"/>
              </w:rPr>
              <w:t>(3)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273,589</w:t>
            </w:r>
          </w:p>
        </w:tc>
        <w:tc>
          <w:tcPr>
            <w:tcW w:w="10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154,000</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1,250,007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145,200</w:t>
            </w:r>
          </w:p>
        </w:tc>
        <w:tc>
          <w:tcPr>
            <w:tcW w:w="100" w:type="dxa"/>
            <w:vAlign w:val="bottom"/>
          </w:tcPr>
          <w:p>
            <w:pPr>
              <w:spacing w:after="0"/>
              <w:rPr>
                <w:sz w:val="22"/>
                <w:szCs w:val="2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1,822,796</w:t>
            </w:r>
          </w:p>
        </w:tc>
        <w:tc>
          <w:tcPr>
            <w:tcW w:w="0" w:type="dxa"/>
            <w:vAlign w:val="bottom"/>
          </w:tcPr>
          <w:p>
            <w:pPr>
              <w:spacing w:after="0"/>
              <w:rPr>
                <w:sz w:val="1"/>
                <w:szCs w:val="1"/>
                <w:color w:val="auto"/>
              </w:rPr>
            </w:pPr>
          </w:p>
        </w:tc>
      </w:tr>
      <w:tr>
        <w:trPr>
          <w:trHeight w:val="230"/>
        </w:trPr>
        <w:tc>
          <w:tcPr>
            <w:tcW w:w="2140" w:type="dxa"/>
            <w:vAlign w:val="bottom"/>
            <w:gridSpan w:val="2"/>
          </w:tcPr>
          <w:p>
            <w:pPr>
              <w:ind w:left="180"/>
              <w:spacing w:after="0"/>
              <w:rPr>
                <w:sz w:val="20"/>
                <w:szCs w:val="20"/>
                <w:color w:val="auto"/>
              </w:rPr>
            </w:pPr>
            <w:r>
              <w:rPr>
                <w:rFonts w:ascii="Arial" w:cs="Arial" w:eastAsia="Arial" w:hAnsi="Arial"/>
                <w:sz w:val="18"/>
                <w:szCs w:val="18"/>
                <w:i w:val="1"/>
                <w:iCs w:val="1"/>
                <w:color w:val="auto"/>
                <w:w w:val="96"/>
              </w:rPr>
              <w:t>Chief Commercial Officer</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14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Justin Renz</w:t>
            </w:r>
            <w:r>
              <w:rPr>
                <w:rFonts w:ascii="Arial" w:cs="Arial" w:eastAsia="Arial" w:hAnsi="Arial"/>
                <w:sz w:val="29"/>
                <w:szCs w:val="29"/>
                <w:color w:val="auto"/>
                <w:vertAlign w:val="superscript"/>
              </w:rPr>
              <w:t>(4)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242,839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line="255" w:lineRule="exact"/>
              <w:rPr>
                <w:sz w:val="20"/>
                <w:szCs w:val="20"/>
                <w:color w:val="auto"/>
              </w:rPr>
            </w:pPr>
            <w:r>
              <w:rPr>
                <w:rFonts w:ascii="Arial" w:cs="Arial" w:eastAsia="Arial" w:hAnsi="Arial"/>
                <w:sz w:val="18"/>
                <w:szCs w:val="18"/>
                <w:color w:val="auto"/>
                <w:w w:val="83"/>
              </w:rPr>
              <w:t>10,000</w:t>
            </w:r>
            <w:r>
              <w:rPr>
                <w:rFonts w:ascii="Arial" w:cs="Arial" w:eastAsia="Arial" w:hAnsi="Arial"/>
                <w:sz w:val="29"/>
                <w:szCs w:val="29"/>
                <w:color w:val="auto"/>
                <w:w w:val="83"/>
                <w:vertAlign w:val="superscript"/>
              </w:rPr>
              <w:t>(5)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141,900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1,468,247</w:t>
            </w: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-1182370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-1182370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-1182370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-1182370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-1182370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-1182370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-1182370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59" w:hanging="348"/>
        <w:spacing w:after="0" w:line="245" w:lineRule="auto"/>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amount reported in the Stock Awards and Option Awards columns represent the grant date fair value of the restricted stock units and stock options granted to our NEOs as computed in accordance with ASC 718. The grant date fair value of the performance-based restricted stock units granted to Ms. Rodriguez and Mr. Renz assumes achievement of the applicable performance condition, which was the probable outcome as of the grant date. The assumptions used in calculating the grant date fair value of the restricted stock units and stock options reported in the Stock Awards and Option Awards columns are set forth in Note 8 to the audited financial statements included in our Annual Report on Form 10-K filed on March 8, 2021.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NEOs from the equity awards.</w:t>
      </w:r>
    </w:p>
    <w:p>
      <w:pPr>
        <w:spacing w:after="0" w:line="21" w:lineRule="exact"/>
        <w:rPr>
          <w:rFonts w:ascii="Arial" w:cs="Arial" w:eastAsia="Arial" w:hAnsi="Arial"/>
          <w:sz w:val="13"/>
          <w:szCs w:val="13"/>
          <w:color w:val="auto"/>
        </w:rPr>
      </w:pPr>
    </w:p>
    <w:p>
      <w:pPr>
        <w:ind w:left="640" w:right="339" w:hanging="348"/>
        <w:spacing w:after="0" w:line="23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amounts reported in the Non-Equity Incentive Plan Compensation column represent the annual cash performance-based bonuses earned by our NEOs pursuant to the achievement of certain company and individual performance objectives. Please see the description of the annual performance bonuses paid to our NEOs in “— Narrative to 2020 Summary Compensation Table and Outstanding Equity Awards at 2020 Fiscal Year-End — Terms and Conditions of Annual Bonuses” below.</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Ms. Rodriguez commenced employment with us on May 18,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Renz commenced employment with us on June 8,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sign-on bonus paid to Mr. Renz in connection with his commencement of employment with us in June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 following table sets forth specified information concerning unexercised stock options and unvested restricted stock units for each of the NEOs outstanding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right"/>
              <w:ind w:right="138"/>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53"/>
        </w:trPr>
        <w:tc>
          <w:tcPr>
            <w:tcW w:w="1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Vesting</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continue"/>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That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Expiration</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Vested as</w:t>
            </w:r>
          </w:p>
        </w:tc>
        <w:tc>
          <w:tcPr>
            <w:tcW w:w="0" w:type="dxa"/>
            <w:vAlign w:val="bottom"/>
          </w:tcPr>
          <w:p>
            <w:pPr>
              <w:spacing w:after="0"/>
              <w:rPr>
                <w:sz w:val="1"/>
                <w:szCs w:val="1"/>
                <w:color w:val="auto"/>
              </w:rPr>
            </w:pPr>
          </w:p>
        </w:tc>
      </w:tr>
      <w:tr>
        <w:trPr>
          <w:trHeight w:val="186"/>
        </w:trPr>
        <w:tc>
          <w:tcPr>
            <w:tcW w:w="24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6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Vested (#)</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Raab</w:t>
            </w: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8/11/2011</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267,892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8/1/2021</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1/6/2015</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1/6/2025</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1/15/2016</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301,258</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1/15/2026</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1/19/2017</w:t>
            </w:r>
            <w:r>
              <w:rPr>
                <w:rFonts w:ascii="Arial" w:cs="Arial" w:eastAsia="Arial" w:hAnsi="Arial"/>
                <w:sz w:val="29"/>
                <w:szCs w:val="29"/>
                <w:color w:val="auto"/>
                <w:w w:val="84"/>
                <w:vertAlign w:val="superscript"/>
              </w:rPr>
              <w:t>(1)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311,513</w:t>
            </w: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6,628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1/19/2027</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8/9/2017</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79,535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8/9/2027</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1/16/2018</w:t>
            </w:r>
            <w:r>
              <w:rPr>
                <w:rFonts w:ascii="Arial" w:cs="Arial" w:eastAsia="Arial" w:hAnsi="Arial"/>
                <w:sz w:val="29"/>
                <w:szCs w:val="29"/>
                <w:color w:val="auto"/>
                <w:w w:val="84"/>
                <w:vertAlign w:val="superscript"/>
              </w:rPr>
              <w:t>(1)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284,628</w:t>
            </w: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105,720</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1/16/2028</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line="324" w:lineRule="exact"/>
              <w:rPr>
                <w:sz w:val="20"/>
                <w:szCs w:val="20"/>
                <w:color w:val="auto"/>
              </w:rPr>
            </w:pPr>
            <w:r>
              <w:rPr>
                <w:rFonts w:ascii="Arial" w:cs="Arial" w:eastAsia="Arial" w:hAnsi="Arial"/>
                <w:sz w:val="18"/>
                <w:szCs w:val="18"/>
                <w:color w:val="auto"/>
                <w:w w:val="84"/>
              </w:rPr>
              <w:t>7/26/2018</w:t>
            </w:r>
            <w:r>
              <w:rPr>
                <w:rFonts w:ascii="Arial" w:cs="Arial" w:eastAsia="Arial" w:hAnsi="Arial"/>
                <w:sz w:val="29"/>
                <w:szCs w:val="29"/>
                <w:color w:val="auto"/>
                <w:w w:val="84"/>
                <w:vertAlign w:val="superscript"/>
              </w:rPr>
              <w:t>(1)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111,770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73,230</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7/26/2028</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line="324" w:lineRule="exact"/>
              <w:rPr>
                <w:sz w:val="20"/>
                <w:szCs w:val="20"/>
                <w:color w:val="auto"/>
              </w:rPr>
            </w:pPr>
            <w:r>
              <w:rPr>
                <w:rFonts w:ascii="Arial" w:cs="Arial" w:eastAsia="Arial" w:hAnsi="Arial"/>
                <w:sz w:val="18"/>
                <w:szCs w:val="18"/>
                <w:color w:val="auto"/>
                <w:w w:val="84"/>
              </w:rPr>
              <w:t>1/17/2019</w:t>
            </w:r>
            <w:r>
              <w:rPr>
                <w:rFonts w:ascii="Arial" w:cs="Arial" w:eastAsia="Arial" w:hAnsi="Arial"/>
                <w:sz w:val="29"/>
                <w:szCs w:val="29"/>
                <w:color w:val="auto"/>
                <w:w w:val="84"/>
                <w:vertAlign w:val="superscript"/>
              </w:rPr>
              <w:t>(1)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218,020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236,980</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1/17/2029</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ind w:left="140"/>
              <w:spacing w:after="0" w:line="324" w:lineRule="exact"/>
              <w:rPr>
                <w:sz w:val="20"/>
                <w:szCs w:val="20"/>
                <w:color w:val="auto"/>
              </w:rPr>
            </w:pPr>
            <w:r>
              <w:rPr>
                <w:rFonts w:ascii="Arial" w:cs="Arial" w:eastAsia="Arial" w:hAnsi="Arial"/>
                <w:sz w:val="18"/>
                <w:szCs w:val="18"/>
                <w:color w:val="auto"/>
                <w:w w:val="84"/>
              </w:rPr>
              <w:t>1/09/2020</w:t>
            </w:r>
            <w:r>
              <w:rPr>
                <w:rFonts w:ascii="Arial" w:cs="Arial" w:eastAsia="Arial" w:hAnsi="Arial"/>
                <w:sz w:val="29"/>
                <w:szCs w:val="29"/>
                <w:color w:val="auto"/>
                <w:w w:val="84"/>
                <w:vertAlign w:val="superscript"/>
              </w:rPr>
              <w:t>(1)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127,751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429,709</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1/09/2030</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460" w:type="dxa"/>
            <w:vAlign w:val="bottom"/>
            <w:gridSpan w:val="3"/>
          </w:tcPr>
          <w:p>
            <w:pPr>
              <w:spacing w:after="0"/>
              <w:rPr>
                <w:sz w:val="20"/>
                <w:szCs w:val="20"/>
                <w:color w:val="auto"/>
              </w:rPr>
            </w:pPr>
            <w:r>
              <w:rPr>
                <w:rFonts w:ascii="Arial" w:cs="Arial" w:eastAsia="Arial" w:hAnsi="Arial"/>
                <w:sz w:val="18"/>
                <w:szCs w:val="18"/>
                <w:color w:val="auto"/>
              </w:rPr>
              <w:t>Susan Rodriguez</w:t>
            </w:r>
          </w:p>
        </w:tc>
        <w:tc>
          <w:tcPr>
            <w:tcW w:w="1100" w:type="dxa"/>
            <w:vAlign w:val="bottom"/>
            <w:gridSpan w:val="2"/>
          </w:tcPr>
          <w:p>
            <w:pPr>
              <w:ind w:left="200"/>
              <w:spacing w:after="0" w:line="324" w:lineRule="exact"/>
              <w:rPr>
                <w:sz w:val="20"/>
                <w:szCs w:val="20"/>
                <w:color w:val="auto"/>
              </w:rPr>
            </w:pPr>
            <w:r>
              <w:rPr>
                <w:rFonts w:ascii="Arial" w:cs="Arial" w:eastAsia="Arial" w:hAnsi="Arial"/>
                <w:sz w:val="18"/>
                <w:szCs w:val="18"/>
                <w:color w:val="auto"/>
                <w:w w:val="84"/>
              </w:rPr>
              <w:t>5/18/2020</w:t>
            </w:r>
            <w:r>
              <w:rPr>
                <w:rFonts w:ascii="Arial" w:cs="Arial" w:eastAsia="Arial" w:hAnsi="Arial"/>
                <w:sz w:val="29"/>
                <w:szCs w:val="29"/>
                <w:color w:val="auto"/>
                <w:w w:val="84"/>
                <w:vertAlign w:val="superscript"/>
              </w:rPr>
              <w:t>(2)</w:t>
            </w:r>
          </w:p>
        </w:tc>
        <w:tc>
          <w:tcPr>
            <w:tcW w:w="120" w:type="dxa"/>
            <w:vAlign w:val="bottom"/>
          </w:tcPr>
          <w:p>
            <w:pPr>
              <w:spacing w:after="0"/>
              <w:rPr>
                <w:sz w:val="24"/>
                <w:szCs w:val="24"/>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232,750</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5/18/2030</w:t>
            </w:r>
          </w:p>
        </w:tc>
        <w:tc>
          <w:tcPr>
            <w:tcW w:w="100" w:type="dxa"/>
            <w:vAlign w:val="bottom"/>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Justin Renz</w:t>
            </w:r>
          </w:p>
        </w:tc>
        <w:tc>
          <w:tcPr>
            <w:tcW w:w="1100" w:type="dxa"/>
            <w:vAlign w:val="bottom"/>
            <w:gridSpan w:val="2"/>
            <w:shd w:val="clear" w:color="auto" w:fill="CCEEFF"/>
          </w:tcPr>
          <w:p>
            <w:pPr>
              <w:ind w:left="200"/>
              <w:spacing w:after="0" w:line="324" w:lineRule="exact"/>
              <w:rPr>
                <w:sz w:val="20"/>
                <w:szCs w:val="20"/>
                <w:color w:val="auto"/>
              </w:rPr>
            </w:pPr>
            <w:r>
              <w:rPr>
                <w:rFonts w:ascii="Arial" w:cs="Arial" w:eastAsia="Arial" w:hAnsi="Arial"/>
                <w:sz w:val="18"/>
                <w:szCs w:val="18"/>
                <w:color w:val="auto"/>
                <w:w w:val="84"/>
              </w:rPr>
              <w:t>6/08/2020</w:t>
            </w:r>
            <w:r>
              <w:rPr>
                <w:rFonts w:ascii="Arial" w:cs="Arial" w:eastAsia="Arial" w:hAnsi="Arial"/>
                <w:sz w:val="29"/>
                <w:szCs w:val="29"/>
                <w:color w:val="auto"/>
                <w:w w:val="84"/>
                <w:vertAlign w:val="superscript"/>
              </w:rPr>
              <w:t>(2)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195,017</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0/08/2030</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-2382520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-2382520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-2382520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-2382520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-2382520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-2382520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-2382520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 w:lineRule="exact"/>
        <w:rPr>
          <w:sz w:val="20"/>
          <w:szCs w:val="20"/>
          <w:color w:val="auto"/>
        </w:rPr>
      </w:pPr>
    </w:p>
    <w:p>
      <w:pPr>
        <w:ind w:left="640" w:right="319" w:hanging="348"/>
        <w:spacing w:after="0" w:line="25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option vests and becomes exercisable in substantially equal monthly installments over four years from the vesting commencement date, subject to the holder continuing to provide services to us through each such date.</w:t>
      </w:r>
    </w:p>
    <w:p>
      <w:pPr>
        <w:spacing w:after="0" w:line="11" w:lineRule="exact"/>
        <w:rPr>
          <w:rFonts w:ascii="Arial" w:cs="Arial" w:eastAsia="Arial" w:hAnsi="Arial"/>
          <w:sz w:val="14"/>
          <w:szCs w:val="14"/>
          <w:color w:val="auto"/>
        </w:rPr>
      </w:pPr>
    </w:p>
    <w:p>
      <w:pPr>
        <w:ind w:left="640" w:right="459" w:hanging="348"/>
        <w:spacing w:after="0" w:line="196"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option vests and becomes exercisable as to 25% of the shares subject to the option on the one year anniversary of the vesting commencement date, and as to 1/48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the shares subject to the option each month thereafter, subject to the holder continuing to provide services to us through each such date.</w:t>
      </w:r>
    </w:p>
    <w:p>
      <w:pPr>
        <w:spacing w:after="0" w:line="196" w:lineRule="exact"/>
        <w:rPr>
          <w:sz w:val="20"/>
          <w:szCs w:val="20"/>
          <w:color w:val="auto"/>
        </w:rPr>
      </w:pPr>
    </w:p>
    <w:p>
      <w:pPr>
        <w:ind w:left="300" w:right="559"/>
        <w:spacing w:after="0" w:line="393" w:lineRule="auto"/>
        <w:rPr>
          <w:sz w:val="20"/>
          <w:szCs w:val="20"/>
          <w:color w:val="auto"/>
        </w:rPr>
      </w:pPr>
      <w:r>
        <w:rPr>
          <w:rFonts w:ascii="Arial" w:cs="Arial" w:eastAsia="Arial" w:hAnsi="Arial"/>
          <w:sz w:val="18"/>
          <w:szCs w:val="18"/>
          <w:b w:val="1"/>
          <w:bCs w:val="1"/>
          <w:color w:val="auto"/>
        </w:rPr>
        <w:t xml:space="preserve">Narrative to 2020 Summary Compensation Table and Outstanding Equity Awards at 2020 Fiscal Year End </w:t>
      </w:r>
      <w:r>
        <w:rPr>
          <w:rFonts w:ascii="Arial" w:cs="Arial" w:eastAsia="Arial" w:hAnsi="Arial"/>
          <w:sz w:val="18"/>
          <w:szCs w:val="18"/>
          <w:b w:val="1"/>
          <w:bCs w:val="1"/>
          <w:i w:val="1"/>
          <w:iCs w:val="1"/>
          <w:color w:val="auto"/>
        </w:rPr>
        <w:t>Terms and Conditions of Employment Arrangements with our NEOs</w:t>
      </w:r>
    </w:p>
    <w:p>
      <w:pPr>
        <w:spacing w:after="0" w:line="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We have entered into agreements with each of the NEOs in connection with his or her employment with us. These agreements set forth the terms and conditions of employment of each named executive officer, including base salary, initial equity award grants, and standard employee benefit plan participation.</w:t>
      </w:r>
    </w:p>
    <w:p>
      <w:pPr>
        <w:spacing w:after="0" w:line="76" w:lineRule="exact"/>
        <w:rPr>
          <w:sz w:val="20"/>
          <w:szCs w:val="20"/>
          <w:color w:val="auto"/>
        </w:rPr>
      </w:pPr>
    </w:p>
    <w:p>
      <w:pPr>
        <w:ind w:left="300" w:right="459"/>
        <w:spacing w:after="0" w:line="287" w:lineRule="auto"/>
        <w:rPr>
          <w:sz w:val="20"/>
          <w:szCs w:val="20"/>
          <w:color w:val="auto"/>
        </w:rPr>
      </w:pPr>
      <w:r>
        <w:rPr>
          <w:rFonts w:ascii="Arial" w:cs="Arial" w:eastAsia="Arial" w:hAnsi="Arial"/>
          <w:sz w:val="16"/>
          <w:szCs w:val="16"/>
          <w:color w:val="auto"/>
        </w:rPr>
        <w:t>Our board of directors or the compensation committee reviews each NEO’s base salary from time to time to ensure compensation adequately reflects the NEO’s qualifications, experience, role and responsibilities. For fiscal year 2020, Mr. Raab’s annual base salary was $635,000, Ms. Rodriguez’s annual base salary was $440,000 and</w:t>
      </w:r>
    </w:p>
    <w:p>
      <w:pPr>
        <w:spacing w:after="0" w:line="2" w:lineRule="exact"/>
        <w:rPr>
          <w:sz w:val="20"/>
          <w:szCs w:val="20"/>
          <w:color w:val="auto"/>
        </w:rPr>
      </w:pPr>
    </w:p>
    <w:p>
      <w:pPr>
        <w:jc w:val="both"/>
        <w:ind w:left="300" w:right="339"/>
        <w:spacing w:after="0" w:line="255" w:lineRule="auto"/>
        <w:rPr>
          <w:sz w:val="20"/>
          <w:szCs w:val="20"/>
          <w:color w:val="auto"/>
        </w:rPr>
      </w:pPr>
      <w:r>
        <w:rPr>
          <w:rFonts w:ascii="Arial" w:cs="Arial" w:eastAsia="Arial" w:hAnsi="Arial"/>
          <w:sz w:val="18"/>
          <w:szCs w:val="18"/>
          <w:color w:val="auto"/>
        </w:rPr>
        <w:t>Mr. Renz’s annual base salary was $430,000. In addition, for 2020, Mr. Raab, Ms. Rodriguez and Mr. Renz each had an annual bonus target of 60%, 40% and 40%, respectively, of base salary, to be earned based on the achievement of certain corporate performance goals set by the board of directors.</w:t>
      </w:r>
    </w:p>
    <w:p>
      <w:pPr>
        <w:spacing w:after="0" w:line="82"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In June 2014, we entered into an amended and restated employment agreement with Mr. Raab. We also entered into a change in control severance agreement with each of Ms. Rodriguez and Mr. Renz effective May 2020 and June 2020, respectively.</w:t>
      </w:r>
    </w:p>
    <w:p>
      <w:pPr>
        <w:spacing w:after="0" w:line="76" w:lineRule="exact"/>
        <w:rPr>
          <w:sz w:val="20"/>
          <w:szCs w:val="20"/>
          <w:color w:val="auto"/>
        </w:rPr>
      </w:pPr>
    </w:p>
    <w:p>
      <w:pPr>
        <w:ind w:left="300" w:right="359"/>
        <w:spacing w:after="0" w:line="288" w:lineRule="auto"/>
        <w:rPr>
          <w:sz w:val="20"/>
          <w:szCs w:val="20"/>
          <w:color w:val="auto"/>
        </w:rPr>
      </w:pPr>
      <w:r>
        <w:rPr>
          <w:rFonts w:ascii="Arial" w:cs="Arial" w:eastAsia="Arial" w:hAnsi="Arial"/>
          <w:sz w:val="16"/>
          <w:szCs w:val="16"/>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73" w:lineRule="auto"/>
        <w:rPr>
          <w:sz w:val="20"/>
          <w:szCs w:val="20"/>
          <w:color w:val="auto"/>
        </w:rPr>
      </w:pPr>
      <w:r>
        <w:rPr>
          <w:rFonts w:ascii="Arial" w:cs="Arial" w:eastAsia="Arial" w:hAnsi="Arial"/>
          <w:sz w:val="17"/>
          <w:szCs w:val="17"/>
          <w:color w:val="auto"/>
        </w:rPr>
        <w:t>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each of Ms. Rodriguez’s and Mr. Renz’s change in control severance agreements, in the event</w:t>
      </w:r>
    </w:p>
    <w:p>
      <w:pPr>
        <w:spacing w:after="0" w:line="23" w:lineRule="exact"/>
        <w:rPr>
          <w:sz w:val="20"/>
          <w:szCs w:val="20"/>
          <w:color w:val="auto"/>
        </w:rPr>
      </w:pPr>
    </w:p>
    <w:p>
      <w:pPr>
        <w:ind w:left="300" w:right="319"/>
        <w:spacing w:after="0" w:line="284" w:lineRule="auto"/>
        <w:rPr>
          <w:sz w:val="20"/>
          <w:szCs w:val="20"/>
          <w:color w:val="auto"/>
        </w:rPr>
      </w:pPr>
      <w:r>
        <w:rPr>
          <w:rFonts w:ascii="Arial" w:cs="Arial" w:eastAsia="Arial" w:hAnsi="Arial"/>
          <w:sz w:val="16"/>
          <w:szCs w:val="16"/>
          <w:color w:val="auto"/>
        </w:rPr>
        <w:t>Ms. Rodriguez’s or Mr. Renz’s, as applicable, employment with us is involuntarily terminated for reason other than cause or he/she resigns for good reason, in each case more than three months prior to or more than 12 months after a change in control, then Ms. Rodriguez or Mr. Renz, as applicable, will receive: (i) continued payment of his/her annual base salary as in effect immediately prior to such termination for a period of nine months; and (ii) payment of healthcare continuation costs for him/her and his/her eligible dependents for up to 12 months following the date of such termination. In the event Ms. Rodriguez’s or Mr. Renz’s employment, as applicable, with us is involuntarily terminated for reason other than cause or he/she resigns for good reason, in each case within three months prior to and 12 months after a change in control, then Ms. Rodriguez and Mr. Renz, as applicable, will receive: (i) a lump sum amount equal to the sum of his/her base salary as in effect immediately prior to such termination and his/her target annual bonus for the year of termination; (ii) payment of healthcare continuation costs for him/her and his/her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Ms. Rodriguez’s or Mr. Renz’s timely execution and non-revocation of a general release of claims against the Company and its affiliates, continued compliance with his/her confidential information agreement.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purposes of Mr. Raab’s amended and restated employment agreement and each of Ms. Rodriguez’s and</w:t>
      </w:r>
    </w:p>
    <w:p>
      <w:pPr>
        <w:spacing w:after="0" w:line="46"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Mr. Renz’s change in control severance agreements, “cause” means (i) the NEO’s theft, dishonesty or falsification of any employment or company records that is non-trivial in nature; (ii) malicious or reckless disclosure of our confidential or proprietary information or any material breach by the NEO of his/her obligations under his/her proprietary information and inventions assignment agreement with us; (iii) the conviction of the NEO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him with important matters or otherwise work effectively with him/her, (B) substantially contributed to our loss of significant revenues or business opportunities, or (C) significantly and detrimentally affected the business or reputation of our company or any of our subsidiaries; and/or (iv) the willful failure or refusal by the NEO to follow the reasonable and lawful directives of the board of directors, provided such willful failure or refusal continues after his receipt of reasonable notice in writing of such failure or refusal and a reasonable opportunity of not less than 30 days to correct the problem.</w:t>
      </w:r>
    </w:p>
    <w:p>
      <w:pPr>
        <w:spacing w:after="0" w:line="64" w:lineRule="exact"/>
        <w:rPr>
          <w:sz w:val="20"/>
          <w:szCs w:val="20"/>
          <w:color w:val="auto"/>
        </w:rPr>
      </w:pPr>
    </w:p>
    <w:p>
      <w:pPr>
        <w:ind w:left="300" w:right="379"/>
        <w:spacing w:after="0" w:line="268" w:lineRule="auto"/>
        <w:rPr>
          <w:sz w:val="20"/>
          <w:szCs w:val="20"/>
          <w:color w:val="auto"/>
        </w:rPr>
      </w:pPr>
      <w:r>
        <w:rPr>
          <w:rFonts w:ascii="Arial" w:cs="Arial" w:eastAsia="Arial" w:hAnsi="Arial"/>
          <w:sz w:val="17"/>
          <w:szCs w:val="17"/>
          <w:color w:val="auto"/>
        </w:rPr>
        <w:t>For the purposes of Mr. Raab’s amended and restated employment agreement and each of Ms. Rodriguez’s and Mr. Renz’s change in control severance agreements, “good reason” means the occurrence of: (i) a material diminution in the NEO’s authority, duties, or responsibilities, which substantially reduces the nature or character of his/her position; (ii) a reduction by us of his/her base salary as in effect immediately prior to such reduction; (iii) a relocation of his/her principal office to a location more than 50 miles from the location of our principal office as of immediately prior to such relocation, except for required travel by him/her on company business; or (iv) any material breach by us of any provision of the NEO’s employment agreement or offer letter which we do not cure within 30 days following written notice from the NEO, provided that in order for “good reason” to exist, each of the following conditions must be met: (i) the foregoing good reason conditions must have occurred without the NEO’s express written consent; (ii) the NEO must provide written notice to us of such condition within 30 days of the initial existence of the condition; (iii) the condition specified in such notice must remain uncorrected for 30 days after receipt of such notice; and (iv) the date of the NEO’s resignation of employment must occur within 60 days after the initial existence of the condition specified in such notice.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Terms and Conditions of Cash Incentives</w:t>
      </w:r>
    </w:p>
    <w:p>
      <w:pPr>
        <w:spacing w:after="0" w:line="117" w:lineRule="exact"/>
        <w:rPr>
          <w:sz w:val="20"/>
          <w:szCs w:val="20"/>
          <w:color w:val="auto"/>
        </w:rPr>
      </w:pPr>
    </w:p>
    <w:p>
      <w:pPr>
        <w:ind w:left="300" w:right="499"/>
        <w:spacing w:after="0" w:line="342" w:lineRule="auto"/>
        <w:rPr>
          <w:sz w:val="20"/>
          <w:szCs w:val="20"/>
          <w:color w:val="auto"/>
        </w:rPr>
      </w:pPr>
      <w:r>
        <w:rPr>
          <w:rFonts w:ascii="Arial" w:cs="Arial" w:eastAsia="Arial" w:hAnsi="Arial"/>
          <w:sz w:val="16"/>
          <w:szCs w:val="16"/>
          <w:color w:val="auto"/>
        </w:rPr>
        <w:t>For 2020, our NEOs were eligible to receive performance-based cash incentives pursuant to the achievement of certain corporate performance objectives. The performance goals for these annual performance cash bonuses were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evaluated by our compensation committee and approved by our board of directors. The determination of the amount of bonuses paid to our NEOs generally reflects a number of considerations, including the performance of the company against corporate goals.</w:t>
      </w:r>
    </w:p>
    <w:p>
      <w:pPr>
        <w:spacing w:after="0" w:line="76"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For determining performance bonus amounts for our NEOs for 2020, our board of directors set certain corporate performance goals. In setting these goals, our board of directors considered the status of our development of tenapanor for hyperphosphatemia and RDX013 for hyperkalemia, as well as the status of our early stage research and discovery programs and our financial status. Each NEO’s target bonus opportunity is expressed as a percentage of base salary which can be achieved by meeting corporate performance goals. Our board of directors or our compensation committee has historically reviewed these target percentages to ensure they are adequate, but does not follow a formula in determining them. Instead, our board of directors or our compensation committee has set these rates based on each participating executive’s experience in her or his role with our company and the level of responsibility held by each executive, which the board of directors or our compensation committee believe directly correlates to her or his ability to influence corporate results. For fiscal year 2020, our board of directors used a guideline target bonus opportunity of 60% of base salary for Mr. Raab and 40% of base salary for each of Ms. Rodriguez and Mr. Renz.</w:t>
      </w:r>
    </w:p>
    <w:p>
      <w:pPr>
        <w:spacing w:after="0" w:line="71" w:lineRule="exact"/>
        <w:rPr>
          <w:sz w:val="20"/>
          <w:szCs w:val="20"/>
          <w:color w:val="auto"/>
        </w:rPr>
      </w:pPr>
    </w:p>
    <w:p>
      <w:pPr>
        <w:ind w:left="300" w:right="739"/>
        <w:spacing w:after="0" w:line="277" w:lineRule="auto"/>
        <w:rPr>
          <w:sz w:val="20"/>
          <w:szCs w:val="20"/>
          <w:color w:val="auto"/>
        </w:rPr>
      </w:pPr>
      <w:r>
        <w:rPr>
          <w:rFonts w:ascii="Arial" w:cs="Arial" w:eastAsia="Arial" w:hAnsi="Arial"/>
          <w:sz w:val="18"/>
          <w:szCs w:val="18"/>
          <w:color w:val="auto"/>
        </w:rPr>
        <w:t>The compensation committee determined that the company’s performance against its 2020 corporate goals was achieved at 82.5% to reflect the company’s overall performance during 2020.</w:t>
      </w:r>
    </w:p>
    <w:p>
      <w:pPr>
        <w:spacing w:after="0" w:line="62" w:lineRule="exact"/>
        <w:rPr>
          <w:sz w:val="20"/>
          <w:szCs w:val="20"/>
          <w:color w:val="auto"/>
        </w:rPr>
      </w:pPr>
    </w:p>
    <w:p>
      <w:pPr>
        <w:ind w:left="300" w:right="479"/>
        <w:spacing w:after="0" w:line="296" w:lineRule="auto"/>
        <w:rPr>
          <w:sz w:val="20"/>
          <w:szCs w:val="20"/>
          <w:color w:val="auto"/>
        </w:rPr>
      </w:pPr>
      <w:r>
        <w:rPr>
          <w:rFonts w:ascii="Arial" w:cs="Arial" w:eastAsia="Arial" w:hAnsi="Arial"/>
          <w:sz w:val="16"/>
          <w:szCs w:val="16"/>
          <w:color w:val="auto"/>
        </w:rPr>
        <w:t>Following its review and determination of corporate achievements for 2020, the compensation committee awarded cash bonuses to Mr. Raab, Ms. Rodriguez and Mr. Renz in amounts equal to 82.5% of each of their target bonuses for 2020. For Ms. Rodriguez and Mr. Renz, the amounts were calculated based on their annual base salaries for 2020, without prorating for the period of their employment during 2020. The NEOs’ 2020 bonuses are set forth in the “Non-Equity Incentive Plan Compensation” column of the “2020 Summary Compensation Table” above.</w:t>
      </w:r>
    </w:p>
    <w:p>
      <w:pPr>
        <w:spacing w:after="0" w:line="53" w:lineRule="exact"/>
        <w:rPr>
          <w:sz w:val="20"/>
          <w:szCs w:val="20"/>
          <w:color w:val="auto"/>
        </w:rPr>
      </w:pPr>
    </w:p>
    <w:p>
      <w:pPr>
        <w:ind w:left="300" w:right="1339"/>
        <w:spacing w:after="0" w:line="277" w:lineRule="auto"/>
        <w:rPr>
          <w:sz w:val="20"/>
          <w:szCs w:val="20"/>
          <w:color w:val="auto"/>
        </w:rPr>
      </w:pPr>
      <w:r>
        <w:rPr>
          <w:rFonts w:ascii="Arial" w:cs="Arial" w:eastAsia="Arial" w:hAnsi="Arial"/>
          <w:sz w:val="18"/>
          <w:szCs w:val="18"/>
          <w:color w:val="auto"/>
        </w:rPr>
        <w:t>Mr. Renz also received a one-time cash sign-on bonus in the amount of $10,000 in connection with his commencement of employment with us.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Terms and Conditions of Equity Award Grants</w:t>
      </w:r>
    </w:p>
    <w:p>
      <w:pPr>
        <w:spacing w:after="0" w:line="117" w:lineRule="exact"/>
        <w:rPr>
          <w:sz w:val="20"/>
          <w:szCs w:val="20"/>
          <w:color w:val="auto"/>
        </w:rPr>
      </w:pPr>
    </w:p>
    <w:p>
      <w:pPr>
        <w:ind w:left="300" w:right="499"/>
        <w:spacing w:after="0" w:line="255" w:lineRule="auto"/>
        <w:rPr>
          <w:sz w:val="20"/>
          <w:szCs w:val="20"/>
          <w:color w:val="auto"/>
        </w:rPr>
      </w:pPr>
      <w:r>
        <w:rPr>
          <w:rFonts w:ascii="Arial" w:cs="Arial" w:eastAsia="Arial" w:hAnsi="Arial"/>
          <w:sz w:val="18"/>
          <w:szCs w:val="18"/>
          <w:color w:val="auto"/>
        </w:rPr>
        <w:t>Each of our NEOs received equity award grants in 2020. In January 2020, in connection with our annual compensation review, Mr. Raab was granted an option to purchase 557,460 shares of our common stock under our 2014 Equity Incentive Award Plan at an exercise price equal to $7.60, which was our fair market value of our common stock on the grant date. The option vests and becomes exercisable in substantially equal monthly installments over four years from the grant date, subject to Mr. Raab continuing to provide services to us through such dates.</w:t>
      </w:r>
    </w:p>
    <w:p>
      <w:pPr>
        <w:spacing w:after="0" w:line="84"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color w:val="auto"/>
        </w:rPr>
        <w:t>Ms. Rodriguez and Mr. Renz both received equity award grants upon joining the company in 2020 under our 2016 Employment Commencement Incentive Plan. In May 2020, Ms. Rodriguez was granted an option to purchase 232,750 shares of our common stock at an exercise price equal to $7.70, which was the fair market value of our common stock on the grant date, and 20,000 restricted stock units. In June 2020, Mr. Renz was granted an option to purchase 195,017 shares of our common stock at an exercise price equal to $7.35, which was the fair market value of our common stock on the grant date and 10,000 restricted stock units. The options granted to Ms. Rodriguez and Mr. Renz vest and become exercisable with respect to 25% of the shares subject to the option on the first anniversary of the date of their commencement of employment, and with respect to 1/48 of the shares subject to the option each month thereafter, subject to the NEO continuing to provide services to us through such dates. The restricted stock units granted to Ms. Rodriguez and Mr. Renz vested in full upon the acceptance for filing by the Food and Drug Administration of our New Drug Application for tenapanor for the control of serum phosphorus, which occurred in September 2020. The table above entitled “Outstanding Equity Awards at 2020 Fiscal Year End” sets forth the material terms of the awards granted in 2020 and of the other equity awards made in past fiscal years, as applicable, to each NEO.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left="300" w:right="1019"/>
        <w:spacing w:after="0" w:line="277" w:lineRule="auto"/>
        <w:rPr>
          <w:sz w:val="20"/>
          <w:szCs w:val="20"/>
          <w:color w:val="auto"/>
        </w:rPr>
      </w:pPr>
      <w:r>
        <w:rPr>
          <w:rFonts w:ascii="Arial" w:cs="Arial" w:eastAsia="Arial" w:hAnsi="Arial"/>
          <w:sz w:val="18"/>
          <w:szCs w:val="18"/>
          <w:color w:val="auto"/>
        </w:rPr>
        <w:t>The following table provides certain information as of December 31, 2020, with respect to all of our equity compensation plans in effect on that date:</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8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be Issued</w:t>
            </w: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Upon</w:t>
            </w:r>
          </w:p>
        </w:tc>
        <w:tc>
          <w:tcPr>
            <w:tcW w:w="8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8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of</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Options,</w:t>
            </w:r>
          </w:p>
        </w:tc>
        <w:tc>
          <w:tcPr>
            <w:tcW w:w="8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w:t>
            </w: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Warrants</w:t>
            </w:r>
          </w:p>
        </w:tc>
        <w:tc>
          <w:tcPr>
            <w:tcW w:w="8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Warrants</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5"/>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and Rights</w:t>
            </w:r>
          </w:p>
        </w:tc>
        <w:tc>
          <w:tcPr>
            <w:tcW w:w="880" w:type="dxa"/>
            <w:vAlign w:val="bottom"/>
            <w:gridSpan w:val="4"/>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and Rights</w:t>
            </w:r>
          </w:p>
        </w:tc>
        <w:tc>
          <w:tcPr>
            <w:tcW w:w="90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42"/>
        </w:trPr>
        <w:tc>
          <w:tcPr>
            <w:tcW w:w="56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center"/>
              <w:ind w:right="80"/>
              <w:spacing w:after="0" w:line="242" w:lineRule="exact"/>
              <w:rPr>
                <w:sz w:val="20"/>
                <w:szCs w:val="20"/>
                <w:color w:val="auto"/>
              </w:rPr>
            </w:pPr>
            <w:r>
              <w:rPr>
                <w:rFonts w:ascii="Arial" w:cs="Arial" w:eastAsia="Arial" w:hAnsi="Arial"/>
                <w:sz w:val="14"/>
                <w:szCs w:val="14"/>
                <w:b w:val="1"/>
                <w:bCs w:val="1"/>
                <w:color w:val="auto"/>
                <w:w w:val="83"/>
              </w:rPr>
              <w:t>(c)</w:t>
            </w:r>
            <w:r>
              <w:rPr>
                <w:rFonts w:ascii="Arial" w:cs="Arial" w:eastAsia="Arial" w:hAnsi="Arial"/>
                <w:sz w:val="23"/>
                <w:szCs w:val="23"/>
                <w:b w:val="1"/>
                <w:bCs w:val="1"/>
                <w:color w:val="auto"/>
                <w:w w:val="83"/>
                <w:vertAlign w:val="superscript"/>
              </w:rPr>
              <w:t>(3)</w:t>
            </w:r>
          </w:p>
        </w:tc>
        <w:tc>
          <w:tcPr>
            <w:tcW w:w="0" w:type="dxa"/>
            <w:vAlign w:val="bottom"/>
          </w:tcPr>
          <w:p>
            <w:pPr>
              <w:spacing w:after="0"/>
              <w:rPr>
                <w:sz w:val="1"/>
                <w:szCs w:val="1"/>
                <w:color w:val="auto"/>
              </w:rPr>
            </w:pPr>
          </w:p>
        </w:tc>
      </w:tr>
      <w:tr>
        <w:trPr>
          <w:trHeight w:val="331"/>
        </w:trPr>
        <w:tc>
          <w:tcPr>
            <w:tcW w:w="576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9"/>
                <w:szCs w:val="29"/>
                <w:color w:val="auto"/>
                <w:vertAlign w:val="superscript"/>
              </w:rPr>
              <w:t>(1)(2)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9,520,908</w:t>
            </w:r>
          </w:p>
        </w:tc>
        <w:tc>
          <w:tcPr>
            <w:tcW w:w="10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$6.72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2,375,906</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gridSpan w:val="2"/>
          </w:tcPr>
          <w:p>
            <w:pPr>
              <w:spacing w:after="0" w:line="256" w:lineRule="exact"/>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29"/>
                <w:szCs w:val="29"/>
                <w:color w:val="auto"/>
                <w:vertAlign w:val="superscript"/>
              </w:rPr>
              <w:t>(4)</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427,767</w:t>
            </w:r>
          </w:p>
        </w:tc>
        <w:tc>
          <w:tcPr>
            <w:tcW w:w="100" w:type="dxa"/>
            <w:vAlign w:val="bottom"/>
          </w:tcPr>
          <w:p>
            <w:pPr>
              <w:spacing w:after="0"/>
              <w:rPr>
                <w:sz w:val="22"/>
                <w:szCs w:val="22"/>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7.54</w:t>
            </w:r>
          </w:p>
        </w:tc>
        <w:tc>
          <w:tcPr>
            <w:tcW w:w="1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542,233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9,948,675</w:t>
            </w:r>
          </w:p>
        </w:tc>
        <w:tc>
          <w:tcPr>
            <w:tcW w:w="10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$6.80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2,918,139</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-650875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-650875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-650875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499" w:hanging="348"/>
        <w:spacing w:after="0" w:line="231"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158,626 shares subject to outstanding restricted stock units and (B) 9,362,282 shares subject to stock options. The weighted average exercise price shown is for stock options; other outstanding awards had no exercise price. No new awards may be made under the 2008 Stock Incentive Plan.</w:t>
      </w:r>
    </w:p>
    <w:p>
      <w:pPr>
        <w:spacing w:after="0" w:line="21" w:lineRule="exact"/>
        <w:rPr>
          <w:rFonts w:ascii="Arial" w:cs="Arial" w:eastAsia="Arial" w:hAnsi="Arial"/>
          <w:sz w:val="14"/>
          <w:szCs w:val="14"/>
          <w:color w:val="auto"/>
        </w:rPr>
      </w:pPr>
    </w:p>
    <w:p>
      <w:pPr>
        <w:ind w:left="640" w:right="299" w:hanging="348"/>
        <w:spacing w:after="0" w:line="265" w:lineRule="auto"/>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The 2014 Equity Incentive Plan and the 2014 Employee Stock Purchase Plan contain “evergreen” provisions, pursuant to which (i) the number of shares of common stock reserved for issuance pursuant to awards under the 2014 Equity Inventive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 outstanding (on an as converted basis) on the last day of the immediately preceding fiscal year, and (B) such smaller number of shares of stock as determined by our board of directors. On January 1, 2021, an additional 3,743,999 shares of our common stock were reserved for issuance pursuant to awards under the 2014 Equity Incentive Plan and an additional 935,999 shares of our common stock were authorized for sale under our 2014 Employee Stock Purchase Plan as a result of the “evergreen” provisions.</w:t>
      </w:r>
    </w:p>
    <w:p>
      <w:pPr>
        <w:spacing w:after="0" w:line="11" w:lineRule="exact"/>
        <w:rPr>
          <w:rFonts w:ascii="Arial" w:cs="Arial" w:eastAsia="Arial" w:hAnsi="Arial"/>
          <w:sz w:val="12"/>
          <w:szCs w:val="12"/>
          <w:color w:val="auto"/>
        </w:rPr>
      </w:pPr>
    </w:p>
    <w:p>
      <w:pPr>
        <w:ind w:left="640" w:right="419" w:hanging="348"/>
        <w:spacing w:after="0" w:line="264"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349,647 shares that were available for future issuances as of December 31, 2020 under the 2014 Employee Stock Purchase Plan (of which 102,208 shares were issued with respect to the purchase period in effect as of December 31, 2020, which purchase period ended on February 28, 2021), which allows eligible employees to purchase shares of common stock with accumulated payroll deductions.</w:t>
      </w:r>
    </w:p>
    <w:p>
      <w:pPr>
        <w:spacing w:after="0" w:line="6" w:lineRule="exact"/>
        <w:rPr>
          <w:rFonts w:ascii="Arial" w:cs="Arial" w:eastAsia="Arial" w:hAnsi="Arial"/>
          <w:sz w:val="13"/>
          <w:szCs w:val="13"/>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Ardelyx, Inc. 2016 Employment Commencement Incentive Plan.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Material Features of the 2016 Employment Commencement Incentive Plan</w:t>
      </w:r>
    </w:p>
    <w:p>
      <w:pPr>
        <w:spacing w:after="0" w:line="117"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2016 Plan is intended to be exempt from the Nasdaq Listing Rules regarding shareholder approval of stock option and stock purchase plans. A total of 1,000,000 shares of our common stock were initially reserved for issuance under the 2016 Plan. In March 2021, our board of directors increased the number of shares reserved for issuance under the 2016 Plan to 1,457,767 shares. The 2016 Plan provides for the grant of non-qualified stock options, restricted stock units, restricted stock awards, stock appreciation rights, and other stock-based and cash-based awards.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 As of December 31, 2020, we had granted awards with respect to 457,767 shares under the 2016 Plan, and 542,233 shares remained available for future grants.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spacing w:after="0" w:line="80"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We have filed registration statements on Form S-8 with the SEC covering the shares of common stock that may be issued under the 2016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our common stock as of April 20, 2021, by:</w:t>
      </w:r>
    </w:p>
    <w:p>
      <w:pPr>
        <w:spacing w:after="0" w:line="62" w:lineRule="exact"/>
        <w:rPr>
          <w:sz w:val="20"/>
          <w:szCs w:val="20"/>
          <w:color w:val="auto"/>
        </w:rPr>
      </w:pPr>
    </w:p>
    <w:p>
      <w:pPr>
        <w:ind w:left="1000" w:right="99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20, 2021 through the exercise of stock options, warrants or other rights. Except as otherwise indicated, and subject to applicable community property laws, the persons named in the table have sole voting and investment power with respect to all shares of common stock held by that person.</w:t>
      </w:r>
    </w:p>
    <w:p>
      <w:pPr>
        <w:spacing w:after="0" w:line="58"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The percentage of shares beneficially owned is computed on the basis of 98,688,577 shares of our common stock outstanding as of April 20, 2021. Shares of our common stock that a person has the right to acquire within 60 days of April 20, 2021 pursuant to the exercise of outstanding stock options, warrants or other rights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34175 Ardenwood Blvd., Fremont, CA 94555.</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Beneficial Ownership</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10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Within</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9"/>
              </w:rPr>
              <w:t>Beneficial</w:t>
            </w: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Owned</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60 Days</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52"/>
        </w:trPr>
        <w:tc>
          <w:tcPr>
            <w:tcW w:w="40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5% and Greater Stockholders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20" w:type="dxa"/>
            <w:vAlign w:val="bottom"/>
          </w:tcPr>
          <w:p>
            <w:pPr>
              <w:spacing w:after="0" w:line="324" w:lineRule="exact"/>
              <w:rPr>
                <w:sz w:val="20"/>
                <w:szCs w:val="20"/>
                <w:color w:val="auto"/>
              </w:rPr>
            </w:pPr>
            <w:r>
              <w:rPr>
                <w:rFonts w:ascii="Arial" w:cs="Arial" w:eastAsia="Arial" w:hAnsi="Arial"/>
                <w:sz w:val="18"/>
                <w:szCs w:val="18"/>
                <w:color w:val="auto"/>
                <w:w w:val="92"/>
              </w:rPr>
              <w:t>Entities Associated with New Enterprise Associates</w:t>
            </w:r>
            <w:r>
              <w:rPr>
                <w:rFonts w:ascii="Arial" w:cs="Arial" w:eastAsia="Arial" w:hAnsi="Arial"/>
                <w:sz w:val="29"/>
                <w:szCs w:val="29"/>
                <w:color w:val="auto"/>
                <w:w w:val="92"/>
                <w:vertAlign w:val="superscript"/>
              </w:rPr>
              <w:t>(1)</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13,633,582</w:t>
            </w:r>
          </w:p>
        </w:tc>
        <w:tc>
          <w:tcPr>
            <w:tcW w:w="2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13,633,582</w:t>
            </w:r>
          </w:p>
        </w:tc>
        <w:tc>
          <w:tcPr>
            <w:tcW w:w="2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RA Capital Management, L.P.</w:t>
            </w:r>
            <w:r>
              <w:rPr>
                <w:rFonts w:ascii="Arial" w:cs="Arial" w:eastAsia="Arial" w:hAnsi="Arial"/>
                <w:sz w:val="29"/>
                <w:szCs w:val="29"/>
                <w:color w:val="auto"/>
                <w:vertAlign w:val="superscript"/>
              </w:rPr>
              <w:t>(2)</w:t>
            </w: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6,163,086</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6,163,086</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324"/>
        </w:trPr>
        <w:tc>
          <w:tcPr>
            <w:tcW w:w="4020" w:type="dxa"/>
            <w:vAlign w:val="bottom"/>
          </w:tcPr>
          <w:p>
            <w:pPr>
              <w:spacing w:after="0" w:line="324"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(3)</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5,922,456</w:t>
            </w:r>
          </w:p>
        </w:tc>
        <w:tc>
          <w:tcPr>
            <w:tcW w:w="2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5,922,456</w:t>
            </w:r>
          </w:p>
        </w:tc>
        <w:tc>
          <w:tcPr>
            <w:tcW w:w="2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Entities Associated with Rock Springs Capital</w:t>
            </w:r>
            <w:r>
              <w:rPr>
                <w:rFonts w:ascii="Arial" w:cs="Arial" w:eastAsia="Arial" w:hAnsi="Arial"/>
                <w:sz w:val="29"/>
                <w:szCs w:val="29"/>
                <w:color w:val="auto"/>
                <w:vertAlign w:val="superscript"/>
              </w:rPr>
              <w:t>(4)</w:t>
            </w: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5,148,112</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5,148,112</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324"/>
        </w:trPr>
        <w:tc>
          <w:tcPr>
            <w:tcW w:w="4020" w:type="dxa"/>
            <w:vAlign w:val="bottom"/>
          </w:tcPr>
          <w:p>
            <w:pPr>
              <w:spacing w:after="0" w:line="324" w:lineRule="exact"/>
              <w:rPr>
                <w:sz w:val="20"/>
                <w:szCs w:val="20"/>
                <w:color w:val="auto"/>
              </w:rPr>
            </w:pPr>
            <w:r>
              <w:rPr>
                <w:rFonts w:ascii="Arial" w:cs="Arial" w:eastAsia="Arial" w:hAnsi="Arial"/>
                <w:sz w:val="18"/>
                <w:szCs w:val="18"/>
                <w:color w:val="auto"/>
              </w:rPr>
              <w:t>Adage Capital Partners, L.P.</w:t>
            </w:r>
            <w:r>
              <w:rPr>
                <w:rFonts w:ascii="Arial" w:cs="Arial" w:eastAsia="Arial" w:hAnsi="Arial"/>
                <w:sz w:val="29"/>
                <w:szCs w:val="29"/>
                <w:color w:val="auto"/>
                <w:vertAlign w:val="superscript"/>
              </w:rPr>
              <w:t>(5)</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5,000,000</w:t>
            </w:r>
          </w:p>
        </w:tc>
        <w:tc>
          <w:tcPr>
            <w:tcW w:w="2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2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Michael Raab</w:t>
            </w:r>
          </w:p>
        </w:tc>
        <w:tc>
          <w:tcPr>
            <w:tcW w:w="126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134,744</w:t>
            </w:r>
            <w:r>
              <w:rPr>
                <w:rFonts w:ascii="Arial" w:cs="Arial" w:eastAsia="Arial" w:hAnsi="Arial"/>
                <w:sz w:val="29"/>
                <w:szCs w:val="29"/>
                <w:color w:val="auto"/>
                <w:vertAlign w:val="superscript"/>
              </w:rPr>
              <w:t>(6)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2,039,765</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2,174,509</w:t>
            </w:r>
          </w:p>
        </w:tc>
        <w:tc>
          <w:tcPr>
            <w:tcW w:w="2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Susan Rodriguez</w:t>
            </w:r>
          </w:p>
        </w:tc>
        <w:tc>
          <w:tcPr>
            <w:tcW w:w="126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15,341</w:t>
            </w: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80,360</w:t>
            </w: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95,701</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Justin Renz</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10,717</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66,079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76,796</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David Mott</w:t>
            </w:r>
            <w:r>
              <w:rPr>
                <w:rFonts w:ascii="Arial" w:cs="Arial" w:eastAsia="Arial" w:hAnsi="Arial"/>
                <w:sz w:val="29"/>
                <w:szCs w:val="29"/>
                <w:color w:val="auto"/>
                <w:vertAlign w:val="superscript"/>
              </w:rPr>
              <w:t>(7)</w:t>
            </w: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417,284</w:t>
            </w: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158,530</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575,814</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Robert Bazemore</w:t>
            </w:r>
          </w:p>
        </w:tc>
        <w:tc>
          <w:tcPr>
            <w:tcW w:w="280" w:type="dxa"/>
            <w:vAlign w:val="bottom"/>
          </w:tcPr>
          <w:p>
            <w:pPr>
              <w:spacing w:after="0"/>
              <w:rPr>
                <w:sz w:val="23"/>
                <w:szCs w:val="23"/>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128,530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128,530</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William Bertrand, Jr.</w:t>
            </w:r>
          </w:p>
        </w:tc>
        <w:tc>
          <w:tcPr>
            <w:tcW w:w="126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74,658</w:t>
            </w: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143,530</w:t>
            </w: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218,188</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Muna Bhanji</w:t>
            </w:r>
          </w:p>
        </w:tc>
        <w:tc>
          <w:tcPr>
            <w:tcW w:w="280" w:type="dxa"/>
            <w:vAlign w:val="bottom"/>
          </w:tcPr>
          <w:p>
            <w:pPr>
              <w:spacing w:after="0"/>
              <w:rPr>
                <w:sz w:val="23"/>
                <w:szCs w:val="23"/>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5,307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5,307</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Geoffrey A. Block, M.D.</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87,280</w:t>
            </w: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87,280</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Richard Rodgers</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77,610</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163,530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241,140</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Onaiza Cadoret-Manier</w:t>
            </w:r>
          </w:p>
        </w:tc>
        <w:tc>
          <w:tcPr>
            <w:tcW w:w="126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6,155</w:t>
            </w: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33,609</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(15) persons)</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1,248,204</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4,920,945</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6,169,149</w:t>
            </w:r>
          </w:p>
        </w:tc>
        <w:tc>
          <w:tcPr>
            <w:tcW w:w="28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-3822700</wp:posOffset>
            </wp:positionV>
            <wp:extent cx="171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-3822700</wp:posOffset>
            </wp:positionV>
            <wp:extent cx="1714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-3822700</wp:posOffset>
            </wp:positionV>
            <wp:extent cx="171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-3822700</wp:posOffset>
            </wp:positionV>
            <wp:extent cx="1714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180340</wp:posOffset>
            </wp:positionV>
            <wp:extent cx="822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shares of common stock.</w:t>
      </w:r>
    </w:p>
    <w:p>
      <w:pPr>
        <w:spacing w:after="0" w:line="42" w:lineRule="exact"/>
        <w:rPr>
          <w:sz w:val="20"/>
          <w:szCs w:val="20"/>
          <w:color w:val="auto"/>
        </w:rPr>
      </w:pPr>
    </w:p>
    <w:p>
      <w:pPr>
        <w:ind w:left="640" w:right="399" w:hanging="348"/>
        <w:spacing w:after="0" w:line="290"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As reported on Amendment No. 6 to Schedule 13D/A filed with the SEC on February 11, 2021, includes (i) 8,086,401 shares held by New Enterprise Associates 12, Limited Partnership (“NEA 12”); (ii) 2,604,582 shares held by New Enterprise Associates 15, L.P.</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319"/>
        <w:spacing w:after="0" w:line="241" w:lineRule="auto"/>
        <w:rPr>
          <w:sz w:val="20"/>
          <w:szCs w:val="20"/>
          <w:color w:val="auto"/>
        </w:rPr>
      </w:pPr>
      <w:r>
        <w:rPr>
          <w:rFonts w:ascii="Arial" w:cs="Arial" w:eastAsia="Arial" w:hAnsi="Arial"/>
          <w:sz w:val="13"/>
          <w:szCs w:val="13"/>
          <w:color w:val="auto"/>
        </w:rPr>
        <w:t>(“NEA 15”); and (iii) 2,942,599 shares held by NEA 15 Opportunity Fund, L.P. (“NEA 15-OF” and collectively with NEA 12 and NEA 15, the “Funds”). The shares directly held by NEA 12 are indirectly held by NEA Partners 12, L.P. (“NEA Partners 12”), the sole general partner of NEA 12, NEA 12 GP, LLC (“NEA 12 LLC”), the sole general partner of NEA Partners 12 and each of the individual Managers of NEA 12 LLC. The individual managers of NEA 12 LLC (collectively the “NEA 12 Managers”) are Forest Baskett, Patrick J. Kerins and Scott D. Sandell. The shares directly held by Ven 2008 are indirectly held by Karen P. Welsh, the general partner of Ven 2008. The shares directly held by NEA 15 are indirectly held by NEA Partners 15, L.P. (“NEA Partners 15”), the sole general partner of NEA 15, NEA 15 GP, LLC (“NEA 15 LLC”), the sole general partner of NEA Partners 15 and each of the individual Managers of NEA 15 LLC. The individual managers of NEA 15 LLC (collectively the “NEA 15 Managers”) are Forest Baskett, Anthony A Florence, Jr., Joshua Makower, Mohamad Makhzoumi, Peter W. Sonsini and Scott D. Sandell. The shares directly held by NEA 15 OF are indirectly held by NEA Partners 15-OF, L.P. (“NEA Partners 15-OF”), the sole general partner of NEA 15 OF, NEA 15 LLC, the sole general partner of NEA Partners 15-OF and each of the NEA 15 Managers. NEA 12, NEA Partners 12 NEA 12 LLC and the NEA 12 Managers share voting and dispositive power with regard to the Company’s securities directly held by NEA 12. NEA 15, NEA Partners 15, NEA 15 LLC and the NEA 15 Managers share voting and dispositive power with regard to the Company’s securities directly held by NEA 15. NEA 15-OF, NEA Partners 15-OF, NEA 15 LLC and the NEA 15 Managers share voting and dispositive power with regard to the Company’s securities directly held by NEA 15-OF. All indirect holders of the above referenced shares disclaim beneficial ownership of all applicable shares except to the extent of their actual pecuniary interest therein. The address of NEA 12, NEA 15 and NEA 15-OF is 1954 Greenspring Drive, Suite 600, Timonium, MD 21093.</w:t>
      </w:r>
    </w:p>
    <w:p>
      <w:pPr>
        <w:spacing w:after="0" w:line="177" w:lineRule="exact"/>
        <w:rPr>
          <w:sz w:val="20"/>
          <w:szCs w:val="20"/>
          <w:color w:val="auto"/>
        </w:rPr>
      </w:pPr>
    </w:p>
    <w:p>
      <w:pPr>
        <w:ind w:left="640" w:right="359" w:hanging="348"/>
        <w:spacing w:after="0" w:line="233"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6,163,086 shares as reported on Schedule 13G/A filed with the SEC on February 16, 2021 by RA Capital Management, L.P. (“RA Capital”), Peter Kolchinsky and Rajeev Shah, consisting of (i) 5,593,698 outstanding shares held by RA Capital Healthcare Fund, L.P. (the “Fund”) and (ii) 569,388 outstanding shares held in a separately managed account (the “Account”). 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Securities Exchange Act of 1934 of any securities of the Issuer held by the Fund and the Account. RA Capital has their principal business offices at 200 Berkeley Street, 18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Boston, MA 02116.</w:t>
      </w:r>
    </w:p>
    <w:p>
      <w:pPr>
        <w:ind w:left="640" w:right="339" w:hanging="348"/>
        <w:spacing w:after="0" w:line="197"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5,922,456 shares as reported on Amendment No. 2 to Schedule 13G/A filed with the SEC on January 29, 2021 by BlackRock, Inc. BlackRock, Inc. has its principal business office at 55 East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Street, New York, NY 10055.</w:t>
      </w:r>
    </w:p>
    <w:p>
      <w:pPr>
        <w:spacing w:after="0" w:line="1" w:lineRule="exact"/>
        <w:rPr>
          <w:rFonts w:ascii="Arial" w:cs="Arial" w:eastAsia="Arial" w:hAnsi="Arial"/>
          <w:sz w:val="14"/>
          <w:szCs w:val="14"/>
          <w:color w:val="auto"/>
        </w:rPr>
      </w:pPr>
    </w:p>
    <w:p>
      <w:pPr>
        <w:ind w:left="640" w:right="319" w:hanging="348"/>
        <w:spacing w:after="0" w:line="24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5,148,112 shares, as reported on Amendment No. 2 to Schedule 13G/A filed with the SEC on February 16, 2021 on behalf of Rock Springs Capital Management LP, Rock Springs Capital LLC and Rock Springs Capital Master Fund LP (collectively, the “Rock Springs Reporting Persons”) pursuant to a joint filing agreement. The Rock Springs Reporting Persons may be deemed to have shared voting and dispositive power with respect to the shares held by them, and may be deemed beneficial owners of such shares The principal business address of the Rock Springs Reporting Persons is 650 South Exeter, Suite 1070, Baltimore, MD 21202.</w:t>
      </w:r>
    </w:p>
    <w:p>
      <w:pPr>
        <w:spacing w:after="0" w:line="18" w:lineRule="exact"/>
        <w:rPr>
          <w:rFonts w:ascii="Arial" w:cs="Arial" w:eastAsia="Arial" w:hAnsi="Arial"/>
          <w:sz w:val="13"/>
          <w:szCs w:val="13"/>
          <w:color w:val="auto"/>
        </w:rPr>
      </w:pPr>
    </w:p>
    <w:p>
      <w:pPr>
        <w:ind w:left="640" w:right="339" w:hanging="348"/>
        <w:spacing w:after="0" w:line="215"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5,000,000 shares as reported on Amendment No. 3 to Schedule 13G/A filed with the SEC on February 11, 2021 by Adage Capital Partners, L.P. (“ACP”), Adage Capital Partners GP, L.L.C. (“ACPGP”), Adage Capital Advisors, L.L.C. (“ACA”), Robert Atchinson and Phillip Gross (collectively, the “Adage Reporting Persons”). ACPGP is the general partner of ACP, and may be deemed to own beneficially the shares held by ACP. ACA is the managing member of ACPGP and general partner of ACP, and may be deemed to own beneficially the shares held by ACP. Messrs. Atchinson and Gross are each a managing member of ACA, managing member of ACPGP and general partner of ACP, and may be deemed to own beneficially the shares held by ACP. The principal business of the Adage Reporting Persons is 200 Clarendon Street,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 Boston, Massachusetts 02116.</w:t>
      </w:r>
    </w:p>
    <w:p>
      <w:pPr>
        <w:spacing w:after="0" w:line="3" w:lineRule="exact"/>
        <w:rPr>
          <w:rFonts w:ascii="Arial" w:cs="Arial" w:eastAsia="Arial" w:hAnsi="Arial"/>
          <w:sz w:val="14"/>
          <w:szCs w:val="14"/>
          <w:color w:val="auto"/>
        </w:rPr>
      </w:pPr>
    </w:p>
    <w:p>
      <w:pPr>
        <w:ind w:left="640" w:right="339" w:hanging="348"/>
        <w:spacing w:after="0" w:line="271"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Consists of (i) 109,380 shares directly owned by Mr. Raab, (ii) 24,364 shares owned directly by Michael G. Raab, trustee of the Michael G. Raab Living Trust dated July 25, 2012, (iii) an aggregate of 1,000 shares owned directly by trusts for the benefit of Mr. Raab’s children.</w:t>
      </w:r>
    </w:p>
    <w:p>
      <w:pPr>
        <w:spacing w:after="0" w:line="1" w:lineRule="exact"/>
        <w:rPr>
          <w:rFonts w:ascii="Arial" w:cs="Arial" w:eastAsia="Arial" w:hAnsi="Arial"/>
          <w:sz w:val="13"/>
          <w:szCs w:val="13"/>
          <w:color w:val="auto"/>
        </w:rPr>
      </w:pPr>
    </w:p>
    <w:p>
      <w:pPr>
        <w:ind w:left="640" w:right="499" w:hanging="348"/>
        <w:spacing w:after="0" w:line="238"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(i) 87,566 shares and (ii) 110,000 shares subject to options that Mr. Mott may acquire within 60 days of April 20, 2021, that Mr. Mott holds for the benefit of entities associated with New Enterprise Associates. Mr. Mott disclaims beneficial ownership of all such shares and options extent of his actual pecuniary interest therein.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Section 16(a) of the Securities Exchange Act of 1934, as amended, or the Exchange Act,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84"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To the Company’s knowledge, based solely on a review of the copies of such reports furnished to the Company and written representations that no other reports were required, during the year ended December 31, 2020, all Section 16(a) filing requirements applicable to our officers, directors and greater than 10% beneficial owners were met, except with respect to (i) a late Form 3 filing for Keith Santorelli on April 7, 2020 caused by the COVID-19 pandemic, (ii) a late Form 3 filing for Robert Blanks on June 22, 2020 caused by the COVID-19 pandemic and (iii) a late Form 4 filing for David Rosenbaum on January 21,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117" w:lineRule="exact"/>
        <w:rPr>
          <w:sz w:val="20"/>
          <w:szCs w:val="20"/>
          <w:color w:val="auto"/>
        </w:rPr>
      </w:pPr>
    </w:p>
    <w:p>
      <w:pPr>
        <w:ind w:left="300" w:right="499"/>
        <w:spacing w:after="0" w:line="257" w:lineRule="auto"/>
        <w:rPr>
          <w:sz w:val="20"/>
          <w:szCs w:val="20"/>
          <w:color w:val="auto"/>
        </w:rPr>
      </w:pPr>
      <w:r>
        <w:rPr>
          <w:rFonts w:ascii="Arial" w:cs="Arial" w:eastAsia="Arial" w:hAnsi="Arial"/>
          <w:sz w:val="18"/>
          <w:szCs w:val="18"/>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w:t>
      </w:r>
    </w:p>
    <w:p>
      <w:pPr>
        <w:spacing w:after="0" w:line="80" w:lineRule="exact"/>
        <w:rPr>
          <w:sz w:val="20"/>
          <w:szCs w:val="20"/>
          <w:color w:val="auto"/>
        </w:rPr>
      </w:pPr>
    </w:p>
    <w:p>
      <w:pPr>
        <w:ind w:left="300" w:right="459"/>
        <w:spacing w:after="0" w:line="301" w:lineRule="auto"/>
        <w:rPr>
          <w:sz w:val="20"/>
          <w:szCs w:val="20"/>
          <w:color w:val="auto"/>
        </w:rPr>
      </w:pPr>
      <w:r>
        <w:rPr>
          <w:rFonts w:ascii="Arial" w:cs="Arial" w:eastAsia="Arial" w:hAnsi="Arial"/>
          <w:sz w:val="16"/>
          <w:szCs w:val="16"/>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117"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Stockholders who hold their shares through a brokerage may elect to participate in householding, or revoke their consent to participate in householding, by contacting their respective brokers.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117" w:lineRule="exact"/>
        <w:rPr>
          <w:sz w:val="20"/>
          <w:szCs w:val="20"/>
          <w:color w:val="auto"/>
        </w:rPr>
      </w:pPr>
    </w:p>
    <w:p>
      <w:pPr>
        <w:ind w:left="300" w:right="339"/>
        <w:spacing w:after="0" w:line="273" w:lineRule="auto"/>
        <w:rPr>
          <w:sz w:val="20"/>
          <w:szCs w:val="20"/>
          <w:color w:val="auto"/>
        </w:rPr>
      </w:pPr>
      <w:r>
        <w:rPr>
          <w:rFonts w:ascii="Arial" w:cs="Arial" w:eastAsia="Arial" w:hAnsi="Arial"/>
          <w:sz w:val="17"/>
          <w:szCs w:val="17"/>
          <w:b w:val="1"/>
          <w:bCs w:val="1"/>
          <w:color w:val="auto"/>
        </w:rPr>
        <w:t>This proxy statement is accompanied by our 2020 Annual Report to Stockholders, which includes our Annual Report on Form 10-K for the fiscal year ended December 31, 2020, or the 10-K. The 10-K includes our audited financial statements. We have filed the 10-K with the SEC, and it is available free of charge at 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As of the date of this proxy statement, our board of directors knows of no other matters that will be presented for consideration at the 2021 Annual Meeting other than the matters described in this proxy statement. If other matters are properly brought before the 2021 Annual Meeting, then proxies will be voted in accordance with the recommendation of the board of directors or, in the absence of such a recommendation, in accordance with the best judgment of the proxy holder.</w:t>
      </w:r>
    </w:p>
    <w:p>
      <w:pPr>
        <w:spacing w:after="0" w:line="16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Elizabeth Grammer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Legal and Administrative Officer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Fremont,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30,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92075</wp:posOffset>
            </wp:positionV>
            <wp:extent cx="6995160" cy="6858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68580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92075</wp:posOffset>
            </wp:positionV>
            <wp:extent cx="5186045" cy="6626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86045" cy="662622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2021-04-30T18:27:44Z</dcterms:created>
  <dcterms:modified xsi:type="dcterms:W3CDTF">2021-04-30T18:27:44Z</dcterms:modified>
</cp:coreProperties>
</file>