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ARDELYX,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26-1303944</w:t>
      </w:r>
    </w:p>
    <w:p>
      <w:pPr>
        <w:spacing w:after="0" w:line="12" w:lineRule="exact"/>
        <w:rPr>
          <w:sz w:val="24"/>
          <w:szCs w:val="24"/>
          <w:color w:val="auto"/>
        </w:rPr>
      </w:pPr>
    </w:p>
    <w:p>
      <w:pPr>
        <w:sectPr>
          <w:pgSz w:w="11900" w:h="16838" w:orient="portrait"/>
          <w:cols w:equalWidth="0" w:num="3">
            <w:col w:w="4740" w:space="720"/>
            <w:col w:w="2980" w:space="720"/>
            <w:col w:w="2200"/>
          </w:cols>
          <w:pgMar w:left="240" w:top="362" w:right="29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700" w:space="720"/>
            <w:col w:w="2740" w:space="720"/>
            <w:col w:w="2480"/>
          </w:cols>
          <w:pgMar w:left="240" w:top="362" w:right="299" w:bottom="1440" w:gutter="0" w:footer="0" w:header="0"/>
          <w:type w:val="continuous"/>
        </w:sectPr>
      </w:pP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34175 Ardenwood Blvd., Suite 200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Fremont, CA 94555</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259080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December 11, 2017, Ardelyx, Inc. (the “Company”) entered into a license agreement (the “License Agreement”) with Shanghai Fosun Pharmaceutical Industrial Development Co. Ltd. (“Fosun”) under which the Company granted Fosun an exclusive license to develop and commercialize tenapanor in China for the treatment, diagnosis or prevention of (i) irritable bowel syndrome with constipation and chronic idiopathic constipation, (ii) hyperphosphatemia related to chronic kidney disease and (iii) other diseases or conditions for which the Company obtains marketing approval in either the US or China (collectively, “Field”). Field excludes the treatment of cancer. The Company retained the rights to tenapanor outside of China, and also retained the rights to tenapanor in China for indications other than those in the Field. Pursuant to the terms of the License Agreement, Fosun is responsible for all of the development and commercialization costs for tenapanor in the Field in China.</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the terms of the License Agreement, the Company is responsible for supplying the tenapanor drug product for Fosun’s use in development and during commercialization until Fosun has assumed such responsibility. Additionally, the Company is responsible for supplying the tenapanor drug substance for Fosun’s use in development and commercialization throughout the term of the License Agreement.</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the terms of the License Agreement, the Company will receive an upfront payment of $12 million and is eligible to receive additional milestones of up to $113 million in the aggregate, as well as tiered royalty payments on aggregate net sales ranging from the mid-teen percent to twenty percent, subject to certain reductions under certain circumstances, as described in the License Agreement.</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License Agreement will continue until all of Fosun’s applicable payment obligations under the License Agreement have been performed or have expired, or the agreement is earlier terminated. Under the terms of the License Agreement, the Company and Fosun each have the right to terminate the agreement for material breach by the other party or in the event of insolvency by the other party. In addition, Fosun may terminate the agreement for convenience and the Company may terminate the agreement if Fosun challenges any patents licensed to Fosun under the agreement.</w:t>
      </w:r>
    </w:p>
    <w:p>
      <w:pPr>
        <w:spacing w:after="0" w:line="18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License Agreement includes various representations, warranties, covenants, dispute escalation and resolution mechanisms, indemnities and other provisions customary for transactions of this nature.</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License Agreement is qualified in its entirety by reference to the License Agreement, a copy of which will be filed as an exhibit to the Company’s Annual Report on Form 10-K for the year ended December 31, 2017.</w:t>
      </w:r>
    </w:p>
    <w:p>
      <w:pPr>
        <w:sectPr>
          <w:pgSz w:w="11900" w:h="16838" w:orient="portrait"/>
          <w:cols w:equalWidth="0" w:num="1">
            <w:col w:w="11420"/>
          </w:cols>
          <w:pgMar w:left="240" w:top="266" w:right="2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December 11, 2017</w:t>
      </w:r>
      <w:r>
        <w:rPr>
          <w:sz w:val="20"/>
          <w:szCs w:val="20"/>
          <w:color w:val="auto"/>
        </w:rPr>
        <w:tab/>
      </w:r>
      <w:r>
        <w:rPr>
          <w:rFonts w:ascii="Times New Roman" w:cs="Times New Roman" w:eastAsia="Times New Roman" w:hAnsi="Times New Roman"/>
          <w:sz w:val="17"/>
          <w:szCs w:val="17"/>
          <w:color w:val="auto"/>
        </w:rPr>
        <w:t>ARDELYX, INC.</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/s/ Mark Kaufmann</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20"/>
      </w:cols>
      <w:pgMar w:left="2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2019-12-07T09:09:15Z</dcterms:created>
  <dcterms:modified xsi:type="dcterms:W3CDTF">2019-12-07T09:09:15Z</dcterms:modified>
</cp:coreProperties>
</file>