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17,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3,182,797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3,182,797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3,182,797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5.06%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3,182,797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3,182,797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3,182,797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5.06%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3,182,797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3,182,797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3,182,797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5.06%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Ardelyx,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34175 Ardenwood Blvd.,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Fremont, CA 94555</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1000" w:hanging="20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64"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Islands exempted limited partnership, and indirectly held by RSCM, a Delaware limited partnership, and RSC, a Delaware limited liability company. RSCM serves as the investment manager to the Master Fund. RSC is the general partner of RSCM.</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039697107</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ind w:firstLine="792"/>
        <w:spacing w:after="0" w:line="259" w:lineRule="auto"/>
        <w:rPr>
          <w:sz w:val="20"/>
          <w:szCs w:val="20"/>
          <w:color w:val="auto"/>
        </w:rPr>
      </w:pPr>
      <w:r>
        <w:rPr>
          <w:rFonts w:ascii="Arial" w:cs="Arial" w:eastAsia="Arial" w:hAnsi="Arial"/>
          <w:sz w:val="18"/>
          <w:szCs w:val="18"/>
          <w:color w:val="auto"/>
        </w:rPr>
        <w:t>As of the date of this filing, the Reporting Persons may be deemed beneficial owners of 3,182,797 shares of Common Stock. The Reporting Persons hold 3,042,610 shares of Common Stock and 140,187 warrants to purchase Common Stock. The percent of class is based on a total of 62,941,056 shares of Common Stock outstanding, which is the sum of: (i) 62,800,869 shares outstanding as of August 5, 2019; and (ii) 140,187 shares of Common Stock that the Reporting Persons have the right to acquire upon exercise of the warrants.</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3,182,797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3,182,797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3,182,797</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5.06%</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5.06%</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5.06%</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600" w:hanging="207"/>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040" w:hanging="207"/>
        <w:spacing w:after="0" w:line="289" w:lineRule="auto"/>
        <w:tabs>
          <w:tab w:leader="none" w:pos="186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Rock Springs Capital Management LP: 3,182,797 Rock Springs Capital LLC: 3,182,797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3,182,797</w:t>
      </w:r>
    </w:p>
    <w:p>
      <w:pPr>
        <w:spacing w:after="0" w:line="206" w:lineRule="exact"/>
        <w:rPr>
          <w:rFonts w:ascii="Arial" w:cs="Arial" w:eastAsia="Arial" w:hAnsi="Arial"/>
          <w:sz w:val="16"/>
          <w:szCs w:val="16"/>
          <w:b w:val="1"/>
          <w:bCs w:val="1"/>
          <w:color w:val="auto"/>
        </w:rPr>
      </w:pPr>
    </w:p>
    <w:p>
      <w:pPr>
        <w:ind w:left="1800" w:right="5560" w:hanging="207"/>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340" w:hanging="207"/>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3,182,797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3,182,797</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3,182,797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699"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2019</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420"/>
          </w:cols>
          <w:pgMar w:left="240" w:top="474"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2019</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2019-12-15T17:33:32Z</dcterms:created>
  <dcterms:modified xsi:type="dcterms:W3CDTF">2019-12-15T17:33:32Z</dcterms:modified>
</cp:coreProperties>
</file>