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530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53085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Rosenbaum David 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ARDELYX,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34175 ARDENWOOD BLVD,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ARDELYX,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ARDX</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01/02/2019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83"/>
        <w:spacing w:after="0"/>
        <w:rPr>
          <w:sz w:val="20"/>
          <w:szCs w:val="20"/>
          <w:color w:val="auto"/>
        </w:rPr>
      </w:pPr>
      <w:r>
        <w:rPr>
          <w:rFonts w:ascii="Arial" w:cs="Arial" w:eastAsia="Arial" w:hAnsi="Arial"/>
          <w:sz w:val="18"/>
          <w:szCs w:val="18"/>
          <w:color w:val="0000FF"/>
        </w:rPr>
        <w:t>Chief Development Officer</w:t>
      </w:r>
    </w:p>
    <w:p>
      <w:pPr>
        <w:spacing w:after="0" w:line="390"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60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120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3620" w:type="dxa"/>
            <w:vAlign w:val="bottom"/>
            <w:gridSpan w:val="6"/>
          </w:tcPr>
          <w:p>
            <w:pPr>
              <w:ind w:left="160"/>
              <w:spacing w:after="0"/>
              <w:rPr>
                <w:sz w:val="20"/>
                <w:szCs w:val="20"/>
                <w:color w:val="auto"/>
              </w:rPr>
            </w:pPr>
            <w:r>
              <w:rPr>
                <w:rFonts w:ascii="Arial" w:cs="Arial" w:eastAsia="Arial" w:hAnsi="Arial"/>
                <w:sz w:val="14"/>
                <w:szCs w:val="14"/>
                <w:color w:val="auto"/>
                <w:w w:val="96"/>
              </w:rPr>
              <w:t>4. If Amendment, Date of Original Filed (Month/Day/Year)</w:t>
            </w:r>
          </w:p>
        </w:tc>
        <w:tc>
          <w:tcPr>
            <w:tcW w:w="3880" w:type="dxa"/>
            <w:vAlign w:val="bottom"/>
            <w:gridSpan w:val="8"/>
          </w:tcPr>
          <w:p>
            <w:pPr>
              <w:ind w:left="52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gridSpan w:val="3"/>
          </w:tcPr>
          <w:p>
            <w:pPr>
              <w:ind w:left="520"/>
              <w:spacing w:after="0"/>
              <w:rPr>
                <w:sz w:val="20"/>
                <w:szCs w:val="20"/>
                <w:color w:val="auto"/>
              </w:rPr>
            </w:pPr>
            <w:r>
              <w:rPr>
                <w:rFonts w:ascii="Arial" w:cs="Arial" w:eastAsia="Arial" w:hAnsi="Arial"/>
                <w:sz w:val="14"/>
                <w:szCs w:val="14"/>
                <w:color w:val="auto"/>
              </w:rPr>
              <w:t>Line)</w:t>
            </w: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FREMONT</w:t>
            </w: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87"/>
              </w:rPr>
              <w:t>CA</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94555</w:t>
            </w: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20" w:type="dxa"/>
            <w:vAlign w:val="bottom"/>
            <w:gridSpan w:val="5"/>
            <w:vMerge w:val="restart"/>
          </w:tcPr>
          <w:p>
            <w:pPr>
              <w:ind w:left="2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2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40" w:type="dxa"/>
            <w:vAlign w:val="bottom"/>
            <w:gridSpan w:val="2"/>
            <w:vMerge w:val="restart"/>
          </w:tcPr>
          <w:p>
            <w:pPr>
              <w:ind w:left="22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3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4300" w:type="dxa"/>
            <w:vAlign w:val="bottom"/>
            <w:tcBorders>
              <w:bottom w:val="single" w:sz="8" w:color="2C2C2C"/>
            </w:tcBorders>
            <w:gridSpan w:val="8"/>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00" w:type="dxa"/>
            <w:vAlign w:val="bottom"/>
            <w:tcBorders>
              <w:top w:val="single" w:sz="8" w:color="2C2C2C"/>
            </w:tcBorders>
            <w:gridSpan w:val="14"/>
          </w:tcPr>
          <w:p>
            <w:pPr>
              <w:jc w:val="center"/>
              <w:ind w:left="6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20" w:type="dxa"/>
            <w:vAlign w:val="bottom"/>
            <w:gridSpan w:val="3"/>
          </w:tcPr>
          <w:p>
            <w:pPr>
              <w:ind w:left="5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3"/>
          </w:tcPr>
          <w:p>
            <w:pPr>
              <w:ind w:left="640"/>
              <w:spacing w:after="0"/>
              <w:rPr>
                <w:sz w:val="20"/>
                <w:szCs w:val="20"/>
                <w:color w:val="auto"/>
              </w:rPr>
            </w:pPr>
            <w:r>
              <w:rPr>
                <w:rFonts w:ascii="Arial" w:cs="Arial" w:eastAsia="Arial" w:hAnsi="Arial"/>
                <w:sz w:val="18"/>
                <w:szCs w:val="18"/>
                <w:color w:val="0000FF"/>
              </w:rPr>
              <w:t>01/02/2019</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jc w:val="right"/>
              <w:ind w:right="152"/>
              <w:spacing w:after="0"/>
              <w:rPr>
                <w:sz w:val="20"/>
                <w:szCs w:val="20"/>
                <w:color w:val="auto"/>
              </w:rPr>
            </w:pPr>
            <w:r>
              <w:rPr>
                <w:rFonts w:ascii="Arial" w:cs="Arial" w:eastAsia="Arial" w:hAnsi="Arial"/>
                <w:sz w:val="18"/>
                <w:szCs w:val="18"/>
                <w:color w:val="0000FF"/>
              </w:rPr>
              <w:t>5,585</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86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1.7015</w:t>
            </w:r>
            <w:r>
              <w:rPr>
                <w:rFonts w:ascii="Arial" w:cs="Arial" w:eastAsia="Arial" w:hAnsi="Arial"/>
                <w:sz w:val="22"/>
                <w:szCs w:val="22"/>
                <w:color w:val="008000"/>
                <w:w w:val="91"/>
                <w:vertAlign w:val="superscript"/>
              </w:rPr>
              <w:t>(2)</w:t>
            </w:r>
          </w:p>
        </w:tc>
        <w:tc>
          <w:tcPr>
            <w:tcW w:w="1240" w:type="dxa"/>
            <w:vAlign w:val="bottom"/>
            <w:tcBorders>
              <w:bottom w:val="single" w:sz="8" w:color="2C2C2C"/>
            </w:tcBorders>
            <w:gridSpan w:val="2"/>
          </w:tcPr>
          <w:p>
            <w:pPr>
              <w:jc w:val="center"/>
              <w:ind w:right="19"/>
              <w:spacing w:after="0"/>
              <w:rPr>
                <w:sz w:val="20"/>
                <w:szCs w:val="20"/>
                <w:color w:val="auto"/>
              </w:rPr>
            </w:pPr>
            <w:r>
              <w:rPr>
                <w:rFonts w:ascii="Arial" w:cs="Arial" w:eastAsia="Arial" w:hAnsi="Arial"/>
                <w:sz w:val="18"/>
                <w:szCs w:val="18"/>
                <w:color w:val="0000FF"/>
                <w:w w:val="86"/>
              </w:rPr>
              <w:t>160,027</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8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620" w:type="dxa"/>
            <w:vAlign w:val="bottom"/>
            <w:gridSpan w:val="3"/>
            <w:vMerge w:val="restart"/>
          </w:tcPr>
          <w:p>
            <w:pPr>
              <w:ind w:left="640"/>
              <w:spacing w:after="0"/>
              <w:rPr>
                <w:sz w:val="20"/>
                <w:szCs w:val="20"/>
                <w:color w:val="auto"/>
              </w:rPr>
            </w:pPr>
            <w:r>
              <w:rPr>
                <w:rFonts w:ascii="Arial" w:cs="Arial" w:eastAsia="Arial" w:hAnsi="Arial"/>
                <w:sz w:val="18"/>
                <w:szCs w:val="18"/>
                <w:color w:val="0000FF"/>
              </w:rPr>
              <w:t>01/02/2019</w:t>
            </w: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vMerge w:val="restart"/>
          </w:tcPr>
          <w:p>
            <w:pPr>
              <w:jc w:val="right"/>
              <w:ind w:right="212"/>
              <w:spacing w:after="0"/>
              <w:rPr>
                <w:sz w:val="20"/>
                <w:szCs w:val="20"/>
                <w:color w:val="auto"/>
              </w:rPr>
            </w:pPr>
            <w:r>
              <w:rPr>
                <w:rFonts w:ascii="Arial" w:cs="Arial" w:eastAsia="Arial" w:hAnsi="Arial"/>
                <w:sz w:val="18"/>
                <w:szCs w:val="18"/>
                <w:color w:val="0000FF"/>
              </w:rPr>
              <w:t>801</w:t>
            </w:r>
          </w:p>
        </w:tc>
        <w:tc>
          <w:tcPr>
            <w:tcW w:w="500" w:type="dxa"/>
            <w:vAlign w:val="bottom"/>
            <w:vMerge w:val="restart"/>
          </w:tcPr>
          <w:p>
            <w:pPr>
              <w:ind w:left="200"/>
              <w:spacing w:after="0"/>
              <w:rPr>
                <w:sz w:val="20"/>
                <w:szCs w:val="20"/>
                <w:color w:val="auto"/>
              </w:rPr>
            </w:pPr>
            <w:r>
              <w:rPr>
                <w:rFonts w:ascii="Arial" w:cs="Arial" w:eastAsia="Arial" w:hAnsi="Arial"/>
                <w:sz w:val="18"/>
                <w:szCs w:val="18"/>
                <w:color w:val="0000FF"/>
              </w:rPr>
              <w:t>D</w:t>
            </w:r>
          </w:p>
        </w:tc>
        <w:tc>
          <w:tcPr>
            <w:tcW w:w="860" w:type="dxa"/>
            <w:vAlign w:val="bottom"/>
            <w:gridSpan w:val="3"/>
            <w:vMerge w:val="restart"/>
          </w:tcPr>
          <w:p>
            <w:pPr>
              <w:ind w:left="8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1.7015</w:t>
            </w:r>
            <w:r>
              <w:rPr>
                <w:rFonts w:ascii="Arial" w:cs="Arial" w:eastAsia="Arial" w:hAnsi="Arial"/>
                <w:sz w:val="22"/>
                <w:szCs w:val="22"/>
                <w:color w:val="008000"/>
                <w:w w:val="91"/>
                <w:vertAlign w:val="superscript"/>
              </w:rPr>
              <w:t>(3)</w:t>
            </w:r>
          </w:p>
        </w:tc>
        <w:tc>
          <w:tcPr>
            <w:tcW w:w="1240" w:type="dxa"/>
            <w:vAlign w:val="bottom"/>
            <w:gridSpan w:val="2"/>
            <w:vMerge w:val="restart"/>
          </w:tcPr>
          <w:p>
            <w:pPr>
              <w:jc w:val="center"/>
              <w:ind w:right="19"/>
              <w:spacing w:after="0"/>
              <w:rPr>
                <w:sz w:val="20"/>
                <w:szCs w:val="20"/>
                <w:color w:val="auto"/>
              </w:rPr>
            </w:pPr>
            <w:r>
              <w:rPr>
                <w:rFonts w:ascii="Arial" w:cs="Arial" w:eastAsia="Arial" w:hAnsi="Arial"/>
                <w:sz w:val="18"/>
                <w:szCs w:val="18"/>
                <w:color w:val="0000FF"/>
                <w:w w:val="87"/>
              </w:rPr>
              <w:t>18,029</w:t>
            </w:r>
          </w:p>
        </w:tc>
        <w:tc>
          <w:tcPr>
            <w:tcW w:w="92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2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40" w:type="dxa"/>
            <w:vAlign w:val="bottom"/>
            <w:vMerge w:val="restart"/>
          </w:tcPr>
          <w:p>
            <w:pPr>
              <w:ind w:left="2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gridSpan w:val="2"/>
            <w:vMerge w:val="restart"/>
          </w:tcPr>
          <w:p>
            <w:pPr>
              <w:jc w:val="center"/>
              <w:ind w:right="19"/>
              <w:spacing w:after="0"/>
              <w:rPr>
                <w:sz w:val="20"/>
                <w:szCs w:val="20"/>
                <w:color w:val="auto"/>
              </w:rPr>
            </w:pPr>
            <w:r>
              <w:rPr>
                <w:rFonts w:ascii="Arial" w:cs="Arial" w:eastAsia="Arial" w:hAnsi="Arial"/>
                <w:sz w:val="18"/>
                <w:szCs w:val="18"/>
                <w:color w:val="0000FF"/>
                <w:w w:val="82"/>
              </w:rPr>
              <w:t>77,592</w:t>
            </w:r>
            <w:r>
              <w:rPr>
                <w:rFonts w:ascii="Arial" w:cs="Arial" w:eastAsia="Arial" w:hAnsi="Arial"/>
                <w:sz w:val="22"/>
                <w:szCs w:val="22"/>
                <w:color w:val="008000"/>
                <w:w w:val="82"/>
                <w:vertAlign w:val="superscript"/>
              </w:rPr>
              <w:t>(5)</w:t>
            </w:r>
          </w:p>
        </w:tc>
        <w:tc>
          <w:tcPr>
            <w:tcW w:w="92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8"/>
                <w:szCs w:val="18"/>
                <w:color w:val="0000FF"/>
                <w:w w:val="92"/>
              </w:rPr>
              <w:t>Footnote</w:t>
            </w:r>
            <w:r>
              <w:rPr>
                <w:rFonts w:ascii="Arial" w:cs="Arial" w:eastAsia="Arial" w:hAnsi="Arial"/>
                <w:sz w:val="22"/>
                <w:szCs w:val="22"/>
                <w:color w:val="008000"/>
                <w:w w:val="92"/>
                <w:vertAlign w:val="superscript"/>
              </w:rPr>
              <w:t>(5)</w:t>
            </w:r>
          </w:p>
        </w:tc>
        <w:tc>
          <w:tcPr>
            <w:tcW w:w="0" w:type="dxa"/>
            <w:vAlign w:val="bottom"/>
          </w:tcPr>
          <w:p>
            <w:pPr>
              <w:spacing w:after="0"/>
              <w:rPr>
                <w:sz w:val="1"/>
                <w:szCs w:val="1"/>
                <w:color w:val="auto"/>
              </w:rPr>
            </w:pPr>
          </w:p>
        </w:tc>
      </w:tr>
      <w:tr>
        <w:trPr>
          <w:trHeight w:val="155"/>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12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3"/>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40" w:type="dxa"/>
            <w:vAlign w:val="bottom"/>
            <w:gridSpan w:val="10"/>
          </w:tcPr>
          <w:p>
            <w:pPr>
              <w:ind w:left="64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36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16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w w:val="99"/>
              </w:rPr>
              <w:t>(I) (Instr. 4)</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9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30" w:lineRule="exact"/>
        <w:rPr>
          <w:rFonts w:ascii="Arial" w:cs="Arial" w:eastAsia="Arial" w:hAnsi="Arial"/>
          <w:sz w:val="14"/>
          <w:szCs w:val="14"/>
          <w:color w:val="008000"/>
        </w:rPr>
      </w:pPr>
    </w:p>
    <w:p>
      <w:pPr>
        <w:ind w:left="40" w:right="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transaction was executed in multiple trades in prices ranging from $1.70 to $1.7335, inclusive. The price reported in Column 4 above reflects the weighted average sale price. The Reporting Person hereby undertakes to provide to the Securities and Exchange Commission staff, the Issuer, or a security holder of the Issuer, upon request, full information regarding the number of shares sold at each respective price within the range set forth in this footnote.</w:t>
      </w:r>
    </w:p>
    <w:p>
      <w:pPr>
        <w:spacing w:after="0" w:line="30" w:lineRule="exact"/>
        <w:rPr>
          <w:rFonts w:ascii="Arial" w:cs="Arial" w:eastAsia="Arial" w:hAnsi="Arial"/>
          <w:sz w:val="14"/>
          <w:szCs w:val="14"/>
          <w:color w:val="008000"/>
        </w:rPr>
      </w:pPr>
    </w:p>
    <w:p>
      <w:pPr>
        <w:ind w:left="40" w:right="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transaction was executed in multiple trades in prices ranging from $1.70 to $1.7326, inclusive. The price reported in Column 4 above reflects the weighted average sale price. The Reporting Person hereby undertakes to provide to the Securities and Exchange Commission staff, the Issuer, or a security holder of the Issuer, upon request, full information regarding the number of shares sold at each respective price within the range set forth in this footnote.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shares are directly held by the Reporting Person's wife.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shares are directly held by David Paul Rosenbaum and Susan Edelstein Rosenbaum, Trustees of the David Paul Rosenbaum Family Trust.</w:t>
      </w:r>
    </w:p>
    <w:p>
      <w:pPr>
        <w:spacing w:after="0" w:line="7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325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3251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David</w:t>
      </w:r>
      <w:r>
        <w:rPr>
          <w:sz w:val="20"/>
          <w:szCs w:val="20"/>
          <w:color w:val="auto"/>
        </w:rPr>
        <w:tab/>
      </w:r>
      <w:r>
        <w:rPr>
          <w:rFonts w:ascii="Arial" w:cs="Arial" w:eastAsia="Arial" w:hAnsi="Arial"/>
          <w:sz w:val="15"/>
          <w:szCs w:val="15"/>
          <w:color w:val="0000FF"/>
        </w:rPr>
        <w:t>01/04/2019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Rosenbaum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5264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2641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11311"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2019-12-24T08:04:10Z</dcterms:created>
  <dcterms:modified xsi:type="dcterms:W3CDTF">2019-12-24T08:04:10Z</dcterms:modified>
</cp:coreProperties>
</file>