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Arial" w:cs="Arial" w:eastAsia="Arial" w:hAnsi="Arial"/>
          <w:sz w:val="13"/>
          <w:szCs w:val="13"/>
          <w:b w:val="1"/>
          <w:bCs w:val="1"/>
          <w:color w:val="auto"/>
        </w:rPr>
        <w:t>As filed with the Securities and Exchange Commission on March 11, 2021</w:t>
      </w:r>
    </w:p>
    <w:p>
      <w:pPr>
        <w:ind w:left="8890"/>
        <w:spacing w:after="0"/>
        <w:rPr>
          <w:sz w:val="20"/>
          <w:szCs w:val="20"/>
          <w:color w:val="auto"/>
        </w:rPr>
      </w:pPr>
      <w:r>
        <w:rPr>
          <w:rFonts w:ascii="Arial" w:cs="Arial" w:eastAsia="Arial" w:hAnsi="Arial"/>
          <w:sz w:val="10"/>
          <w:szCs w:val="10"/>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152400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47" w:lineRule="exact"/>
        <w:rPr>
          <w:sz w:val="24"/>
          <w:szCs w:val="24"/>
          <w:color w:val="auto"/>
        </w:rPr>
      </w:pPr>
    </w:p>
    <w:p>
      <w:pPr>
        <w:jc w:val="center"/>
        <w:ind w:right="-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9"/>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103505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77" w:lineRule="exact"/>
        <w:rPr>
          <w:sz w:val="24"/>
          <w:szCs w:val="24"/>
          <w:color w:val="auto"/>
        </w:rPr>
      </w:pPr>
    </w:p>
    <w:p>
      <w:pPr>
        <w:jc w:val="center"/>
        <w:ind w:right="-9"/>
        <w:spacing w:after="0"/>
        <w:rPr>
          <w:sz w:val="20"/>
          <w:szCs w:val="20"/>
          <w:color w:val="auto"/>
        </w:rPr>
      </w:pPr>
      <w:r>
        <w:rPr>
          <w:rFonts w:ascii="Arial" w:cs="Arial" w:eastAsia="Arial" w:hAnsi="Arial"/>
          <w:sz w:val="27"/>
          <w:szCs w:val="27"/>
          <w:b w:val="1"/>
          <w:bCs w:val="1"/>
          <w:color w:val="auto"/>
        </w:rPr>
        <w:t>FORM S-8</w:t>
      </w:r>
    </w:p>
    <w:p>
      <w:pPr>
        <w:spacing w:after="0" w:line="30" w:lineRule="exact"/>
        <w:rPr>
          <w:sz w:val="24"/>
          <w:szCs w:val="24"/>
          <w:color w:val="auto"/>
        </w:rPr>
      </w:pPr>
    </w:p>
    <w:p>
      <w:pPr>
        <w:jc w:val="center"/>
        <w:ind w:right="-9"/>
        <w:spacing w:after="0"/>
        <w:rPr>
          <w:sz w:val="20"/>
          <w:szCs w:val="20"/>
          <w:color w:val="auto"/>
        </w:rPr>
      </w:pPr>
      <w:r>
        <w:rPr>
          <w:rFonts w:ascii="Arial" w:cs="Arial" w:eastAsia="Arial" w:hAnsi="Arial"/>
          <w:sz w:val="27"/>
          <w:szCs w:val="27"/>
          <w:b w:val="1"/>
          <w:bCs w:val="1"/>
          <w:color w:val="auto"/>
        </w:rPr>
        <w:t>REGISTRATION STATEMENT</w:t>
      </w:r>
    </w:p>
    <w:p>
      <w:pPr>
        <w:spacing w:after="0" w:line="2"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109855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1" w:lineRule="exact"/>
        <w:rPr>
          <w:sz w:val="24"/>
          <w:szCs w:val="24"/>
          <w:color w:val="auto"/>
        </w:rPr>
      </w:pPr>
    </w:p>
    <w:p>
      <w:pPr>
        <w:jc w:val="center"/>
        <w:ind w:right="-9"/>
        <w:spacing w:after="0"/>
        <w:rPr>
          <w:sz w:val="20"/>
          <w:szCs w:val="20"/>
          <w:color w:val="auto"/>
        </w:rPr>
      </w:pPr>
      <w:r>
        <w:rPr>
          <w:rFonts w:ascii="Arial" w:cs="Arial" w:eastAsia="Arial" w:hAnsi="Arial"/>
          <w:sz w:val="38"/>
          <w:szCs w:val="38"/>
          <w:b w:val="1"/>
          <w:bCs w:val="1"/>
          <w:color w:val="auto"/>
        </w:rPr>
        <w:t>Ardelyx, Inc.</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87630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p>
      <w:pPr>
        <w:spacing w:after="0" w:line="282" w:lineRule="exact"/>
        <w:rPr>
          <w:sz w:val="24"/>
          <w:szCs w:val="24"/>
          <w:color w:val="auto"/>
        </w:rPr>
      </w:pPr>
    </w:p>
    <w:p>
      <w:pPr>
        <w:ind w:left="231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26-1303944</w:t>
      </w:r>
    </w:p>
    <w:p>
      <w:pPr>
        <w:spacing w:after="0" w:line="60" w:lineRule="exact"/>
        <w:rPr>
          <w:sz w:val="24"/>
          <w:szCs w:val="24"/>
          <w:color w:val="auto"/>
        </w:rPr>
      </w:pPr>
    </w:p>
    <w:p>
      <w:pPr>
        <w:sectPr>
          <w:pgSz w:w="11900" w:h="16838" w:orient="portrait"/>
          <w:cols w:equalWidth="0" w:num="2">
            <w:col w:w="6650" w:space="720"/>
            <w:col w:w="2860"/>
          </w:cols>
          <w:pgMar w:left="830" w:top="661" w:right="839" w:bottom="1440" w:gutter="0" w:footer="0" w:header="0"/>
          <w:type w:val="continuous"/>
        </w:sectPr>
      </w:pPr>
    </w:p>
    <w:p>
      <w:pPr>
        <w:spacing w:after="0" w:line="5" w:lineRule="exact"/>
        <w:rPr>
          <w:sz w:val="24"/>
          <w:szCs w:val="24"/>
          <w:color w:val="auto"/>
        </w:rPr>
      </w:pPr>
    </w:p>
    <w:p>
      <w:pPr>
        <w:ind w:left="1830"/>
        <w:spacing w:after="0"/>
        <w:rPr>
          <w:sz w:val="20"/>
          <w:szCs w:val="20"/>
          <w:color w:val="auto"/>
        </w:rPr>
      </w:pPr>
      <w:r>
        <w:rPr>
          <w:rFonts w:ascii="Arial" w:cs="Arial" w:eastAsia="Arial" w:hAnsi="Arial"/>
          <w:sz w:val="10"/>
          <w:szCs w:val="10"/>
          <w:color w:val="auto"/>
        </w:rPr>
        <w:t>(State or other jurisdiction of</w:t>
      </w:r>
    </w:p>
    <w:p>
      <w:pPr>
        <w:spacing w:after="0" w:line="30" w:lineRule="exact"/>
        <w:rPr>
          <w:sz w:val="24"/>
          <w:szCs w:val="24"/>
          <w:color w:val="auto"/>
        </w:rPr>
      </w:pPr>
    </w:p>
    <w:p>
      <w:pPr>
        <w:ind w:left="1810"/>
        <w:spacing w:after="0"/>
        <w:rPr>
          <w:sz w:val="20"/>
          <w:szCs w:val="20"/>
          <w:color w:val="auto"/>
        </w:rPr>
      </w:pPr>
      <w:r>
        <w:rPr>
          <w:rFonts w:ascii="Arial" w:cs="Arial" w:eastAsia="Arial" w:hAnsi="Arial"/>
          <w:sz w:val="10"/>
          <w:szCs w:val="10"/>
          <w:color w:val="auto"/>
        </w:rPr>
        <w:t>incorporation or organization)</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3"/>
          <w:szCs w:val="13"/>
          <w:color w:val="auto"/>
        </w:rPr>
        <w:t>(I.R.S. Employer</w:t>
      </w:r>
    </w:p>
    <w:p>
      <w:pPr>
        <w:jc w:val="center"/>
        <w:ind w:right="1980"/>
        <w:spacing w:after="0"/>
        <w:rPr>
          <w:sz w:val="20"/>
          <w:szCs w:val="20"/>
          <w:color w:val="auto"/>
        </w:rPr>
      </w:pPr>
      <w:r>
        <w:rPr>
          <w:rFonts w:ascii="Arial" w:cs="Arial" w:eastAsia="Arial" w:hAnsi="Arial"/>
          <w:sz w:val="10"/>
          <w:szCs w:val="10"/>
          <w:color w:val="auto"/>
        </w:rPr>
        <w:t>Identification Number)</w:t>
      </w:r>
    </w:p>
    <w:p>
      <w:pPr>
        <w:spacing w:after="0" w:line="17" w:lineRule="exact"/>
        <w:rPr>
          <w:sz w:val="24"/>
          <w:szCs w:val="24"/>
          <w:color w:val="auto"/>
        </w:rPr>
      </w:pPr>
    </w:p>
    <w:p>
      <w:pPr>
        <w:sectPr>
          <w:pgSz w:w="11900" w:h="16838" w:orient="portrait"/>
          <w:cols w:equalWidth="0" w:num="2">
            <w:col w:w="6370" w:space="720"/>
            <w:col w:w="3140"/>
          </w:cols>
          <w:pgMar w:left="830" w:top="661" w:right="839" w:bottom="1440" w:gutter="0" w:footer="0" w:header="0"/>
          <w:type w:val="continuous"/>
        </w:sectPr>
      </w:pPr>
    </w:p>
    <w:p>
      <w:pPr>
        <w:jc w:val="center"/>
        <w:ind w:right="10"/>
        <w:spacing w:after="0"/>
        <w:rPr>
          <w:sz w:val="20"/>
          <w:szCs w:val="20"/>
          <w:color w:val="auto"/>
        </w:rPr>
      </w:pPr>
      <w:r>
        <w:rPr>
          <w:rFonts w:ascii="Arial" w:cs="Arial" w:eastAsia="Arial" w:hAnsi="Arial"/>
          <w:sz w:val="12"/>
          <w:szCs w:val="12"/>
          <w:b w:val="1"/>
          <w:bCs w:val="1"/>
          <w:color w:val="auto"/>
        </w:rPr>
        <w:t>34175 Ardenwood Blvd., Fremont, California 94555</w:t>
      </w:r>
    </w:p>
    <w:p>
      <w:pPr>
        <w:jc w:val="center"/>
        <w:ind w:right="10"/>
        <w:spacing w:after="0"/>
        <w:rPr>
          <w:sz w:val="20"/>
          <w:szCs w:val="20"/>
          <w:color w:val="auto"/>
        </w:rPr>
      </w:pPr>
      <w:r>
        <w:rPr>
          <w:rFonts w:ascii="Arial" w:cs="Arial" w:eastAsia="Arial" w:hAnsi="Arial"/>
          <w:sz w:val="10"/>
          <w:szCs w:val="10"/>
          <w:b w:val="1"/>
          <w:bCs w:val="1"/>
          <w:color w:val="auto"/>
        </w:rPr>
        <w:t>400 Fifth Ave., Suite 210, Waltham, Massachusetts 02451</w:t>
      </w:r>
    </w:p>
    <w:p>
      <w:pPr>
        <w:spacing w:after="0" w:line="20" w:lineRule="exact"/>
        <w:rPr>
          <w:sz w:val="24"/>
          <w:szCs w:val="24"/>
          <w:color w:val="auto"/>
        </w:rPr>
      </w:pPr>
    </w:p>
    <w:p>
      <w:pPr>
        <w:jc w:val="center"/>
        <w:ind w:right="10"/>
        <w:spacing w:after="0"/>
        <w:rPr>
          <w:sz w:val="20"/>
          <w:szCs w:val="20"/>
          <w:color w:val="auto"/>
        </w:rPr>
      </w:pPr>
      <w:r>
        <w:rPr>
          <w:rFonts w:ascii="Arial" w:cs="Arial" w:eastAsia="Arial" w:hAnsi="Arial"/>
          <w:sz w:val="13"/>
          <w:szCs w:val="13"/>
          <w:b w:val="1"/>
          <w:bCs w:val="1"/>
          <w:color w:val="auto"/>
        </w:rPr>
        <w:t>(510) 745-1700</w:t>
      </w:r>
    </w:p>
    <w:p>
      <w:pPr>
        <w:sectPr>
          <w:pgSz w:w="11900" w:h="16838" w:orient="portrait"/>
          <w:cols w:equalWidth="0" w:num="1">
            <w:col w:w="10230"/>
          </w:cols>
          <w:pgMar w:left="830" w:top="661" w:right="839" w:bottom="1440" w:gutter="0" w:footer="0" w:header="0"/>
          <w:type w:val="continuous"/>
        </w:sectPr>
      </w:pPr>
    </w:p>
    <w:p>
      <w:pPr>
        <w:jc w:val="center"/>
        <w:ind w:right="-9"/>
        <w:spacing w:after="0" w:line="220" w:lineRule="auto"/>
        <w:rPr>
          <w:sz w:val="20"/>
          <w:szCs w:val="20"/>
          <w:color w:val="auto"/>
        </w:rPr>
      </w:pPr>
      <w:r>
        <w:rPr>
          <w:rFonts w:ascii="Arial" w:cs="Arial" w:eastAsia="Arial" w:hAnsi="Arial"/>
          <w:sz w:val="11"/>
          <w:szCs w:val="11"/>
          <w:color w:val="auto"/>
        </w:rPr>
        <w:t>(Address, including zip code, and telephone number, including area code, of registrant’s principal executive offices)</w:t>
      </w:r>
    </w:p>
    <w:p>
      <w:pPr>
        <w:spacing w:after="0" w:line="44" w:lineRule="exact"/>
        <w:rPr>
          <w:sz w:val="24"/>
          <w:szCs w:val="24"/>
          <w:color w:val="auto"/>
        </w:rPr>
      </w:pPr>
    </w:p>
    <w:p>
      <w:pPr>
        <w:jc w:val="center"/>
        <w:ind w:right="-9"/>
        <w:spacing w:after="0"/>
        <w:rPr>
          <w:sz w:val="20"/>
          <w:szCs w:val="20"/>
          <w:color w:val="auto"/>
        </w:rPr>
      </w:pPr>
      <w:r>
        <w:rPr>
          <w:rFonts w:ascii="Arial" w:cs="Arial" w:eastAsia="Arial" w:hAnsi="Arial"/>
          <w:sz w:val="13"/>
          <w:szCs w:val="13"/>
          <w:b w:val="1"/>
          <w:bCs w:val="1"/>
          <w:color w:val="auto"/>
        </w:rPr>
        <w:t>2014 Equity Incentive Award Plan</w:t>
      </w:r>
    </w:p>
    <w:p>
      <w:pPr>
        <w:jc w:val="center"/>
        <w:ind w:right="-9"/>
        <w:spacing w:after="0" w:line="216" w:lineRule="auto"/>
        <w:rPr>
          <w:sz w:val="20"/>
          <w:szCs w:val="20"/>
          <w:color w:val="auto"/>
        </w:rPr>
      </w:pPr>
      <w:r>
        <w:rPr>
          <w:rFonts w:ascii="Arial" w:cs="Arial" w:eastAsia="Arial" w:hAnsi="Arial"/>
          <w:sz w:val="13"/>
          <w:szCs w:val="13"/>
          <w:b w:val="1"/>
          <w:bCs w:val="1"/>
          <w:color w:val="auto"/>
        </w:rPr>
        <w:t>2014 Employee Stock Purchase Plan</w:t>
      </w:r>
    </w:p>
    <w:p>
      <w:pPr>
        <w:jc w:val="center"/>
        <w:ind w:right="-9"/>
        <w:spacing w:after="0" w:line="229" w:lineRule="auto"/>
        <w:rPr>
          <w:sz w:val="20"/>
          <w:szCs w:val="20"/>
          <w:color w:val="auto"/>
        </w:rPr>
      </w:pPr>
      <w:r>
        <w:rPr>
          <w:rFonts w:ascii="Arial" w:cs="Arial" w:eastAsia="Arial" w:hAnsi="Arial"/>
          <w:sz w:val="13"/>
          <w:szCs w:val="13"/>
          <w:b w:val="1"/>
          <w:bCs w:val="1"/>
          <w:color w:val="auto"/>
        </w:rPr>
        <w:t>2016 Employee Commencement Incentive Plan</w:t>
      </w:r>
    </w:p>
    <w:p>
      <w:pPr>
        <w:jc w:val="center"/>
        <w:ind w:right="-9"/>
        <w:spacing w:after="0"/>
        <w:rPr>
          <w:sz w:val="20"/>
          <w:szCs w:val="20"/>
          <w:color w:val="auto"/>
        </w:rPr>
      </w:pPr>
      <w:r>
        <w:rPr>
          <w:rFonts w:ascii="Arial" w:cs="Arial" w:eastAsia="Arial" w:hAnsi="Arial"/>
          <w:sz w:val="7"/>
          <w:szCs w:val="7"/>
          <w:color w:val="auto"/>
        </w:rPr>
        <w:t>(Full Title of the Plan)</w:t>
      </w:r>
    </w:p>
    <w:p>
      <w:pPr>
        <w:spacing w:after="0" w:line="46" w:lineRule="exact"/>
        <w:rPr>
          <w:sz w:val="24"/>
          <w:szCs w:val="24"/>
          <w:color w:val="auto"/>
        </w:rPr>
      </w:pPr>
    </w:p>
    <w:p>
      <w:pPr>
        <w:jc w:val="center"/>
        <w:ind w:right="-9"/>
        <w:spacing w:after="0"/>
        <w:rPr>
          <w:sz w:val="20"/>
          <w:szCs w:val="20"/>
          <w:color w:val="auto"/>
        </w:rPr>
      </w:pPr>
      <w:r>
        <w:rPr>
          <w:rFonts w:ascii="Arial" w:cs="Arial" w:eastAsia="Arial" w:hAnsi="Arial"/>
          <w:sz w:val="13"/>
          <w:szCs w:val="13"/>
          <w:b w:val="1"/>
          <w:bCs w:val="1"/>
          <w:color w:val="auto"/>
        </w:rPr>
        <w:t>Michael Raab</w:t>
      </w:r>
    </w:p>
    <w:p>
      <w:pPr>
        <w:jc w:val="center"/>
        <w:ind w:right="-9"/>
        <w:spacing w:after="0" w:line="216" w:lineRule="auto"/>
        <w:rPr>
          <w:sz w:val="20"/>
          <w:szCs w:val="20"/>
          <w:color w:val="auto"/>
        </w:rPr>
      </w:pPr>
      <w:r>
        <w:rPr>
          <w:rFonts w:ascii="Arial" w:cs="Arial" w:eastAsia="Arial" w:hAnsi="Arial"/>
          <w:sz w:val="13"/>
          <w:szCs w:val="13"/>
          <w:b w:val="1"/>
          <w:bCs w:val="1"/>
          <w:color w:val="auto"/>
        </w:rPr>
        <w:t>President and Chief Executive Officer</w:t>
      </w:r>
    </w:p>
    <w:p>
      <w:pPr>
        <w:jc w:val="center"/>
        <w:ind w:right="-9"/>
        <w:spacing w:after="0" w:line="217" w:lineRule="auto"/>
        <w:rPr>
          <w:sz w:val="20"/>
          <w:szCs w:val="20"/>
          <w:color w:val="auto"/>
        </w:rPr>
      </w:pPr>
      <w:r>
        <w:rPr>
          <w:rFonts w:ascii="Arial" w:cs="Arial" w:eastAsia="Arial" w:hAnsi="Arial"/>
          <w:sz w:val="13"/>
          <w:szCs w:val="13"/>
          <w:b w:val="1"/>
          <w:bCs w:val="1"/>
          <w:color w:val="auto"/>
        </w:rPr>
        <w:t>Ardelyx, Inc.</w:t>
      </w:r>
    </w:p>
    <w:p>
      <w:pPr>
        <w:jc w:val="center"/>
        <w:ind w:right="-9"/>
        <w:spacing w:after="0" w:line="217" w:lineRule="auto"/>
        <w:rPr>
          <w:sz w:val="20"/>
          <w:szCs w:val="20"/>
          <w:color w:val="auto"/>
        </w:rPr>
      </w:pPr>
      <w:r>
        <w:rPr>
          <w:rFonts w:ascii="Arial" w:cs="Arial" w:eastAsia="Arial" w:hAnsi="Arial"/>
          <w:sz w:val="13"/>
          <w:szCs w:val="13"/>
          <w:b w:val="1"/>
          <w:bCs w:val="1"/>
          <w:color w:val="auto"/>
        </w:rPr>
        <w:t>34175 Ardenwood Blvd.</w:t>
      </w:r>
    </w:p>
    <w:p>
      <w:pPr>
        <w:jc w:val="center"/>
        <w:ind w:right="-9"/>
        <w:spacing w:after="0" w:line="216" w:lineRule="auto"/>
        <w:rPr>
          <w:sz w:val="20"/>
          <w:szCs w:val="20"/>
          <w:color w:val="auto"/>
        </w:rPr>
      </w:pPr>
      <w:r>
        <w:rPr>
          <w:rFonts w:ascii="Arial" w:cs="Arial" w:eastAsia="Arial" w:hAnsi="Arial"/>
          <w:sz w:val="13"/>
          <w:szCs w:val="13"/>
          <w:b w:val="1"/>
          <w:bCs w:val="1"/>
          <w:color w:val="auto"/>
        </w:rPr>
        <w:t>Fremont, CA 94555</w:t>
      </w:r>
    </w:p>
    <w:p>
      <w:pPr>
        <w:jc w:val="center"/>
        <w:ind w:right="-9"/>
        <w:spacing w:after="0" w:line="221" w:lineRule="auto"/>
        <w:rPr>
          <w:sz w:val="20"/>
          <w:szCs w:val="20"/>
          <w:color w:val="auto"/>
        </w:rPr>
      </w:pPr>
      <w:r>
        <w:rPr>
          <w:rFonts w:ascii="Arial" w:cs="Arial" w:eastAsia="Arial" w:hAnsi="Arial"/>
          <w:sz w:val="13"/>
          <w:szCs w:val="13"/>
          <w:b w:val="1"/>
          <w:bCs w:val="1"/>
          <w:color w:val="auto"/>
        </w:rPr>
        <w:t>(510) 745-1700</w:t>
      </w:r>
    </w:p>
    <w:p>
      <w:pPr>
        <w:jc w:val="center"/>
        <w:ind w:right="-9"/>
        <w:spacing w:after="0"/>
        <w:rPr>
          <w:sz w:val="20"/>
          <w:szCs w:val="20"/>
          <w:color w:val="auto"/>
        </w:rPr>
      </w:pPr>
      <w:r>
        <w:rPr>
          <w:rFonts w:ascii="Arial" w:cs="Arial" w:eastAsia="Arial" w:hAnsi="Arial"/>
          <w:sz w:val="11"/>
          <w:szCs w:val="1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92075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60" w:lineRule="exact"/>
        <w:rPr>
          <w:sz w:val="24"/>
          <w:szCs w:val="24"/>
          <w:color w:val="auto"/>
        </w:rPr>
      </w:pPr>
    </w:p>
    <w:p>
      <w:pPr>
        <w:jc w:val="center"/>
        <w:ind w:right="-9"/>
        <w:spacing w:after="0"/>
        <w:rPr>
          <w:sz w:val="20"/>
          <w:szCs w:val="20"/>
          <w:color w:val="auto"/>
        </w:rPr>
      </w:pPr>
      <w:r>
        <w:rPr>
          <w:rFonts w:ascii="Arial" w:cs="Arial" w:eastAsia="Arial" w:hAnsi="Arial"/>
          <w:sz w:val="13"/>
          <w:szCs w:val="13"/>
          <w:b w:val="1"/>
          <w:bCs w:val="1"/>
          <w:i w:val="1"/>
          <w:iCs w:val="1"/>
          <w:color w:val="auto"/>
        </w:rPr>
        <w:t>Copies to:</w:t>
      </w:r>
    </w:p>
    <w:p>
      <w:pPr>
        <w:spacing w:after="0" w:line="49" w:lineRule="exact"/>
        <w:rPr>
          <w:sz w:val="24"/>
          <w:szCs w:val="24"/>
          <w:color w:val="auto"/>
        </w:rPr>
      </w:pPr>
    </w:p>
    <w:p>
      <w:pPr>
        <w:jc w:val="center"/>
        <w:ind w:right="-9"/>
        <w:spacing w:after="0"/>
        <w:rPr>
          <w:sz w:val="20"/>
          <w:szCs w:val="20"/>
          <w:color w:val="auto"/>
        </w:rPr>
      </w:pPr>
      <w:r>
        <w:rPr>
          <w:rFonts w:ascii="Arial" w:cs="Arial" w:eastAsia="Arial" w:hAnsi="Arial"/>
          <w:sz w:val="13"/>
          <w:szCs w:val="13"/>
          <w:b w:val="1"/>
          <w:bCs w:val="1"/>
          <w:color w:val="auto"/>
        </w:rPr>
        <w:t>Mark V. Roeder, Esq.</w:t>
      </w:r>
    </w:p>
    <w:p>
      <w:pPr>
        <w:jc w:val="center"/>
        <w:ind w:right="-9"/>
        <w:spacing w:after="0" w:line="216" w:lineRule="auto"/>
        <w:rPr>
          <w:sz w:val="20"/>
          <w:szCs w:val="20"/>
          <w:color w:val="auto"/>
        </w:rPr>
      </w:pPr>
      <w:r>
        <w:rPr>
          <w:rFonts w:ascii="Arial" w:cs="Arial" w:eastAsia="Arial" w:hAnsi="Arial"/>
          <w:sz w:val="13"/>
          <w:szCs w:val="13"/>
          <w:b w:val="1"/>
          <w:bCs w:val="1"/>
          <w:color w:val="auto"/>
        </w:rPr>
        <w:t>Latham &amp; Watkins LLP</w:t>
      </w:r>
    </w:p>
    <w:p>
      <w:pPr>
        <w:jc w:val="center"/>
        <w:ind w:right="-9"/>
        <w:spacing w:after="0" w:line="217" w:lineRule="auto"/>
        <w:rPr>
          <w:sz w:val="20"/>
          <w:szCs w:val="20"/>
          <w:color w:val="auto"/>
        </w:rPr>
      </w:pPr>
      <w:r>
        <w:rPr>
          <w:rFonts w:ascii="Arial" w:cs="Arial" w:eastAsia="Arial" w:hAnsi="Arial"/>
          <w:sz w:val="13"/>
          <w:szCs w:val="13"/>
          <w:b w:val="1"/>
          <w:bCs w:val="1"/>
          <w:color w:val="auto"/>
        </w:rPr>
        <w:t>140 Scott Drive</w:t>
      </w:r>
    </w:p>
    <w:p>
      <w:pPr>
        <w:jc w:val="center"/>
        <w:ind w:right="-9"/>
        <w:spacing w:after="0" w:line="217" w:lineRule="auto"/>
        <w:rPr>
          <w:sz w:val="20"/>
          <w:szCs w:val="20"/>
          <w:color w:val="auto"/>
        </w:rPr>
      </w:pPr>
      <w:r>
        <w:rPr>
          <w:rFonts w:ascii="Arial" w:cs="Arial" w:eastAsia="Arial" w:hAnsi="Arial"/>
          <w:sz w:val="13"/>
          <w:szCs w:val="13"/>
          <w:b w:val="1"/>
          <w:bCs w:val="1"/>
          <w:color w:val="auto"/>
        </w:rPr>
        <w:t>Menlo Park, California 94025</w:t>
      </w:r>
    </w:p>
    <w:p>
      <w:pPr>
        <w:jc w:val="center"/>
        <w:ind w:right="-9"/>
        <w:spacing w:after="0" w:line="216" w:lineRule="auto"/>
        <w:rPr>
          <w:sz w:val="20"/>
          <w:szCs w:val="20"/>
          <w:color w:val="auto"/>
        </w:rPr>
      </w:pPr>
      <w:r>
        <w:rPr>
          <w:rFonts w:ascii="Arial" w:cs="Arial" w:eastAsia="Arial" w:hAnsi="Arial"/>
          <w:sz w:val="13"/>
          <w:szCs w:val="13"/>
          <w:b w:val="1"/>
          <w:bCs w:val="1"/>
          <w:color w:val="auto"/>
        </w:rPr>
        <w:t>Telephone: (650) 328-4600</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13"/>
          <w:szCs w:val="13"/>
          <w:b w:val="1"/>
          <w:bCs w:val="1"/>
          <w:color w:val="auto"/>
        </w:rPr>
        <w:t>Facsimile: (650) 463-2600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87630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53" w:lineRule="exact"/>
        <w:rPr>
          <w:sz w:val="24"/>
          <w:szCs w:val="24"/>
          <w:color w:val="auto"/>
        </w:rPr>
      </w:pPr>
    </w:p>
    <w:p>
      <w:pPr>
        <w:ind w:left="10" w:right="10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10" w:type="dxa"/>
        <w:tblCellMar>
          <w:top w:w="0" w:type="dxa"/>
          <w:left w:w="0" w:type="dxa"/>
          <w:bottom w:w="0" w:type="dxa"/>
          <w:right w:w="0" w:type="dxa"/>
        </w:tblCellMar>
      </w:tblPr>
      <w:tr>
        <w:trPr>
          <w:trHeight w:val="174"/>
        </w:trPr>
        <w:tc>
          <w:tcPr>
            <w:tcW w:w="16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120" w:type="dxa"/>
            <w:vAlign w:val="bottom"/>
          </w:tcPr>
          <w:p>
            <w:pPr>
              <w:ind w:left="5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460" w:type="dxa"/>
            <w:vAlign w:val="bottom"/>
          </w:tcPr>
          <w:p>
            <w:pPr>
              <w:ind w:left="2420"/>
              <w:spacing w:after="0"/>
              <w:rPr>
                <w:sz w:val="20"/>
                <w:szCs w:val="20"/>
                <w:color w:val="auto"/>
              </w:rPr>
            </w:pPr>
            <w:r>
              <w:rPr>
                <w:rFonts w:ascii="Arial" w:cs="Arial" w:eastAsia="Arial" w:hAnsi="Arial"/>
                <w:sz w:val="13"/>
                <w:szCs w:val="13"/>
                <w:color w:val="auto"/>
              </w:rPr>
              <w:t>Accelerated filer</w:t>
            </w:r>
          </w:p>
        </w:tc>
        <w:tc>
          <w:tcPr>
            <w:tcW w:w="820" w:type="dxa"/>
            <w:vAlign w:val="bottom"/>
          </w:tcPr>
          <w:p>
            <w:pPr>
              <w:ind w:left="68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48"/>
        </w:trPr>
        <w:tc>
          <w:tcPr>
            <w:tcW w:w="1680" w:type="dxa"/>
            <w:vAlign w:val="bottom"/>
          </w:tcPr>
          <w:p>
            <w:pPr>
              <w:spacing w:after="0"/>
              <w:rPr>
                <w:sz w:val="20"/>
                <w:szCs w:val="20"/>
                <w:color w:val="auto"/>
              </w:rPr>
            </w:pPr>
            <w:r>
              <w:rPr>
                <w:rFonts w:ascii="Arial" w:cs="Arial" w:eastAsia="Arial" w:hAnsi="Arial"/>
                <w:sz w:val="13"/>
                <w:szCs w:val="13"/>
                <w:color w:val="auto"/>
              </w:rPr>
              <w:t>Non-accelerated filer</w:t>
            </w:r>
          </w:p>
        </w:tc>
        <w:tc>
          <w:tcPr>
            <w:tcW w:w="3120" w:type="dxa"/>
            <w:vAlign w:val="bottom"/>
          </w:tcPr>
          <w:p>
            <w:pPr>
              <w:ind w:left="560"/>
              <w:spacing w:after="0" w:line="149" w:lineRule="exact"/>
              <w:rPr>
                <w:sz w:val="20"/>
                <w:szCs w:val="20"/>
                <w:color w:val="auto"/>
              </w:rPr>
            </w:pPr>
            <w:r>
              <w:rPr>
                <w:rFonts w:ascii="Arial Unicode MS" w:cs="Arial Unicode MS" w:eastAsia="Arial Unicode MS" w:hAnsi="Arial Unicode MS"/>
                <w:sz w:val="13"/>
                <w:szCs w:val="13"/>
                <w:color w:val="auto"/>
              </w:rPr>
              <w:t>⌧</w:t>
            </w:r>
          </w:p>
        </w:tc>
        <w:tc>
          <w:tcPr>
            <w:tcW w:w="4460" w:type="dxa"/>
            <w:vAlign w:val="bottom"/>
          </w:tcPr>
          <w:p>
            <w:pPr>
              <w:ind w:left="2420"/>
              <w:spacing w:after="0"/>
              <w:rPr>
                <w:sz w:val="20"/>
                <w:szCs w:val="20"/>
                <w:color w:val="auto"/>
              </w:rPr>
            </w:pPr>
            <w:r>
              <w:rPr>
                <w:rFonts w:ascii="Arial" w:cs="Arial" w:eastAsia="Arial" w:hAnsi="Arial"/>
                <w:sz w:val="13"/>
                <w:szCs w:val="13"/>
                <w:color w:val="auto"/>
              </w:rPr>
              <w:t>Smaller reporting company</w:t>
            </w:r>
          </w:p>
        </w:tc>
        <w:tc>
          <w:tcPr>
            <w:tcW w:w="820" w:type="dxa"/>
            <w:vAlign w:val="bottom"/>
          </w:tcPr>
          <w:p>
            <w:pPr>
              <w:ind w:left="680"/>
              <w:spacing w:after="0" w:line="149" w:lineRule="exact"/>
              <w:rPr>
                <w:sz w:val="20"/>
                <w:szCs w:val="20"/>
                <w:color w:val="auto"/>
              </w:rPr>
            </w:pPr>
            <w:r>
              <w:rPr>
                <w:rFonts w:ascii="Arial Unicode MS" w:cs="Arial Unicode MS" w:eastAsia="Arial Unicode MS" w:hAnsi="Arial Unicode MS"/>
                <w:sz w:val="13"/>
                <w:szCs w:val="13"/>
                <w:color w:val="auto"/>
                <w:w w:val="91"/>
              </w:rPr>
              <w:t>⌧</w:t>
            </w:r>
          </w:p>
        </w:tc>
      </w:tr>
      <w:tr>
        <w:trPr>
          <w:trHeight w:val="170"/>
        </w:trPr>
        <w:tc>
          <w:tcPr>
            <w:tcW w:w="16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460" w:type="dxa"/>
            <w:vAlign w:val="bottom"/>
          </w:tcPr>
          <w:p>
            <w:pPr>
              <w:ind w:left="2420"/>
              <w:spacing w:after="0"/>
              <w:rPr>
                <w:sz w:val="20"/>
                <w:szCs w:val="20"/>
                <w:color w:val="auto"/>
              </w:rPr>
            </w:pPr>
            <w:r>
              <w:rPr>
                <w:rFonts w:ascii="Arial" w:cs="Arial" w:eastAsia="Arial" w:hAnsi="Arial"/>
                <w:sz w:val="13"/>
                <w:szCs w:val="13"/>
                <w:color w:val="auto"/>
              </w:rPr>
              <w:t>Emerging growth company</w:t>
            </w:r>
          </w:p>
        </w:tc>
        <w:tc>
          <w:tcPr>
            <w:tcW w:w="820" w:type="dxa"/>
            <w:vAlign w:val="bottom"/>
          </w:tcPr>
          <w:p>
            <w:pPr>
              <w:ind w:left="680"/>
              <w:spacing w:after="0" w:line="170" w:lineRule="exact"/>
              <w:rPr>
                <w:sz w:val="20"/>
                <w:szCs w:val="20"/>
                <w:color w:val="auto"/>
              </w:rPr>
            </w:pPr>
            <w:r>
              <w:rPr>
                <w:rFonts w:ascii="Arial Unicode MS" w:cs="Arial Unicode MS" w:eastAsia="Arial Unicode MS" w:hAnsi="Arial Unicode MS"/>
                <w:sz w:val="13"/>
                <w:szCs w:val="13"/>
                <w:color w:val="auto"/>
              </w:rPr>
              <w:t>☐</w:t>
            </w:r>
          </w:p>
        </w:tc>
      </w:tr>
    </w:tbl>
    <w:p>
      <w:pPr>
        <w:ind w:left="10" w:right="380"/>
        <w:spacing w:after="0" w:line="15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104775</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02" w:lineRule="exact"/>
        <w:rPr>
          <w:sz w:val="24"/>
          <w:szCs w:val="24"/>
          <w:color w:val="auto"/>
        </w:rPr>
      </w:pPr>
    </w:p>
    <w:p>
      <w:pPr>
        <w:jc w:val="center"/>
        <w:ind w:right="-9"/>
        <w:spacing w:after="0"/>
        <w:rPr>
          <w:sz w:val="20"/>
          <w:szCs w:val="20"/>
          <w:color w:val="auto"/>
        </w:rPr>
      </w:pPr>
      <w:r>
        <w:rPr>
          <w:rFonts w:ascii="Arial" w:cs="Arial" w:eastAsia="Arial" w:hAnsi="Arial"/>
          <w:sz w:val="13"/>
          <w:szCs w:val="13"/>
          <w:b w:val="1"/>
          <w:bCs w:val="1"/>
          <w:color w:val="auto"/>
        </w:rPr>
        <w:t>CALCULATION OF REGISTRATION FEE</w:t>
      </w:r>
    </w:p>
    <w:p>
      <w:pPr>
        <w:spacing w:after="0" w:line="65" w:lineRule="exact"/>
        <w:rPr>
          <w:sz w:val="24"/>
          <w:szCs w:val="24"/>
          <w:color w:val="auto"/>
        </w:rPr>
      </w:pPr>
    </w:p>
    <w:tbl>
      <w:tblPr>
        <w:tblLayout w:type="fixed"/>
        <w:tblInd w:w="10" w:type="dxa"/>
        <w:tblCellMar>
          <w:top w:w="0" w:type="dxa"/>
          <w:left w:w="0" w:type="dxa"/>
          <w:bottom w:w="0" w:type="dxa"/>
          <w:right w:w="0" w:type="dxa"/>
        </w:tblCellMar>
      </w:tblPr>
      <w:tr>
        <w:trPr>
          <w:trHeight w:val="99"/>
        </w:trPr>
        <w:tc>
          <w:tcPr>
            <w:tcW w:w="20" w:type="dxa"/>
            <w:vAlign w:val="bottom"/>
          </w:tcPr>
          <w:p>
            <w:pPr>
              <w:spacing w:after="0"/>
              <w:rPr>
                <w:sz w:val="8"/>
                <w:szCs w:val="8"/>
                <w:color w:val="auto"/>
              </w:rPr>
            </w:pPr>
          </w:p>
        </w:tc>
        <w:tc>
          <w:tcPr>
            <w:tcW w:w="3660" w:type="dxa"/>
            <w:vAlign w:val="bottom"/>
            <w:tcBorders>
              <w:top w:val="single" w:sz="8" w:color="auto"/>
              <w:right w:val="single" w:sz="8" w:color="auto"/>
            </w:tcBorders>
          </w:tcPr>
          <w:p>
            <w:pPr>
              <w:spacing w:after="0"/>
              <w:rPr>
                <w:sz w:val="8"/>
                <w:szCs w:val="8"/>
                <w:color w:val="auto"/>
              </w:rPr>
            </w:pPr>
          </w:p>
        </w:tc>
        <w:tc>
          <w:tcPr>
            <w:tcW w:w="1680" w:type="dxa"/>
            <w:vAlign w:val="bottom"/>
            <w:tcBorders>
              <w:top w:val="single" w:sz="8" w:color="auto"/>
              <w:right w:val="single" w:sz="8" w:color="auto"/>
            </w:tcBorders>
          </w:tcPr>
          <w:p>
            <w:pPr>
              <w:spacing w:after="0"/>
              <w:rPr>
                <w:sz w:val="8"/>
                <w:szCs w:val="8"/>
                <w:color w:val="auto"/>
              </w:rPr>
            </w:pPr>
          </w:p>
        </w:tc>
        <w:tc>
          <w:tcPr>
            <w:tcW w:w="1580" w:type="dxa"/>
            <w:vAlign w:val="bottom"/>
            <w:tcBorders>
              <w:top w:val="single" w:sz="8" w:color="auto"/>
              <w:right w:val="single" w:sz="8" w:color="auto"/>
            </w:tcBorders>
          </w:tcPr>
          <w:p>
            <w:pPr>
              <w:jc w:val="center"/>
              <w:ind w:right="7"/>
              <w:spacing w:after="0" w:line="99" w:lineRule="exact"/>
              <w:rPr>
                <w:sz w:val="20"/>
                <w:szCs w:val="20"/>
                <w:color w:val="auto"/>
              </w:rPr>
            </w:pPr>
            <w:r>
              <w:rPr>
                <w:rFonts w:ascii="Arial" w:cs="Arial" w:eastAsia="Arial" w:hAnsi="Arial"/>
                <w:sz w:val="9"/>
                <w:szCs w:val="9"/>
                <w:b w:val="1"/>
                <w:bCs w:val="1"/>
                <w:color w:val="auto"/>
                <w:w w:val="86"/>
              </w:rPr>
              <w:t>Proposed</w:t>
            </w:r>
          </w:p>
        </w:tc>
        <w:tc>
          <w:tcPr>
            <w:tcW w:w="1680" w:type="dxa"/>
            <w:vAlign w:val="bottom"/>
            <w:tcBorders>
              <w:top w:val="single" w:sz="8" w:color="auto"/>
              <w:right w:val="single" w:sz="8" w:color="auto"/>
            </w:tcBorders>
          </w:tcPr>
          <w:p>
            <w:pPr>
              <w:jc w:val="center"/>
              <w:spacing w:after="0" w:line="99" w:lineRule="exact"/>
              <w:rPr>
                <w:sz w:val="20"/>
                <w:szCs w:val="20"/>
                <w:color w:val="auto"/>
              </w:rPr>
            </w:pPr>
            <w:r>
              <w:rPr>
                <w:rFonts w:ascii="Arial" w:cs="Arial" w:eastAsia="Arial" w:hAnsi="Arial"/>
                <w:sz w:val="9"/>
                <w:szCs w:val="9"/>
                <w:b w:val="1"/>
                <w:bCs w:val="1"/>
                <w:color w:val="auto"/>
                <w:w w:val="86"/>
              </w:rPr>
              <w:t>Proposed</w:t>
            </w:r>
          </w:p>
        </w:tc>
        <w:tc>
          <w:tcPr>
            <w:tcW w:w="1600" w:type="dxa"/>
            <w:vAlign w:val="bottom"/>
            <w:tcBorders>
              <w:top w:val="single" w:sz="8" w:color="auto"/>
            </w:tcBorders>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366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b w:val="1"/>
                <w:bCs w:val="1"/>
                <w:color w:val="auto"/>
                <w:w w:val="93"/>
              </w:rPr>
              <w:t>Amount</w:t>
            </w:r>
          </w:p>
        </w:tc>
        <w:tc>
          <w:tcPr>
            <w:tcW w:w="1580" w:type="dxa"/>
            <w:vAlign w:val="bottom"/>
            <w:tcBorders>
              <w:right w:val="single" w:sz="8" w:color="auto"/>
            </w:tcBorders>
          </w:tcPr>
          <w:p>
            <w:pPr>
              <w:jc w:val="center"/>
              <w:ind w:right="7"/>
              <w:spacing w:after="0" w:line="95" w:lineRule="exact"/>
              <w:rPr>
                <w:sz w:val="20"/>
                <w:szCs w:val="20"/>
                <w:color w:val="auto"/>
              </w:rPr>
            </w:pPr>
            <w:r>
              <w:rPr>
                <w:rFonts w:ascii="Arial" w:cs="Arial" w:eastAsia="Arial" w:hAnsi="Arial"/>
                <w:sz w:val="9"/>
                <w:szCs w:val="9"/>
                <w:b w:val="1"/>
                <w:bCs w:val="1"/>
                <w:color w:val="auto"/>
                <w:w w:val="96"/>
              </w:rPr>
              <w:t>Maximum</w:t>
            </w:r>
          </w:p>
        </w:tc>
        <w:tc>
          <w:tcPr>
            <w:tcW w:w="168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b w:val="1"/>
                <w:bCs w:val="1"/>
                <w:color w:val="auto"/>
                <w:w w:val="96"/>
              </w:rPr>
              <w:t>Maximum</w:t>
            </w:r>
          </w:p>
        </w:tc>
        <w:tc>
          <w:tcPr>
            <w:tcW w:w="1600" w:type="dxa"/>
            <w:vAlign w:val="bottom"/>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3660" w:type="dxa"/>
            <w:vAlign w:val="bottom"/>
            <w:tcBorders>
              <w:right w:val="single" w:sz="8" w:color="auto"/>
            </w:tcBorders>
          </w:tcPr>
          <w:p>
            <w:pPr>
              <w:jc w:val="center"/>
              <w:ind w:right="9"/>
              <w:spacing w:after="0" w:line="95" w:lineRule="exact"/>
              <w:rPr>
                <w:sz w:val="20"/>
                <w:szCs w:val="20"/>
                <w:color w:val="auto"/>
              </w:rPr>
            </w:pPr>
            <w:r>
              <w:rPr>
                <w:rFonts w:ascii="Arial" w:cs="Arial" w:eastAsia="Arial" w:hAnsi="Arial"/>
                <w:sz w:val="9"/>
                <w:szCs w:val="9"/>
                <w:b w:val="1"/>
                <w:bCs w:val="1"/>
                <w:color w:val="auto"/>
                <w:w w:val="90"/>
              </w:rPr>
              <w:t>Title of Securities</w:t>
            </w:r>
          </w:p>
        </w:tc>
        <w:tc>
          <w:tcPr>
            <w:tcW w:w="168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b w:val="1"/>
                <w:bCs w:val="1"/>
                <w:color w:val="auto"/>
                <w:w w:val="92"/>
              </w:rPr>
              <w:t>to be</w:t>
            </w:r>
          </w:p>
        </w:tc>
        <w:tc>
          <w:tcPr>
            <w:tcW w:w="1580" w:type="dxa"/>
            <w:vAlign w:val="bottom"/>
            <w:tcBorders>
              <w:right w:val="single" w:sz="8" w:color="auto"/>
            </w:tcBorders>
          </w:tcPr>
          <w:p>
            <w:pPr>
              <w:jc w:val="center"/>
              <w:ind w:right="7"/>
              <w:spacing w:after="0" w:line="95" w:lineRule="exact"/>
              <w:rPr>
                <w:sz w:val="20"/>
                <w:szCs w:val="20"/>
                <w:color w:val="auto"/>
              </w:rPr>
            </w:pPr>
            <w:r>
              <w:rPr>
                <w:rFonts w:ascii="Arial" w:cs="Arial" w:eastAsia="Arial" w:hAnsi="Arial"/>
                <w:sz w:val="9"/>
                <w:szCs w:val="9"/>
                <w:b w:val="1"/>
                <w:bCs w:val="1"/>
                <w:color w:val="auto"/>
                <w:w w:val="94"/>
              </w:rPr>
              <w:t>Offering Price</w:t>
            </w:r>
          </w:p>
        </w:tc>
        <w:tc>
          <w:tcPr>
            <w:tcW w:w="168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b w:val="1"/>
                <w:bCs w:val="1"/>
                <w:color w:val="auto"/>
                <w:w w:val="89"/>
              </w:rPr>
              <w:t>Aggregate</w:t>
            </w:r>
          </w:p>
        </w:tc>
        <w:tc>
          <w:tcPr>
            <w:tcW w:w="16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3"/>
              </w:rPr>
              <w:t>Amount of</w:t>
            </w:r>
          </w:p>
        </w:tc>
      </w:tr>
      <w:tr>
        <w:trPr>
          <w:trHeight w:val="104"/>
        </w:trPr>
        <w:tc>
          <w:tcPr>
            <w:tcW w:w="20" w:type="dxa"/>
            <w:vAlign w:val="bottom"/>
          </w:tcPr>
          <w:p>
            <w:pPr>
              <w:spacing w:after="0"/>
              <w:rPr>
                <w:sz w:val="9"/>
                <w:szCs w:val="9"/>
                <w:color w:val="auto"/>
              </w:rPr>
            </w:pP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b w:val="1"/>
                <w:bCs w:val="1"/>
                <w:color w:val="auto"/>
                <w:w w:val="87"/>
              </w:rPr>
              <w:t>to be Registered</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b w:val="1"/>
                <w:bCs w:val="1"/>
                <w:color w:val="auto"/>
                <w:w w:val="90"/>
              </w:rPr>
              <w:t>Registered(1)</w:t>
            </w:r>
          </w:p>
        </w:tc>
        <w:tc>
          <w:tcPr>
            <w:tcW w:w="158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9"/>
                <w:szCs w:val="9"/>
                <w:b w:val="1"/>
                <w:bCs w:val="1"/>
                <w:color w:val="auto"/>
                <w:w w:val="90"/>
              </w:rPr>
              <w:t>Per Share(2)</w:t>
            </w:r>
          </w:p>
        </w:tc>
        <w:tc>
          <w:tcPr>
            <w:tcW w:w="1680" w:type="dxa"/>
            <w:vAlign w:val="bottom"/>
            <w:tcBorders>
              <w:bottom w:val="single" w:sz="8" w:color="auto"/>
              <w:right w:val="single" w:sz="8" w:color="auto"/>
            </w:tcBorders>
          </w:tcPr>
          <w:p>
            <w:pPr>
              <w:jc w:val="center"/>
              <w:ind w:right="6"/>
              <w:spacing w:after="0"/>
              <w:rPr>
                <w:sz w:val="20"/>
                <w:szCs w:val="20"/>
                <w:color w:val="auto"/>
              </w:rPr>
            </w:pPr>
            <w:r>
              <w:rPr>
                <w:rFonts w:ascii="Arial" w:cs="Arial" w:eastAsia="Arial" w:hAnsi="Arial"/>
                <w:sz w:val="9"/>
                <w:szCs w:val="9"/>
                <w:b w:val="1"/>
                <w:bCs w:val="1"/>
                <w:color w:val="auto"/>
                <w:w w:val="93"/>
              </w:rPr>
              <w:t>Offering Price(2)</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7"/>
              </w:rPr>
              <w:t>Registration Fee</w:t>
            </w:r>
          </w:p>
        </w:tc>
      </w:tr>
      <w:tr>
        <w:trPr>
          <w:trHeight w:val="129"/>
        </w:trPr>
        <w:tc>
          <w:tcPr>
            <w:tcW w:w="20" w:type="dxa"/>
            <w:vAlign w:val="bottom"/>
            <w:tcBorders>
              <w:bottom w:val="single" w:sz="8" w:color="auto"/>
            </w:tcBorders>
          </w:tcPr>
          <w:p>
            <w:pPr>
              <w:spacing w:after="0"/>
              <w:rPr>
                <w:sz w:val="11"/>
                <w:szCs w:val="11"/>
                <w:color w:val="auto"/>
              </w:rPr>
            </w:pPr>
          </w:p>
        </w:tc>
        <w:tc>
          <w:tcPr>
            <w:tcW w:w="366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Common Stock, par value $0.0001 per share</w:t>
            </w:r>
          </w:p>
        </w:tc>
        <w:tc>
          <w:tcPr>
            <w:tcW w:w="16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0"/>
                <w:szCs w:val="10"/>
                <w:color w:val="auto"/>
              </w:rPr>
              <w:t>3,743,999 shares</w:t>
            </w:r>
            <w:r>
              <w:rPr>
                <w:rFonts w:ascii="Arial" w:cs="Arial" w:eastAsia="Arial" w:hAnsi="Arial"/>
                <w:sz w:val="14"/>
                <w:szCs w:val="14"/>
                <w:color w:val="auto"/>
                <w:vertAlign w:val="superscript"/>
              </w:rPr>
              <w:t>(3)</w:t>
            </w:r>
          </w:p>
        </w:tc>
        <w:tc>
          <w:tcPr>
            <w:tcW w:w="1580" w:type="dxa"/>
            <w:vAlign w:val="bottom"/>
            <w:tcBorders>
              <w:bottom w:val="single" w:sz="8" w:color="auto"/>
              <w:right w:val="single" w:sz="8" w:color="auto"/>
            </w:tcBorders>
          </w:tcPr>
          <w:p>
            <w:pPr>
              <w:jc w:val="center"/>
              <w:ind w:right="7"/>
              <w:spacing w:after="0" w:line="129" w:lineRule="exact"/>
              <w:rPr>
                <w:sz w:val="20"/>
                <w:szCs w:val="20"/>
                <w:color w:val="auto"/>
              </w:rPr>
            </w:pPr>
            <w:r>
              <w:rPr>
                <w:rFonts w:ascii="Arial" w:cs="Arial" w:eastAsia="Arial" w:hAnsi="Arial"/>
                <w:sz w:val="13"/>
                <w:szCs w:val="13"/>
                <w:color w:val="auto"/>
                <w:w w:val="85"/>
              </w:rPr>
              <w:t>$6.38</w:t>
            </w:r>
          </w:p>
        </w:tc>
        <w:tc>
          <w:tcPr>
            <w:tcW w:w="16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$23,886,713.62</w:t>
            </w:r>
          </w:p>
        </w:tc>
        <w:tc>
          <w:tcPr>
            <w:tcW w:w="16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$2,606.04</w:t>
            </w:r>
          </w:p>
        </w:tc>
      </w:tr>
      <w:tr>
        <w:trPr>
          <w:trHeight w:val="128"/>
        </w:trPr>
        <w:tc>
          <w:tcPr>
            <w:tcW w:w="3680" w:type="dxa"/>
            <w:vAlign w:val="bottom"/>
            <w:tcBorders>
              <w:bottom w:val="single" w:sz="8" w:color="auto"/>
              <w:right w:val="single" w:sz="8" w:color="auto"/>
            </w:tcBorders>
            <w:gridSpan w:val="2"/>
          </w:tcPr>
          <w:p>
            <w:pPr>
              <w:spacing w:after="0" w:line="129" w:lineRule="exact"/>
              <w:rPr>
                <w:sz w:val="20"/>
                <w:szCs w:val="20"/>
                <w:color w:val="auto"/>
              </w:rPr>
            </w:pPr>
            <w:r>
              <w:rPr>
                <w:rFonts w:ascii="Arial" w:cs="Arial" w:eastAsia="Arial" w:hAnsi="Arial"/>
                <w:sz w:val="13"/>
                <w:szCs w:val="13"/>
                <w:color w:val="auto"/>
              </w:rPr>
              <w:t>Common Stock, par value $0.0001 per share</w:t>
            </w:r>
          </w:p>
        </w:tc>
        <w:tc>
          <w:tcPr>
            <w:tcW w:w="1680" w:type="dxa"/>
            <w:vAlign w:val="bottom"/>
            <w:tcBorders>
              <w:bottom w:val="single" w:sz="8" w:color="auto"/>
              <w:right w:val="single" w:sz="8" w:color="auto"/>
            </w:tcBorders>
          </w:tcPr>
          <w:p>
            <w:pPr>
              <w:jc w:val="center"/>
              <w:ind w:right="10"/>
              <w:spacing w:after="0" w:line="129" w:lineRule="exact"/>
              <w:rPr>
                <w:sz w:val="20"/>
                <w:szCs w:val="20"/>
                <w:color w:val="auto"/>
              </w:rPr>
            </w:pPr>
            <w:r>
              <w:rPr>
                <w:rFonts w:ascii="Arial" w:cs="Arial" w:eastAsia="Arial" w:hAnsi="Arial"/>
                <w:sz w:val="10"/>
                <w:szCs w:val="10"/>
                <w:color w:val="auto"/>
              </w:rPr>
              <w:t>935,999 shares</w:t>
            </w:r>
            <w:r>
              <w:rPr>
                <w:rFonts w:ascii="Arial" w:cs="Arial" w:eastAsia="Arial" w:hAnsi="Arial"/>
                <w:sz w:val="14"/>
                <w:szCs w:val="14"/>
                <w:color w:val="auto"/>
                <w:vertAlign w:val="superscript"/>
              </w:rPr>
              <w:t>(4)</w:t>
            </w:r>
          </w:p>
        </w:tc>
        <w:tc>
          <w:tcPr>
            <w:tcW w:w="1580" w:type="dxa"/>
            <w:vAlign w:val="bottom"/>
            <w:tcBorders>
              <w:bottom w:val="single" w:sz="8" w:color="auto"/>
              <w:right w:val="single" w:sz="8" w:color="auto"/>
            </w:tcBorders>
          </w:tcPr>
          <w:p>
            <w:pPr>
              <w:jc w:val="center"/>
              <w:ind w:right="7"/>
              <w:spacing w:after="0" w:line="129" w:lineRule="exact"/>
              <w:rPr>
                <w:sz w:val="20"/>
                <w:szCs w:val="20"/>
                <w:color w:val="auto"/>
              </w:rPr>
            </w:pPr>
            <w:r>
              <w:rPr>
                <w:rFonts w:ascii="Arial" w:cs="Arial" w:eastAsia="Arial" w:hAnsi="Arial"/>
                <w:sz w:val="13"/>
                <w:szCs w:val="13"/>
                <w:color w:val="auto"/>
                <w:w w:val="85"/>
              </w:rPr>
              <w:t>$6.38</w:t>
            </w:r>
          </w:p>
        </w:tc>
        <w:tc>
          <w:tcPr>
            <w:tcW w:w="16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$5,971,673.62</w:t>
            </w:r>
          </w:p>
        </w:tc>
        <w:tc>
          <w:tcPr>
            <w:tcW w:w="16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$651.51</w:t>
            </w:r>
          </w:p>
        </w:tc>
      </w:tr>
      <w:tr>
        <w:trPr>
          <w:trHeight w:val="128"/>
        </w:trPr>
        <w:tc>
          <w:tcPr>
            <w:tcW w:w="3680" w:type="dxa"/>
            <w:vAlign w:val="bottom"/>
            <w:tcBorders>
              <w:bottom w:val="single" w:sz="8" w:color="auto"/>
              <w:right w:val="single" w:sz="8" w:color="auto"/>
            </w:tcBorders>
            <w:gridSpan w:val="2"/>
          </w:tcPr>
          <w:p>
            <w:pPr>
              <w:spacing w:after="0" w:line="129" w:lineRule="exact"/>
              <w:rPr>
                <w:sz w:val="20"/>
                <w:szCs w:val="20"/>
                <w:color w:val="auto"/>
              </w:rPr>
            </w:pPr>
            <w:r>
              <w:rPr>
                <w:rFonts w:ascii="Arial" w:cs="Arial" w:eastAsia="Arial" w:hAnsi="Arial"/>
                <w:sz w:val="13"/>
                <w:szCs w:val="13"/>
                <w:color w:val="auto"/>
              </w:rPr>
              <w:t>Common Stock, par value $0.0001 per share</w:t>
            </w:r>
          </w:p>
        </w:tc>
        <w:tc>
          <w:tcPr>
            <w:tcW w:w="1680" w:type="dxa"/>
            <w:vAlign w:val="bottom"/>
            <w:tcBorders>
              <w:bottom w:val="single" w:sz="8" w:color="auto"/>
              <w:right w:val="single" w:sz="8" w:color="auto"/>
            </w:tcBorders>
          </w:tcPr>
          <w:p>
            <w:pPr>
              <w:jc w:val="center"/>
              <w:ind w:right="10"/>
              <w:spacing w:after="0" w:line="129" w:lineRule="exact"/>
              <w:rPr>
                <w:sz w:val="20"/>
                <w:szCs w:val="20"/>
                <w:color w:val="auto"/>
              </w:rPr>
            </w:pPr>
            <w:r>
              <w:rPr>
                <w:rFonts w:ascii="Arial" w:cs="Arial" w:eastAsia="Arial" w:hAnsi="Arial"/>
                <w:sz w:val="10"/>
                <w:szCs w:val="10"/>
                <w:color w:val="auto"/>
              </w:rPr>
              <w:t>457,767 shares</w:t>
            </w:r>
            <w:r>
              <w:rPr>
                <w:rFonts w:ascii="Arial" w:cs="Arial" w:eastAsia="Arial" w:hAnsi="Arial"/>
                <w:sz w:val="14"/>
                <w:szCs w:val="14"/>
                <w:color w:val="auto"/>
                <w:vertAlign w:val="superscript"/>
              </w:rPr>
              <w:t>(5)</w:t>
            </w:r>
          </w:p>
        </w:tc>
        <w:tc>
          <w:tcPr>
            <w:tcW w:w="1580" w:type="dxa"/>
            <w:vAlign w:val="bottom"/>
            <w:tcBorders>
              <w:bottom w:val="single" w:sz="8" w:color="auto"/>
              <w:right w:val="single" w:sz="8" w:color="auto"/>
            </w:tcBorders>
          </w:tcPr>
          <w:p>
            <w:pPr>
              <w:jc w:val="center"/>
              <w:ind w:right="7"/>
              <w:spacing w:after="0" w:line="129" w:lineRule="exact"/>
              <w:rPr>
                <w:sz w:val="20"/>
                <w:szCs w:val="20"/>
                <w:color w:val="auto"/>
              </w:rPr>
            </w:pPr>
            <w:r>
              <w:rPr>
                <w:rFonts w:ascii="Arial" w:cs="Arial" w:eastAsia="Arial" w:hAnsi="Arial"/>
                <w:sz w:val="13"/>
                <w:szCs w:val="13"/>
                <w:color w:val="auto"/>
                <w:w w:val="85"/>
              </w:rPr>
              <w:t>$6.38</w:t>
            </w:r>
          </w:p>
        </w:tc>
        <w:tc>
          <w:tcPr>
            <w:tcW w:w="16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$2,920,553.46</w:t>
            </w:r>
          </w:p>
        </w:tc>
        <w:tc>
          <w:tcPr>
            <w:tcW w:w="16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$318.63</w:t>
            </w:r>
          </w:p>
        </w:tc>
      </w:tr>
      <w:tr>
        <w:trPr>
          <w:trHeight w:val="129"/>
        </w:trPr>
        <w:tc>
          <w:tcPr>
            <w:tcW w:w="3680" w:type="dxa"/>
            <w:vAlign w:val="bottom"/>
            <w:tcBorders>
              <w:bottom w:val="single" w:sz="8" w:color="auto"/>
              <w:right w:val="single" w:sz="8" w:color="auto"/>
            </w:tcBorders>
            <w:gridSpan w:val="2"/>
          </w:tcPr>
          <w:p>
            <w:pPr>
              <w:spacing w:after="0" w:line="129" w:lineRule="exact"/>
              <w:rPr>
                <w:sz w:val="20"/>
                <w:szCs w:val="20"/>
                <w:color w:val="auto"/>
              </w:rPr>
            </w:pPr>
            <w:r>
              <w:rPr>
                <w:rFonts w:ascii="Arial" w:cs="Arial" w:eastAsia="Arial" w:hAnsi="Arial"/>
                <w:sz w:val="13"/>
                <w:szCs w:val="13"/>
                <w:color w:val="auto"/>
              </w:rPr>
              <w:t>Total:</w:t>
            </w:r>
          </w:p>
        </w:tc>
        <w:tc>
          <w:tcPr>
            <w:tcW w:w="16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3"/>
              </w:rPr>
              <w:t>5,137,765 shares</w:t>
            </w:r>
          </w:p>
        </w:tc>
        <w:tc>
          <w:tcPr>
            <w:tcW w:w="158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$32,778,940.70</w:t>
            </w:r>
          </w:p>
        </w:tc>
        <w:tc>
          <w:tcPr>
            <w:tcW w:w="16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$3,576.18</w:t>
            </w:r>
          </w:p>
        </w:tc>
      </w:tr>
      <w:tr>
        <w:trPr>
          <w:trHeight w:val="20"/>
        </w:trPr>
        <w:tc>
          <w:tcPr>
            <w:tcW w:w="20" w:type="dxa"/>
            <w:vAlign w:val="bottom"/>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7" w:lineRule="exact"/>
        <w:rPr>
          <w:sz w:val="24"/>
          <w:szCs w:val="24"/>
          <w:color w:val="auto"/>
        </w:rPr>
      </w:pPr>
    </w:p>
    <w:p>
      <w:pPr>
        <w:ind w:left="410" w:right="80" w:hanging="410"/>
        <w:spacing w:after="0" w:line="220" w:lineRule="auto"/>
        <w:tabs>
          <w:tab w:leader="none" w:pos="41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416(a) under the Securities Act of 1933, as amended (the “Securities Act”), this registration statement shall also cover any additional shares of the Registrant’s common stock that become issuable under the 2014 Equity Incentive Award Plan (the “2014 Plan”), the 2014 Employee Stock Purchase Plan (the “ESPP”) or the 2016 Employment Commencement Incentive Plan by reason of any stock dividend, stock split, recapitalization or similar transaction effected without the Registrant’s receipt of consideration which would increase the number of outstanding shares of common stock.</w:t>
      </w:r>
    </w:p>
    <w:p>
      <w:pPr>
        <w:spacing w:after="0" w:line="1" w:lineRule="exact"/>
        <w:rPr>
          <w:rFonts w:ascii="Arial" w:cs="Arial" w:eastAsia="Arial" w:hAnsi="Arial"/>
          <w:sz w:val="13"/>
          <w:szCs w:val="13"/>
          <w:color w:val="auto"/>
        </w:rPr>
      </w:pPr>
    </w:p>
    <w:p>
      <w:pPr>
        <w:ind w:left="410" w:right="60" w:hanging="410"/>
        <w:spacing w:after="0" w:line="216" w:lineRule="auto"/>
        <w:tabs>
          <w:tab w:leader="none" w:pos="41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amount of the registration fee pursuant to Rule 457(h) and Rule 457(c) promulgated under the Securities Act. The proposed maximum offering price per share and the proposed maximum aggregate offering price for shares reserved for future issuance under the 2014 Plan are based on the average of the high and the low price of Registrant’s Common Stock as reported on The Nasdaq Global Market on March 10, 2021.</w:t>
      </w:r>
    </w:p>
    <w:p>
      <w:pPr>
        <w:spacing w:after="0" w:line="1" w:lineRule="exact"/>
        <w:rPr>
          <w:rFonts w:ascii="Arial" w:cs="Arial" w:eastAsia="Arial" w:hAnsi="Arial"/>
          <w:sz w:val="13"/>
          <w:szCs w:val="13"/>
          <w:color w:val="auto"/>
        </w:rPr>
      </w:pPr>
    </w:p>
    <w:p>
      <w:pPr>
        <w:ind w:left="410" w:hanging="410"/>
        <w:spacing w:after="0" w:line="216" w:lineRule="auto"/>
        <w:tabs>
          <w:tab w:leader="none" w:pos="41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the shares of the Registrant’s common stock issuable under the 2014 Plan resulting from an annual increase as of January 1, 2021.</w:t>
      </w:r>
    </w:p>
    <w:p>
      <w:pPr>
        <w:ind w:left="410" w:hanging="410"/>
        <w:spacing w:after="0" w:line="216" w:lineRule="auto"/>
        <w:tabs>
          <w:tab w:leader="none" w:pos="41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the shares of the Registrant’s common stock issuable under the ESPP resulting from an annual increase as of January 1, 2021.</w:t>
      </w:r>
    </w:p>
    <w:p>
      <w:pPr>
        <w:ind w:left="410" w:hanging="410"/>
        <w:spacing w:after="0"/>
        <w:tabs>
          <w:tab w:leader="none" w:pos="41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Represents the shares of the Registrant’s common stock issuable under the 2016 Employment Commencement Incentive Plan resulting from an annual increase as of January 1, 2021.</w:t>
      </w:r>
    </w:p>
    <w:p>
      <w:pPr>
        <w:spacing w:after="0" w:line="51" w:lineRule="exact"/>
        <w:rPr>
          <w:sz w:val="24"/>
          <w:szCs w:val="24"/>
          <w:color w:val="auto"/>
        </w:rPr>
      </w:pPr>
    </w:p>
    <w:p>
      <w:pPr>
        <w:jc w:val="center"/>
        <w:ind w:left="840" w:right="320"/>
        <w:spacing w:after="0"/>
        <w:rPr>
          <w:sz w:val="20"/>
          <w:szCs w:val="20"/>
          <w:color w:val="auto"/>
        </w:rPr>
      </w:pPr>
      <w:r>
        <w:rPr>
          <w:rFonts w:ascii="Arial" w:cs="Arial" w:eastAsia="Arial" w:hAnsi="Arial"/>
          <w:sz w:val="13"/>
          <w:szCs w:val="13"/>
          <w:b w:val="1"/>
          <w:bCs w:val="1"/>
          <w:color w:val="auto"/>
        </w:rPr>
        <w:t>This registration statement will become effective upon filing in accordance with Rule 462 under the Securities Act. Proposed sale to take place as soon after the effective date of the registration statement as awards under the plans are exercised and/or vest.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601980</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53340</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87630</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REGISTRATION OF ADDITIONAL SECURITIES</w:t>
      </w:r>
    </w:p>
    <w:p>
      <w:pPr>
        <w:spacing w:after="0" w:line="229" w:lineRule="exact"/>
        <w:rPr>
          <w:sz w:val="20"/>
          <w:szCs w:val="20"/>
          <w:color w:val="auto"/>
        </w:rPr>
      </w:pPr>
    </w:p>
    <w:p>
      <w:pPr>
        <w:ind w:left="60" w:right="99"/>
        <w:spacing w:after="0" w:line="218" w:lineRule="exact"/>
        <w:rPr>
          <w:rFonts w:ascii="Arial" w:cs="Arial" w:eastAsia="Arial" w:hAnsi="Arial"/>
          <w:sz w:val="17"/>
          <w:szCs w:val="17"/>
          <w:color w:val="0000EE"/>
        </w:rPr>
      </w:pPr>
      <w:hyperlink r:id="rId19">
        <w:r>
          <w:rPr>
            <w:rFonts w:ascii="Arial" w:cs="Arial" w:eastAsia="Arial" w:hAnsi="Arial"/>
            <w:sz w:val="17"/>
            <w:szCs w:val="17"/>
            <w:color w:val="auto"/>
          </w:rPr>
          <w:t xml:space="preserve">By a registration statement on </w:t>
        </w:r>
        <w:r>
          <w:rPr>
            <w:rFonts w:ascii="Arial" w:cs="Arial" w:eastAsia="Arial" w:hAnsi="Arial"/>
            <w:sz w:val="17"/>
            <w:szCs w:val="17"/>
            <w:u w:val="single" w:color="auto"/>
            <w:color w:val="0000EE"/>
          </w:rPr>
          <w:t>Form S</w:t>
        </w:r>
        <w:r>
          <w:rPr>
            <w:rFonts w:ascii="MS PGothic" w:cs="MS PGothic" w:eastAsia="MS PGothic" w:hAnsi="MS PGothic"/>
            <w:sz w:val="17"/>
            <w:szCs w:val="17"/>
            <w:u w:val="single" w:color="auto"/>
            <w:color w:val="0000EE"/>
          </w:rPr>
          <w:t>‑</w:t>
        </w:r>
        <w:r>
          <w:rPr>
            <w:rFonts w:ascii="Arial" w:cs="Arial" w:eastAsia="Arial" w:hAnsi="Arial"/>
            <w:sz w:val="17"/>
            <w:szCs w:val="17"/>
            <w:u w:val="single" w:color="auto"/>
            <w:color w:val="0000EE"/>
          </w:rPr>
          <w:t>8 filed with the Securities and Exchange Commission (the “SEC”) on July 14, 2014,</w:t>
        </w:r>
      </w:hyperlink>
      <w:r>
        <w:rPr>
          <w:rFonts w:ascii="Arial" w:cs="Arial" w:eastAsia="Arial" w:hAnsi="Arial"/>
          <w:sz w:val="17"/>
          <w:szCs w:val="17"/>
          <w:color w:val="auto"/>
        </w:rPr>
        <w:t xml:space="preserve"> </w:t>
      </w:r>
      <w:hyperlink r:id="rId19">
        <w:r>
          <w:rPr>
            <w:rFonts w:ascii="Arial" w:cs="Arial" w:eastAsia="Arial" w:hAnsi="Arial"/>
            <w:sz w:val="17"/>
            <w:szCs w:val="17"/>
            <w:u w:val="single" w:color="auto"/>
            <w:color w:val="0000EE"/>
          </w:rPr>
          <w:t>File No. 333</w:t>
        </w:r>
        <w:r>
          <w:rPr>
            <w:rFonts w:ascii="MS PGothic" w:cs="MS PGothic" w:eastAsia="MS PGothic" w:hAnsi="MS PGothic"/>
            <w:sz w:val="17"/>
            <w:szCs w:val="17"/>
            <w:u w:val="single" w:color="auto"/>
            <w:color w:val="0000EE"/>
          </w:rPr>
          <w:t>‑</w:t>
        </w:r>
        <w:r>
          <w:rPr>
            <w:rFonts w:ascii="Arial" w:cs="Arial" w:eastAsia="Arial" w:hAnsi="Arial"/>
            <w:sz w:val="17"/>
            <w:szCs w:val="17"/>
            <w:u w:val="single" w:color="auto"/>
            <w:color w:val="0000EE"/>
          </w:rPr>
          <w:t>197408</w:t>
        </w:r>
        <w:r>
          <w:rPr>
            <w:rFonts w:ascii="Arial" w:cs="Arial" w:eastAsia="Arial" w:hAnsi="Arial"/>
            <w:sz w:val="17"/>
            <w:szCs w:val="17"/>
            <w:color w:val="0000EE"/>
          </w:rPr>
          <w:t xml:space="preserve"> </w:t>
        </w:r>
        <w:r>
          <w:rPr>
            <w:rFonts w:ascii="Arial" w:cs="Arial" w:eastAsia="Arial" w:hAnsi="Arial"/>
            <w:sz w:val="17"/>
            <w:szCs w:val="17"/>
            <w:color w:val="000000"/>
          </w:rPr>
          <w:t>(the “Original Registration Statement”), Ardelyx, Inc. (the “Registrant”) registered 1,646,134 shares</w:t>
        </w:r>
      </w:hyperlink>
      <w:r>
        <w:rPr>
          <w:rFonts w:ascii="Arial" w:cs="Arial" w:eastAsia="Arial" w:hAnsi="Arial"/>
          <w:sz w:val="17"/>
          <w:szCs w:val="17"/>
          <w:color w:val="0000EE"/>
        </w:rPr>
        <w:t xml:space="preserve"> </w:t>
      </w:r>
      <w:r>
        <w:rPr>
          <w:rFonts w:ascii="Arial" w:cs="Arial" w:eastAsia="Arial" w:hAnsi="Arial"/>
          <w:sz w:val="17"/>
          <w:szCs w:val="17"/>
          <w:color w:val="000000"/>
        </w:rPr>
        <w:t>of common stock, par value $0.0001 per share (the “Common Stock”) issuable under the Ardelyx, Inc. 2014 Equity Incentive Award Plan (the “2014 Plan”) and 202,762 shares of Common Stock issuable under the Ardelyx, Inc. 2014 Employee Stock Purchase Plan (the “ESPP”). The Original Registration Statement also registered 880,497 shares of Common Stock issuable under the Ardelyx, Inc. 2008 Stock Incentive Plan, as amended (the “2008 Plan”), which shares become available for issuance under the 2014 Plan to the extent awards under the 2008 Plan are forfeited or lapse unexercised and are not issued under the 2008 Plan.</w:t>
      </w:r>
    </w:p>
    <w:p>
      <w:pPr>
        <w:spacing w:after="0" w:line="204" w:lineRule="exact"/>
        <w:rPr>
          <w:sz w:val="20"/>
          <w:szCs w:val="20"/>
          <w:color w:val="auto"/>
        </w:rPr>
      </w:pPr>
    </w:p>
    <w:p>
      <w:pPr>
        <w:ind w:left="60" w:right="79"/>
        <w:spacing w:after="0" w:line="220" w:lineRule="exact"/>
        <w:rPr>
          <w:rFonts w:ascii="Arial" w:cs="Arial" w:eastAsia="Arial" w:hAnsi="Arial"/>
          <w:sz w:val="18"/>
          <w:szCs w:val="18"/>
          <w:color w:val="0000EE"/>
        </w:rPr>
      </w:pPr>
      <w:hyperlink r:id="rId20">
        <w:r>
          <w:rPr>
            <w:rFonts w:ascii="Arial" w:cs="Arial" w:eastAsia="Arial" w:hAnsi="Arial"/>
            <w:sz w:val="18"/>
            <w:szCs w:val="18"/>
            <w:color w:val="auto"/>
          </w:rPr>
          <w:t xml:space="preserve">By a registration statement on </w:t>
        </w:r>
        <w:r>
          <w:rPr>
            <w:rFonts w:ascii="Arial" w:cs="Arial" w:eastAsia="Arial" w:hAnsi="Arial"/>
            <w:sz w:val="18"/>
            <w:szCs w:val="18"/>
            <w:u w:val="single" w:color="auto"/>
            <w:color w:val="0000EE"/>
          </w:rPr>
          <w:t>Form S</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8 filed with the Securities and Exchange Commission (the “SEC”) on November 10,</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2016, File No. 333</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214538</w:t>
        </w:r>
        <w:r>
          <w:rPr>
            <w:rFonts w:ascii="Arial" w:cs="Arial" w:eastAsia="Arial" w:hAnsi="Arial"/>
            <w:sz w:val="18"/>
            <w:szCs w:val="18"/>
            <w:color w:val="0000EE"/>
          </w:rPr>
          <w:t xml:space="preserve"> </w:t>
        </w:r>
        <w:r>
          <w:rPr>
            <w:rFonts w:ascii="Arial" w:cs="Arial" w:eastAsia="Arial" w:hAnsi="Arial"/>
            <w:sz w:val="18"/>
            <w:szCs w:val="18"/>
            <w:color w:val="000000"/>
          </w:rPr>
          <w:t>(the “2016 Original Registration Statement”), the Registrant registered 1,000,000 shares of</w:t>
        </w:r>
      </w:hyperlink>
      <w:r>
        <w:rPr>
          <w:rFonts w:ascii="Arial" w:cs="Arial" w:eastAsia="Arial" w:hAnsi="Arial"/>
          <w:sz w:val="18"/>
          <w:szCs w:val="18"/>
          <w:color w:val="0000EE"/>
        </w:rPr>
        <w:t xml:space="preserve"> </w:t>
      </w:r>
      <w:r>
        <w:rPr>
          <w:rFonts w:ascii="Arial" w:cs="Arial" w:eastAsia="Arial" w:hAnsi="Arial"/>
          <w:sz w:val="18"/>
          <w:szCs w:val="18"/>
          <w:color w:val="000000"/>
        </w:rPr>
        <w:t>common stock, par value $0.0001 per share (the “Common Stock”) issuable under the Ardelyx, Inc. 2016 Employment Commencement Incentive Plan (the “2016 Plan”).</w:t>
      </w:r>
    </w:p>
    <w:p>
      <w:pPr>
        <w:spacing w:after="0" w:line="204" w:lineRule="exact"/>
        <w:rPr>
          <w:sz w:val="20"/>
          <w:szCs w:val="20"/>
          <w:color w:val="auto"/>
        </w:rPr>
      </w:pPr>
    </w:p>
    <w:p>
      <w:pPr>
        <w:ind w:left="60" w:right="619"/>
        <w:spacing w:after="0" w:line="342" w:lineRule="auto"/>
        <w:rPr>
          <w:sz w:val="20"/>
          <w:szCs w:val="20"/>
          <w:color w:val="auto"/>
        </w:rPr>
      </w:pPr>
      <w:r>
        <w:rPr>
          <w:rFonts w:ascii="Arial" w:cs="Arial" w:eastAsia="Arial" w:hAnsi="Arial"/>
          <w:sz w:val="16"/>
          <w:szCs w:val="16"/>
          <w:color w:val="auto"/>
        </w:rPr>
        <w:t>By the registration statements on Form S-8 listed in the table below filed with the SEC, the Registrant registered the following additional shares of Common Stock issuable under the 2014 Plan, the ESPP and the 2016 Plan:</w:t>
      </w:r>
    </w:p>
    <w:p>
      <w:pPr>
        <w:spacing w:after="0" w:line="118" w:lineRule="exact"/>
        <w:rPr>
          <w:sz w:val="20"/>
          <w:szCs w:val="20"/>
          <w:color w:val="auto"/>
        </w:rPr>
      </w:pPr>
    </w:p>
    <w:tbl>
      <w:tblPr>
        <w:tblLayout w:type="fixed"/>
        <w:tblInd w:w="90" w:type="dxa"/>
        <w:tblCellMar>
          <w:top w:w="0" w:type="dxa"/>
          <w:left w:w="0" w:type="dxa"/>
          <w:bottom w:w="0" w:type="dxa"/>
          <w:right w:w="0" w:type="dxa"/>
        </w:tblCellMar>
      </w:tblPr>
      <w:tr>
        <w:trPr>
          <w:trHeight w:val="229"/>
        </w:trPr>
        <w:tc>
          <w:tcPr>
            <w:tcW w:w="156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00" w:type="dxa"/>
            <w:vAlign w:val="bottom"/>
            <w:tcBorders>
              <w:top w:val="single" w:sz="8" w:color="auto"/>
              <w:bottom w:val="single" w:sz="8" w:color="auto"/>
              <w:right w:val="single" w:sz="8" w:color="auto"/>
            </w:tcBorders>
          </w:tcPr>
          <w:p>
            <w:pPr>
              <w:spacing w:after="0"/>
              <w:rPr>
                <w:sz w:val="19"/>
                <w:szCs w:val="19"/>
                <w:color w:val="auto"/>
              </w:rPr>
            </w:pPr>
          </w:p>
        </w:tc>
        <w:tc>
          <w:tcPr>
            <w:tcW w:w="1060" w:type="dxa"/>
            <w:vAlign w:val="bottom"/>
            <w:tcBorders>
              <w:top w:val="single" w:sz="8" w:color="auto"/>
              <w:bottom w:val="single" w:sz="8" w:color="auto"/>
              <w:right w:val="single" w:sz="8" w:color="auto"/>
            </w:tcBorders>
          </w:tcPr>
          <w:p>
            <w:pPr>
              <w:spacing w:after="0"/>
              <w:rPr>
                <w:sz w:val="19"/>
                <w:szCs w:val="19"/>
                <w:color w:val="auto"/>
              </w:rPr>
            </w:pPr>
          </w:p>
        </w:tc>
        <w:tc>
          <w:tcPr>
            <w:tcW w:w="200" w:type="dxa"/>
            <w:vAlign w:val="bottom"/>
            <w:tcBorders>
              <w:top w:val="single" w:sz="8" w:color="auto"/>
              <w:bottom w:val="single" w:sz="8" w:color="auto"/>
              <w:right w:val="single" w:sz="8" w:color="auto"/>
            </w:tcBorders>
          </w:tcPr>
          <w:p>
            <w:pPr>
              <w:spacing w:after="0"/>
              <w:rPr>
                <w:sz w:val="19"/>
                <w:szCs w:val="19"/>
                <w:color w:val="auto"/>
              </w:rPr>
            </w:pPr>
          </w:p>
        </w:tc>
        <w:tc>
          <w:tcPr>
            <w:tcW w:w="2360" w:type="dxa"/>
            <w:vAlign w:val="bottom"/>
            <w:tcBorders>
              <w:top w:val="single" w:sz="8" w:color="auto"/>
              <w:bottom w:val="single" w:sz="8" w:color="auto"/>
              <w:right w:val="single" w:sz="8" w:color="auto"/>
            </w:tcBorders>
          </w:tcPr>
          <w:p>
            <w:pPr>
              <w:spacing w:after="0"/>
              <w:rPr>
                <w:sz w:val="19"/>
                <w:szCs w:val="19"/>
                <w:color w:val="auto"/>
              </w:rPr>
            </w:pPr>
          </w:p>
        </w:tc>
        <w:tc>
          <w:tcPr>
            <w:tcW w:w="220" w:type="dxa"/>
            <w:vAlign w:val="bottom"/>
            <w:tcBorders>
              <w:top w:val="single" w:sz="8" w:color="auto"/>
              <w:bottom w:val="single" w:sz="8" w:color="auto"/>
              <w:right w:val="single" w:sz="8" w:color="auto"/>
            </w:tcBorders>
          </w:tcPr>
          <w:p>
            <w:pPr>
              <w:spacing w:after="0"/>
              <w:rPr>
                <w:sz w:val="19"/>
                <w:szCs w:val="19"/>
                <w:color w:val="auto"/>
              </w:rPr>
            </w:pPr>
          </w:p>
        </w:tc>
        <w:tc>
          <w:tcPr>
            <w:tcW w:w="3260" w:type="dxa"/>
            <w:vAlign w:val="bottom"/>
            <w:tcBorders>
              <w:top w:val="single" w:sz="8" w:color="auto"/>
              <w:bottom w:val="single" w:sz="8" w:color="auto"/>
              <w:right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Additional Shares Registered</w:t>
            </w:r>
          </w:p>
        </w:tc>
      </w:tr>
      <w:tr>
        <w:trPr>
          <w:trHeight w:val="191"/>
        </w:trPr>
        <w:tc>
          <w:tcPr>
            <w:tcW w:w="1560" w:type="dxa"/>
            <w:vAlign w:val="bottom"/>
            <w:tcBorders>
              <w:left w:val="single" w:sz="8" w:color="auto"/>
              <w:right w:val="single" w:sz="8" w:color="auto"/>
            </w:tcBorders>
            <w:shd w:val="clear" w:color="auto" w:fill="D9E2F3"/>
          </w:tcPr>
          <w:p>
            <w:pPr>
              <w:spacing w:after="0"/>
              <w:rPr>
                <w:sz w:val="16"/>
                <w:szCs w:val="16"/>
                <w:color w:val="auto"/>
              </w:rPr>
            </w:pPr>
          </w:p>
        </w:tc>
        <w:tc>
          <w:tcPr>
            <w:tcW w:w="200" w:type="dxa"/>
            <w:vAlign w:val="bottom"/>
            <w:tcBorders>
              <w:right w:val="single" w:sz="8" w:color="auto"/>
            </w:tcBorders>
            <w:shd w:val="clear" w:color="auto" w:fill="D9E2F3"/>
          </w:tcPr>
          <w:p>
            <w:pPr>
              <w:spacing w:after="0"/>
              <w:rPr>
                <w:sz w:val="16"/>
                <w:szCs w:val="16"/>
                <w:color w:val="auto"/>
              </w:rPr>
            </w:pPr>
          </w:p>
        </w:tc>
        <w:tc>
          <w:tcPr>
            <w:tcW w:w="1060" w:type="dxa"/>
            <w:vAlign w:val="bottom"/>
            <w:tcBorders>
              <w:right w:val="single" w:sz="8" w:color="auto"/>
            </w:tcBorders>
            <w:shd w:val="clear" w:color="auto" w:fill="D9E2F3"/>
          </w:tcPr>
          <w:p>
            <w:pPr>
              <w:spacing w:after="0" w:line="191" w:lineRule="exact"/>
              <w:rPr>
                <w:sz w:val="20"/>
                <w:szCs w:val="20"/>
                <w:color w:val="auto"/>
              </w:rPr>
            </w:pPr>
            <w:r>
              <w:rPr>
                <w:rFonts w:ascii="Arial" w:cs="Arial" w:eastAsia="Arial" w:hAnsi="Arial"/>
                <w:sz w:val="18"/>
                <w:szCs w:val="18"/>
                <w:b w:val="1"/>
                <w:bCs w:val="1"/>
                <w:color w:val="auto"/>
              </w:rPr>
              <w:t>SEC File</w:t>
            </w:r>
          </w:p>
        </w:tc>
        <w:tc>
          <w:tcPr>
            <w:tcW w:w="200" w:type="dxa"/>
            <w:vAlign w:val="bottom"/>
            <w:tcBorders>
              <w:right w:val="single" w:sz="8" w:color="auto"/>
            </w:tcBorders>
            <w:shd w:val="clear" w:color="auto" w:fill="D9E2F3"/>
          </w:tcPr>
          <w:p>
            <w:pPr>
              <w:spacing w:after="0"/>
              <w:rPr>
                <w:sz w:val="16"/>
                <w:szCs w:val="16"/>
                <w:color w:val="auto"/>
              </w:rPr>
            </w:pPr>
          </w:p>
        </w:tc>
        <w:tc>
          <w:tcPr>
            <w:tcW w:w="2360" w:type="dxa"/>
            <w:vAlign w:val="bottom"/>
            <w:tcBorders>
              <w:right w:val="single" w:sz="8" w:color="auto"/>
            </w:tcBorders>
            <w:shd w:val="clear" w:color="auto" w:fill="D9E2F3"/>
          </w:tcPr>
          <w:p>
            <w:pPr>
              <w:spacing w:after="0"/>
              <w:rPr>
                <w:sz w:val="16"/>
                <w:szCs w:val="16"/>
                <w:color w:val="auto"/>
              </w:rPr>
            </w:pPr>
          </w:p>
        </w:tc>
        <w:tc>
          <w:tcPr>
            <w:tcW w:w="220" w:type="dxa"/>
            <w:vAlign w:val="bottom"/>
            <w:tcBorders>
              <w:right w:val="single" w:sz="8" w:color="auto"/>
            </w:tcBorders>
            <w:shd w:val="clear" w:color="auto" w:fill="D9E2F3"/>
          </w:tcPr>
          <w:p>
            <w:pPr>
              <w:spacing w:after="0"/>
              <w:rPr>
                <w:sz w:val="16"/>
                <w:szCs w:val="16"/>
                <w:color w:val="auto"/>
              </w:rPr>
            </w:pPr>
          </w:p>
        </w:tc>
        <w:tc>
          <w:tcPr>
            <w:tcW w:w="1640" w:type="dxa"/>
            <w:vAlign w:val="bottom"/>
            <w:tcBorders>
              <w:right w:val="single" w:sz="8" w:color="auto"/>
            </w:tcBorders>
            <w:shd w:val="clear" w:color="auto" w:fill="D9E2F3"/>
          </w:tcPr>
          <w:p>
            <w:pPr>
              <w:jc w:val="right"/>
              <w:ind w:right="570"/>
              <w:spacing w:after="0" w:line="191" w:lineRule="exact"/>
              <w:rPr>
                <w:sz w:val="20"/>
                <w:szCs w:val="20"/>
                <w:color w:val="auto"/>
              </w:rPr>
            </w:pPr>
            <w:r>
              <w:rPr>
                <w:rFonts w:ascii="Arial" w:cs="Arial" w:eastAsia="Arial" w:hAnsi="Arial"/>
                <w:sz w:val="18"/>
                <w:szCs w:val="18"/>
                <w:b w:val="1"/>
                <w:bCs w:val="1"/>
                <w:color w:val="auto"/>
              </w:rPr>
              <w:t>2014</w:t>
            </w:r>
          </w:p>
        </w:tc>
        <w:tc>
          <w:tcPr>
            <w:tcW w:w="200" w:type="dxa"/>
            <w:vAlign w:val="bottom"/>
            <w:tcBorders>
              <w:right w:val="single" w:sz="8" w:color="auto"/>
            </w:tcBorders>
            <w:shd w:val="clear" w:color="auto" w:fill="D9E2F3"/>
          </w:tcPr>
          <w:p>
            <w:pPr>
              <w:spacing w:after="0"/>
              <w:rPr>
                <w:sz w:val="16"/>
                <w:szCs w:val="16"/>
                <w:color w:val="auto"/>
              </w:rPr>
            </w:pPr>
          </w:p>
        </w:tc>
        <w:tc>
          <w:tcPr>
            <w:tcW w:w="600" w:type="dxa"/>
            <w:vAlign w:val="bottom"/>
            <w:tcBorders>
              <w:right w:val="single" w:sz="8" w:color="auto"/>
            </w:tcBorders>
            <w:shd w:val="clear" w:color="auto" w:fill="D9E2F3"/>
          </w:tcPr>
          <w:p>
            <w:pPr>
              <w:spacing w:after="0"/>
              <w:rPr>
                <w:sz w:val="16"/>
                <w:szCs w:val="16"/>
                <w:color w:val="auto"/>
              </w:rPr>
            </w:pPr>
          </w:p>
        </w:tc>
        <w:tc>
          <w:tcPr>
            <w:tcW w:w="220" w:type="dxa"/>
            <w:vAlign w:val="bottom"/>
            <w:tcBorders>
              <w:right w:val="single" w:sz="8" w:color="auto"/>
            </w:tcBorders>
            <w:shd w:val="clear" w:color="auto" w:fill="D9E2F3"/>
          </w:tcPr>
          <w:p>
            <w:pPr>
              <w:spacing w:after="0"/>
              <w:rPr>
                <w:sz w:val="16"/>
                <w:szCs w:val="16"/>
                <w:color w:val="auto"/>
              </w:rPr>
            </w:pPr>
          </w:p>
        </w:tc>
        <w:tc>
          <w:tcPr>
            <w:tcW w:w="600" w:type="dxa"/>
            <w:vAlign w:val="bottom"/>
            <w:tcBorders>
              <w:right w:val="single" w:sz="8" w:color="auto"/>
            </w:tcBorders>
            <w:shd w:val="clear" w:color="auto" w:fill="D9E2F3"/>
          </w:tcPr>
          <w:p>
            <w:pPr>
              <w:jc w:val="right"/>
              <w:ind w:right="50"/>
              <w:spacing w:after="0" w:line="191" w:lineRule="exact"/>
              <w:rPr>
                <w:sz w:val="20"/>
                <w:szCs w:val="20"/>
                <w:color w:val="auto"/>
              </w:rPr>
            </w:pPr>
            <w:r>
              <w:rPr>
                <w:rFonts w:ascii="Arial" w:cs="Arial" w:eastAsia="Arial" w:hAnsi="Arial"/>
                <w:sz w:val="18"/>
                <w:szCs w:val="18"/>
                <w:b w:val="1"/>
                <w:bCs w:val="1"/>
                <w:color w:val="auto"/>
              </w:rPr>
              <w:t>2016</w:t>
            </w:r>
          </w:p>
        </w:tc>
      </w:tr>
      <w:tr>
        <w:trPr>
          <w:trHeight w:val="234"/>
        </w:trPr>
        <w:tc>
          <w:tcPr>
            <w:tcW w:w="1560" w:type="dxa"/>
            <w:vAlign w:val="bottom"/>
            <w:tcBorders>
              <w:left w:val="single" w:sz="8" w:color="auto"/>
              <w:bottom w:val="single" w:sz="8" w:color="auto"/>
              <w:right w:val="single" w:sz="8" w:color="auto"/>
            </w:tcBorders>
            <w:shd w:val="clear" w:color="auto" w:fill="D9E2F3"/>
          </w:tcPr>
          <w:p>
            <w:pPr>
              <w:ind w:left="20"/>
              <w:spacing w:after="0"/>
              <w:rPr>
                <w:sz w:val="20"/>
                <w:szCs w:val="20"/>
                <w:color w:val="auto"/>
              </w:rPr>
            </w:pPr>
            <w:r>
              <w:rPr>
                <w:rFonts w:ascii="Arial" w:cs="Arial" w:eastAsia="Arial" w:hAnsi="Arial"/>
                <w:sz w:val="18"/>
                <w:szCs w:val="18"/>
                <w:b w:val="1"/>
                <w:bCs w:val="1"/>
                <w:color w:val="auto"/>
              </w:rPr>
              <w:t>Filing Date</w:t>
            </w:r>
          </w:p>
        </w:tc>
        <w:tc>
          <w:tcPr>
            <w:tcW w:w="200" w:type="dxa"/>
            <w:vAlign w:val="bottom"/>
            <w:tcBorders>
              <w:bottom w:val="single" w:sz="8" w:color="auto"/>
              <w:right w:val="single" w:sz="8" w:color="auto"/>
            </w:tcBorders>
            <w:shd w:val="clear" w:color="auto" w:fill="D9E2F3"/>
          </w:tcPr>
          <w:p>
            <w:pPr>
              <w:spacing w:after="0"/>
              <w:rPr>
                <w:sz w:val="20"/>
                <w:szCs w:val="20"/>
                <w:color w:val="auto"/>
              </w:rPr>
            </w:pPr>
          </w:p>
        </w:tc>
        <w:tc>
          <w:tcPr>
            <w:tcW w:w="1060" w:type="dxa"/>
            <w:vAlign w:val="bottom"/>
            <w:tcBorders>
              <w:bottom w:val="single" w:sz="8" w:color="auto"/>
              <w:right w:val="single" w:sz="8" w:color="auto"/>
            </w:tcBorders>
            <w:shd w:val="clear" w:color="auto" w:fill="D9E2F3"/>
          </w:tcPr>
          <w:p>
            <w:pPr>
              <w:spacing w:after="0"/>
              <w:rPr>
                <w:sz w:val="20"/>
                <w:szCs w:val="20"/>
                <w:color w:val="auto"/>
              </w:rPr>
            </w:pPr>
            <w:r>
              <w:rPr>
                <w:rFonts w:ascii="Arial" w:cs="Arial" w:eastAsia="Arial" w:hAnsi="Arial"/>
                <w:sz w:val="18"/>
                <w:szCs w:val="18"/>
                <w:b w:val="1"/>
                <w:bCs w:val="1"/>
                <w:color w:val="auto"/>
              </w:rPr>
              <w:t>Number</w:t>
            </w:r>
          </w:p>
        </w:tc>
        <w:tc>
          <w:tcPr>
            <w:tcW w:w="200" w:type="dxa"/>
            <w:vAlign w:val="bottom"/>
            <w:tcBorders>
              <w:bottom w:val="single" w:sz="8" w:color="auto"/>
              <w:right w:val="single" w:sz="8" w:color="auto"/>
            </w:tcBorders>
            <w:shd w:val="clear" w:color="auto" w:fill="D9E2F3"/>
          </w:tcPr>
          <w:p>
            <w:pPr>
              <w:spacing w:after="0"/>
              <w:rPr>
                <w:sz w:val="20"/>
                <w:szCs w:val="20"/>
                <w:color w:val="auto"/>
              </w:rPr>
            </w:pPr>
          </w:p>
        </w:tc>
        <w:tc>
          <w:tcPr>
            <w:tcW w:w="2360" w:type="dxa"/>
            <w:vAlign w:val="bottom"/>
            <w:tcBorders>
              <w:bottom w:val="single" w:sz="8" w:color="auto"/>
              <w:right w:val="single" w:sz="8" w:color="auto"/>
            </w:tcBorders>
            <w:shd w:val="clear" w:color="auto" w:fill="D9E2F3"/>
          </w:tcPr>
          <w:p>
            <w:pPr>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Borders>
              <w:bottom w:val="single" w:sz="8" w:color="auto"/>
              <w:right w:val="single" w:sz="8" w:color="auto"/>
            </w:tcBorders>
            <w:shd w:val="clear" w:color="auto" w:fill="D9E2F3"/>
          </w:tcPr>
          <w:p>
            <w:pPr>
              <w:spacing w:after="0"/>
              <w:rPr>
                <w:sz w:val="20"/>
                <w:szCs w:val="20"/>
                <w:color w:val="auto"/>
              </w:rPr>
            </w:pPr>
          </w:p>
        </w:tc>
        <w:tc>
          <w:tcPr>
            <w:tcW w:w="1640" w:type="dxa"/>
            <w:vAlign w:val="bottom"/>
            <w:tcBorders>
              <w:bottom w:val="single" w:sz="8" w:color="auto"/>
              <w:right w:val="single" w:sz="8" w:color="auto"/>
            </w:tcBorders>
            <w:shd w:val="clear" w:color="auto" w:fill="D9E2F3"/>
          </w:tcPr>
          <w:p>
            <w:pPr>
              <w:jc w:val="right"/>
              <w:ind w:right="570"/>
              <w:spacing w:after="0"/>
              <w:rPr>
                <w:sz w:val="20"/>
                <w:szCs w:val="20"/>
                <w:color w:val="auto"/>
              </w:rPr>
            </w:pPr>
            <w:r>
              <w:rPr>
                <w:rFonts w:ascii="Arial" w:cs="Arial" w:eastAsia="Arial" w:hAnsi="Arial"/>
                <w:sz w:val="18"/>
                <w:szCs w:val="18"/>
                <w:b w:val="1"/>
                <w:bCs w:val="1"/>
                <w:color w:val="auto"/>
              </w:rPr>
              <w:t>Plan</w:t>
            </w:r>
          </w:p>
        </w:tc>
        <w:tc>
          <w:tcPr>
            <w:tcW w:w="200" w:type="dxa"/>
            <w:vAlign w:val="bottom"/>
            <w:tcBorders>
              <w:bottom w:val="single" w:sz="8" w:color="auto"/>
              <w:right w:val="single" w:sz="8" w:color="auto"/>
            </w:tcBorders>
            <w:shd w:val="clear" w:color="auto" w:fill="D9E2F3"/>
          </w:tcPr>
          <w:p>
            <w:pPr>
              <w:spacing w:after="0"/>
              <w:rPr>
                <w:sz w:val="20"/>
                <w:szCs w:val="20"/>
                <w:color w:val="auto"/>
              </w:rPr>
            </w:pPr>
          </w:p>
        </w:tc>
        <w:tc>
          <w:tcPr>
            <w:tcW w:w="600" w:type="dxa"/>
            <w:vAlign w:val="bottom"/>
            <w:tcBorders>
              <w:bottom w:val="single" w:sz="8" w:color="auto"/>
              <w:right w:val="single" w:sz="8" w:color="auto"/>
            </w:tcBorders>
            <w:shd w:val="clear" w:color="auto" w:fill="D9E2F3"/>
          </w:tcPr>
          <w:p>
            <w:pPr>
              <w:jc w:val="right"/>
              <w:ind w:right="10"/>
              <w:spacing w:after="0"/>
              <w:rPr>
                <w:sz w:val="20"/>
                <w:szCs w:val="20"/>
                <w:color w:val="auto"/>
              </w:rPr>
            </w:pPr>
            <w:r>
              <w:rPr>
                <w:rFonts w:ascii="Arial" w:cs="Arial" w:eastAsia="Arial" w:hAnsi="Arial"/>
                <w:sz w:val="18"/>
                <w:szCs w:val="18"/>
                <w:b w:val="1"/>
                <w:bCs w:val="1"/>
                <w:color w:val="auto"/>
                <w:w w:val="99"/>
              </w:rPr>
              <w:t>ESPP</w:t>
            </w:r>
          </w:p>
        </w:tc>
        <w:tc>
          <w:tcPr>
            <w:tcW w:w="220" w:type="dxa"/>
            <w:vAlign w:val="bottom"/>
            <w:tcBorders>
              <w:bottom w:val="single" w:sz="8" w:color="auto"/>
              <w:right w:val="single" w:sz="8" w:color="auto"/>
            </w:tcBorders>
            <w:shd w:val="clear" w:color="auto" w:fill="D9E2F3"/>
          </w:tcPr>
          <w:p>
            <w:pPr>
              <w:spacing w:after="0"/>
              <w:rPr>
                <w:sz w:val="20"/>
                <w:szCs w:val="20"/>
                <w:color w:val="auto"/>
              </w:rPr>
            </w:pPr>
          </w:p>
        </w:tc>
        <w:tc>
          <w:tcPr>
            <w:tcW w:w="600" w:type="dxa"/>
            <w:vAlign w:val="bottom"/>
            <w:tcBorders>
              <w:bottom w:val="single" w:sz="8" w:color="auto"/>
              <w:right w:val="single" w:sz="8" w:color="auto"/>
            </w:tcBorders>
            <w:shd w:val="clear" w:color="auto" w:fill="D9E2F3"/>
          </w:tcPr>
          <w:p>
            <w:pPr>
              <w:jc w:val="right"/>
              <w:ind w:right="70"/>
              <w:spacing w:after="0"/>
              <w:rPr>
                <w:sz w:val="20"/>
                <w:szCs w:val="20"/>
                <w:color w:val="auto"/>
              </w:rPr>
            </w:pPr>
            <w:r>
              <w:rPr>
                <w:rFonts w:ascii="Arial" w:cs="Arial" w:eastAsia="Arial" w:hAnsi="Arial"/>
                <w:sz w:val="18"/>
                <w:szCs w:val="18"/>
                <w:b w:val="1"/>
                <w:bCs w:val="1"/>
                <w:color w:val="auto"/>
              </w:rPr>
              <w:t>Plan</w:t>
            </w:r>
          </w:p>
        </w:tc>
      </w:tr>
      <w:tr>
        <w:trPr>
          <w:trHeight w:val="277"/>
        </w:trPr>
        <w:tc>
          <w:tcPr>
            <w:tcW w:w="1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March 11, 2015</w:t>
            </w:r>
          </w:p>
        </w:tc>
        <w:tc>
          <w:tcPr>
            <w:tcW w:w="2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333-202663</w:t>
            </w:r>
          </w:p>
        </w:tc>
        <w:tc>
          <w:tcPr>
            <w:tcW w:w="2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“2015 Registration Statement”</w:t>
            </w:r>
          </w:p>
        </w:tc>
        <w:tc>
          <w:tcPr>
            <w:tcW w:w="2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743,569</w:t>
            </w:r>
          </w:p>
        </w:tc>
        <w:tc>
          <w:tcPr>
            <w:tcW w:w="20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6"/>
              </w:rPr>
              <w:t>185,892</w:t>
            </w:r>
          </w:p>
        </w:tc>
        <w:tc>
          <w:tcPr>
            <w:tcW w:w="2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1560" w:type="dxa"/>
            <w:vAlign w:val="bottom"/>
            <w:tcBorders>
              <w:left w:val="single" w:sz="8" w:color="auto"/>
              <w:bottom w:val="single" w:sz="8" w:color="auto"/>
              <w:right w:val="single" w:sz="8" w:color="auto"/>
            </w:tcBorders>
            <w:shd w:val="clear" w:color="auto" w:fill="D9E2F3"/>
          </w:tcPr>
          <w:p>
            <w:pPr>
              <w:ind w:left="20"/>
              <w:spacing w:after="0"/>
              <w:rPr>
                <w:sz w:val="20"/>
                <w:szCs w:val="20"/>
                <w:color w:val="auto"/>
              </w:rPr>
            </w:pPr>
            <w:r>
              <w:rPr>
                <w:rFonts w:ascii="Arial" w:cs="Arial" w:eastAsia="Arial" w:hAnsi="Arial"/>
                <w:sz w:val="18"/>
                <w:szCs w:val="18"/>
                <w:color w:val="auto"/>
              </w:rPr>
              <w:t>March 10, 2016</w:t>
            </w:r>
          </w:p>
        </w:tc>
        <w:tc>
          <w:tcPr>
            <w:tcW w:w="200" w:type="dxa"/>
            <w:vAlign w:val="bottom"/>
            <w:tcBorders>
              <w:bottom w:val="single" w:sz="8" w:color="auto"/>
              <w:right w:val="single" w:sz="8" w:color="auto"/>
            </w:tcBorders>
            <w:shd w:val="clear" w:color="auto" w:fill="D9E2F3"/>
          </w:tcPr>
          <w:p>
            <w:pPr>
              <w:spacing w:after="0"/>
              <w:rPr>
                <w:sz w:val="18"/>
                <w:szCs w:val="18"/>
                <w:color w:val="auto"/>
              </w:rPr>
            </w:pPr>
          </w:p>
        </w:tc>
        <w:tc>
          <w:tcPr>
            <w:tcW w:w="1060" w:type="dxa"/>
            <w:vAlign w:val="bottom"/>
            <w:tcBorders>
              <w:bottom w:val="single" w:sz="8" w:color="auto"/>
              <w:right w:val="single" w:sz="8" w:color="auto"/>
            </w:tcBorders>
            <w:shd w:val="clear" w:color="auto" w:fill="D9E2F3"/>
          </w:tcPr>
          <w:p>
            <w:pPr>
              <w:jc w:val="right"/>
              <w:spacing w:after="0"/>
              <w:rPr>
                <w:sz w:val="20"/>
                <w:szCs w:val="20"/>
                <w:color w:val="auto"/>
              </w:rPr>
            </w:pPr>
            <w:r>
              <w:rPr>
                <w:rFonts w:ascii="Arial" w:cs="Arial" w:eastAsia="Arial" w:hAnsi="Arial"/>
                <w:sz w:val="18"/>
                <w:szCs w:val="18"/>
                <w:color w:val="auto"/>
              </w:rPr>
              <w:t>333-210079</w:t>
            </w:r>
          </w:p>
        </w:tc>
        <w:tc>
          <w:tcPr>
            <w:tcW w:w="200" w:type="dxa"/>
            <w:vAlign w:val="bottom"/>
            <w:tcBorders>
              <w:bottom w:val="single" w:sz="8" w:color="auto"/>
              <w:right w:val="single" w:sz="8" w:color="auto"/>
            </w:tcBorders>
            <w:shd w:val="clear" w:color="auto" w:fill="D9E2F3"/>
          </w:tcPr>
          <w:p>
            <w:pPr>
              <w:spacing w:after="0"/>
              <w:rPr>
                <w:sz w:val="18"/>
                <w:szCs w:val="18"/>
                <w:color w:val="auto"/>
              </w:rPr>
            </w:pPr>
          </w:p>
        </w:tc>
        <w:tc>
          <w:tcPr>
            <w:tcW w:w="2360" w:type="dxa"/>
            <w:vAlign w:val="bottom"/>
            <w:tcBorders>
              <w:bottom w:val="single" w:sz="8" w:color="auto"/>
              <w:right w:val="single" w:sz="8" w:color="auto"/>
            </w:tcBorders>
            <w:shd w:val="clear" w:color="auto" w:fill="D9E2F3"/>
          </w:tcPr>
          <w:p>
            <w:pPr>
              <w:spacing w:after="0"/>
              <w:rPr>
                <w:sz w:val="20"/>
                <w:szCs w:val="20"/>
                <w:color w:val="auto"/>
              </w:rPr>
            </w:pPr>
            <w:r>
              <w:rPr>
                <w:rFonts w:ascii="Arial" w:cs="Arial" w:eastAsia="Arial" w:hAnsi="Arial"/>
                <w:sz w:val="18"/>
                <w:szCs w:val="18"/>
                <w:color w:val="auto"/>
                <w:w w:val="96"/>
              </w:rPr>
              <w:t>“2016 Registration Statement”</w:t>
            </w:r>
          </w:p>
        </w:tc>
        <w:tc>
          <w:tcPr>
            <w:tcW w:w="220" w:type="dxa"/>
            <w:vAlign w:val="bottom"/>
            <w:tcBorders>
              <w:bottom w:val="single" w:sz="8" w:color="auto"/>
              <w:right w:val="single" w:sz="8" w:color="auto"/>
            </w:tcBorders>
            <w:shd w:val="clear" w:color="auto" w:fill="D9E2F3"/>
          </w:tcPr>
          <w:p>
            <w:pPr>
              <w:spacing w:after="0"/>
              <w:rPr>
                <w:sz w:val="18"/>
                <w:szCs w:val="18"/>
                <w:color w:val="auto"/>
              </w:rPr>
            </w:pPr>
          </w:p>
        </w:tc>
        <w:tc>
          <w:tcPr>
            <w:tcW w:w="1640" w:type="dxa"/>
            <w:vAlign w:val="bottom"/>
            <w:tcBorders>
              <w:bottom w:val="single" w:sz="8" w:color="auto"/>
              <w:right w:val="single" w:sz="8" w:color="auto"/>
            </w:tcBorders>
            <w:shd w:val="clear" w:color="auto" w:fill="D9E2F3"/>
          </w:tcPr>
          <w:p>
            <w:pPr>
              <w:jc w:val="right"/>
              <w:spacing w:after="0"/>
              <w:rPr>
                <w:sz w:val="20"/>
                <w:szCs w:val="20"/>
                <w:color w:val="auto"/>
              </w:rPr>
            </w:pPr>
            <w:r>
              <w:rPr>
                <w:rFonts w:ascii="Arial" w:cs="Arial" w:eastAsia="Arial" w:hAnsi="Arial"/>
                <w:sz w:val="18"/>
                <w:szCs w:val="18"/>
                <w:color w:val="auto"/>
              </w:rPr>
              <w:t>1,038,595</w:t>
            </w:r>
          </w:p>
        </w:tc>
        <w:tc>
          <w:tcPr>
            <w:tcW w:w="200" w:type="dxa"/>
            <w:vAlign w:val="bottom"/>
            <w:tcBorders>
              <w:bottom w:val="single" w:sz="8" w:color="auto"/>
              <w:right w:val="single" w:sz="8" w:color="auto"/>
            </w:tcBorders>
            <w:shd w:val="clear" w:color="auto" w:fill="D9E2F3"/>
          </w:tcPr>
          <w:p>
            <w:pPr>
              <w:spacing w:after="0"/>
              <w:rPr>
                <w:sz w:val="18"/>
                <w:szCs w:val="18"/>
                <w:color w:val="auto"/>
              </w:rPr>
            </w:pPr>
          </w:p>
        </w:tc>
        <w:tc>
          <w:tcPr>
            <w:tcW w:w="600" w:type="dxa"/>
            <w:vAlign w:val="bottom"/>
            <w:tcBorders>
              <w:bottom w:val="single" w:sz="8" w:color="auto"/>
              <w:right w:val="single" w:sz="8" w:color="auto"/>
            </w:tcBorders>
            <w:shd w:val="clear" w:color="auto" w:fill="D9E2F3"/>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right w:val="single" w:sz="8" w:color="auto"/>
            </w:tcBorders>
            <w:shd w:val="clear" w:color="auto" w:fill="D9E2F3"/>
          </w:tcPr>
          <w:p>
            <w:pPr>
              <w:spacing w:after="0"/>
              <w:rPr>
                <w:sz w:val="18"/>
                <w:szCs w:val="18"/>
                <w:color w:val="auto"/>
              </w:rPr>
            </w:pPr>
          </w:p>
        </w:tc>
        <w:tc>
          <w:tcPr>
            <w:tcW w:w="600" w:type="dxa"/>
            <w:vAlign w:val="bottom"/>
            <w:tcBorders>
              <w:bottom w:val="single" w:sz="8" w:color="auto"/>
              <w:right w:val="single" w:sz="8" w:color="auto"/>
            </w:tcBorders>
            <w:shd w:val="clear" w:color="auto" w:fill="D9E2F3"/>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February 21, 2017</w:t>
            </w:r>
          </w:p>
        </w:tc>
        <w:tc>
          <w:tcPr>
            <w:tcW w:w="20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333-216154</w:t>
            </w:r>
          </w:p>
        </w:tc>
        <w:tc>
          <w:tcPr>
            <w:tcW w:w="2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“2017 Registration Statement”</w:t>
            </w:r>
          </w:p>
        </w:tc>
        <w:tc>
          <w:tcPr>
            <w:tcW w:w="2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1,892,376</w:t>
            </w:r>
          </w:p>
        </w:tc>
        <w:tc>
          <w:tcPr>
            <w:tcW w:w="20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1560" w:type="dxa"/>
            <w:vAlign w:val="bottom"/>
            <w:tcBorders>
              <w:left w:val="single" w:sz="8" w:color="auto"/>
              <w:bottom w:val="single" w:sz="8" w:color="auto"/>
              <w:right w:val="single" w:sz="8" w:color="auto"/>
            </w:tcBorders>
            <w:shd w:val="clear" w:color="auto" w:fill="D9E2F3"/>
          </w:tcPr>
          <w:p>
            <w:pPr>
              <w:ind w:left="20"/>
              <w:spacing w:after="0"/>
              <w:rPr>
                <w:sz w:val="20"/>
                <w:szCs w:val="20"/>
                <w:color w:val="auto"/>
              </w:rPr>
            </w:pPr>
            <w:r>
              <w:rPr>
                <w:rFonts w:ascii="Arial" w:cs="Arial" w:eastAsia="Arial" w:hAnsi="Arial"/>
                <w:sz w:val="18"/>
                <w:szCs w:val="18"/>
                <w:color w:val="auto"/>
              </w:rPr>
              <w:t>March 16, 2018</w:t>
            </w:r>
          </w:p>
        </w:tc>
        <w:tc>
          <w:tcPr>
            <w:tcW w:w="200" w:type="dxa"/>
            <w:vAlign w:val="bottom"/>
            <w:tcBorders>
              <w:bottom w:val="single" w:sz="8" w:color="auto"/>
              <w:right w:val="single" w:sz="8" w:color="auto"/>
            </w:tcBorders>
            <w:shd w:val="clear" w:color="auto" w:fill="D9E2F3"/>
          </w:tcPr>
          <w:p>
            <w:pPr>
              <w:spacing w:after="0"/>
              <w:rPr>
                <w:sz w:val="18"/>
                <w:szCs w:val="18"/>
                <w:color w:val="auto"/>
              </w:rPr>
            </w:pPr>
          </w:p>
        </w:tc>
        <w:tc>
          <w:tcPr>
            <w:tcW w:w="1060" w:type="dxa"/>
            <w:vAlign w:val="bottom"/>
            <w:tcBorders>
              <w:bottom w:val="single" w:sz="8" w:color="auto"/>
              <w:right w:val="single" w:sz="8" w:color="auto"/>
            </w:tcBorders>
            <w:shd w:val="clear" w:color="auto" w:fill="D9E2F3"/>
          </w:tcPr>
          <w:p>
            <w:pPr>
              <w:jc w:val="right"/>
              <w:spacing w:after="0"/>
              <w:rPr>
                <w:sz w:val="20"/>
                <w:szCs w:val="20"/>
                <w:color w:val="auto"/>
              </w:rPr>
            </w:pPr>
            <w:r>
              <w:rPr>
                <w:rFonts w:ascii="Arial" w:cs="Arial" w:eastAsia="Arial" w:hAnsi="Arial"/>
                <w:sz w:val="18"/>
                <w:szCs w:val="18"/>
                <w:color w:val="auto"/>
              </w:rPr>
              <w:t>333-223694</w:t>
            </w:r>
          </w:p>
        </w:tc>
        <w:tc>
          <w:tcPr>
            <w:tcW w:w="200" w:type="dxa"/>
            <w:vAlign w:val="bottom"/>
            <w:tcBorders>
              <w:bottom w:val="single" w:sz="8" w:color="auto"/>
              <w:right w:val="single" w:sz="8" w:color="auto"/>
            </w:tcBorders>
            <w:shd w:val="clear" w:color="auto" w:fill="D9E2F3"/>
          </w:tcPr>
          <w:p>
            <w:pPr>
              <w:spacing w:after="0"/>
              <w:rPr>
                <w:sz w:val="18"/>
                <w:szCs w:val="18"/>
                <w:color w:val="auto"/>
              </w:rPr>
            </w:pPr>
          </w:p>
        </w:tc>
        <w:tc>
          <w:tcPr>
            <w:tcW w:w="2360" w:type="dxa"/>
            <w:vAlign w:val="bottom"/>
            <w:tcBorders>
              <w:bottom w:val="single" w:sz="8" w:color="auto"/>
              <w:right w:val="single" w:sz="8" w:color="auto"/>
            </w:tcBorders>
            <w:shd w:val="clear" w:color="auto" w:fill="D9E2F3"/>
          </w:tcPr>
          <w:p>
            <w:pPr>
              <w:spacing w:after="0"/>
              <w:rPr>
                <w:sz w:val="20"/>
                <w:szCs w:val="20"/>
                <w:color w:val="auto"/>
              </w:rPr>
            </w:pPr>
            <w:r>
              <w:rPr>
                <w:rFonts w:ascii="Arial" w:cs="Arial" w:eastAsia="Arial" w:hAnsi="Arial"/>
                <w:sz w:val="18"/>
                <w:szCs w:val="18"/>
                <w:color w:val="auto"/>
                <w:w w:val="96"/>
              </w:rPr>
              <w:t>“2018 Registration Statement”</w:t>
            </w:r>
          </w:p>
        </w:tc>
        <w:tc>
          <w:tcPr>
            <w:tcW w:w="220" w:type="dxa"/>
            <w:vAlign w:val="bottom"/>
            <w:tcBorders>
              <w:bottom w:val="single" w:sz="8" w:color="auto"/>
              <w:right w:val="single" w:sz="8" w:color="auto"/>
            </w:tcBorders>
            <w:shd w:val="clear" w:color="auto" w:fill="D9E2F3"/>
          </w:tcPr>
          <w:p>
            <w:pPr>
              <w:spacing w:after="0"/>
              <w:rPr>
                <w:sz w:val="18"/>
                <w:szCs w:val="18"/>
                <w:color w:val="auto"/>
              </w:rPr>
            </w:pPr>
          </w:p>
        </w:tc>
        <w:tc>
          <w:tcPr>
            <w:tcW w:w="1640" w:type="dxa"/>
            <w:vAlign w:val="bottom"/>
            <w:tcBorders>
              <w:bottom w:val="single" w:sz="8" w:color="auto"/>
              <w:right w:val="single" w:sz="8" w:color="auto"/>
            </w:tcBorders>
            <w:shd w:val="clear" w:color="auto" w:fill="D9E2F3"/>
          </w:tcPr>
          <w:p>
            <w:pPr>
              <w:jc w:val="right"/>
              <w:spacing w:after="0"/>
              <w:rPr>
                <w:sz w:val="20"/>
                <w:szCs w:val="20"/>
                <w:color w:val="auto"/>
              </w:rPr>
            </w:pPr>
            <w:r>
              <w:rPr>
                <w:rFonts w:ascii="Arial" w:cs="Arial" w:eastAsia="Arial" w:hAnsi="Arial"/>
                <w:sz w:val="18"/>
                <w:szCs w:val="18"/>
                <w:color w:val="auto"/>
              </w:rPr>
              <w:t>1,901,339</w:t>
            </w:r>
          </w:p>
        </w:tc>
        <w:tc>
          <w:tcPr>
            <w:tcW w:w="200" w:type="dxa"/>
            <w:vAlign w:val="bottom"/>
            <w:tcBorders>
              <w:bottom w:val="single" w:sz="8" w:color="auto"/>
              <w:right w:val="single" w:sz="8" w:color="auto"/>
            </w:tcBorders>
            <w:shd w:val="clear" w:color="auto" w:fill="D9E2F3"/>
          </w:tcPr>
          <w:p>
            <w:pPr>
              <w:spacing w:after="0"/>
              <w:rPr>
                <w:sz w:val="18"/>
                <w:szCs w:val="18"/>
                <w:color w:val="auto"/>
              </w:rPr>
            </w:pPr>
          </w:p>
        </w:tc>
        <w:tc>
          <w:tcPr>
            <w:tcW w:w="600" w:type="dxa"/>
            <w:vAlign w:val="bottom"/>
            <w:tcBorders>
              <w:bottom w:val="single" w:sz="8" w:color="auto"/>
              <w:right w:val="single" w:sz="8" w:color="auto"/>
            </w:tcBorders>
            <w:shd w:val="clear" w:color="auto" w:fill="D9E2F3"/>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right w:val="single" w:sz="8" w:color="auto"/>
            </w:tcBorders>
            <w:shd w:val="clear" w:color="auto" w:fill="D9E2F3"/>
          </w:tcPr>
          <w:p>
            <w:pPr>
              <w:spacing w:after="0"/>
              <w:rPr>
                <w:sz w:val="18"/>
                <w:szCs w:val="18"/>
                <w:color w:val="auto"/>
              </w:rPr>
            </w:pPr>
          </w:p>
        </w:tc>
        <w:tc>
          <w:tcPr>
            <w:tcW w:w="600" w:type="dxa"/>
            <w:vAlign w:val="bottom"/>
            <w:tcBorders>
              <w:bottom w:val="single" w:sz="8" w:color="auto"/>
              <w:right w:val="single" w:sz="8" w:color="auto"/>
            </w:tcBorders>
            <w:shd w:val="clear" w:color="auto" w:fill="D9E2F3"/>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March 8, 2019</w:t>
            </w:r>
          </w:p>
        </w:tc>
        <w:tc>
          <w:tcPr>
            <w:tcW w:w="20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333-230156</w:t>
            </w:r>
          </w:p>
        </w:tc>
        <w:tc>
          <w:tcPr>
            <w:tcW w:w="2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“2019 Registration Statement”</w:t>
            </w:r>
          </w:p>
        </w:tc>
        <w:tc>
          <w:tcPr>
            <w:tcW w:w="2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2,490,417</w:t>
            </w:r>
          </w:p>
        </w:tc>
        <w:tc>
          <w:tcPr>
            <w:tcW w:w="20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6"/>
              </w:rPr>
              <w:t>622,604</w:t>
            </w:r>
          </w:p>
        </w:tc>
        <w:tc>
          <w:tcPr>
            <w:tcW w:w="2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6"/>
              </w:rPr>
              <w:t>457,767</w:t>
            </w:r>
          </w:p>
        </w:tc>
      </w:tr>
      <w:tr>
        <w:trPr>
          <w:trHeight w:val="209"/>
        </w:trPr>
        <w:tc>
          <w:tcPr>
            <w:tcW w:w="1560" w:type="dxa"/>
            <w:vAlign w:val="bottom"/>
            <w:tcBorders>
              <w:left w:val="single" w:sz="8" w:color="auto"/>
              <w:bottom w:val="single" w:sz="8" w:color="auto"/>
              <w:right w:val="single" w:sz="8" w:color="auto"/>
            </w:tcBorders>
            <w:shd w:val="clear" w:color="auto" w:fill="D9E2F3"/>
          </w:tcPr>
          <w:p>
            <w:pPr>
              <w:ind w:left="20"/>
              <w:spacing w:after="0"/>
              <w:rPr>
                <w:sz w:val="20"/>
                <w:szCs w:val="20"/>
                <w:color w:val="auto"/>
              </w:rPr>
            </w:pPr>
            <w:r>
              <w:rPr>
                <w:rFonts w:ascii="Arial" w:cs="Arial" w:eastAsia="Arial" w:hAnsi="Arial"/>
                <w:sz w:val="18"/>
                <w:szCs w:val="18"/>
                <w:color w:val="auto"/>
              </w:rPr>
              <w:t>March 10, 2020</w:t>
            </w:r>
          </w:p>
        </w:tc>
        <w:tc>
          <w:tcPr>
            <w:tcW w:w="200" w:type="dxa"/>
            <w:vAlign w:val="bottom"/>
            <w:tcBorders>
              <w:bottom w:val="single" w:sz="8" w:color="auto"/>
              <w:right w:val="single" w:sz="8" w:color="auto"/>
            </w:tcBorders>
            <w:shd w:val="clear" w:color="auto" w:fill="D9E2F3"/>
          </w:tcPr>
          <w:p>
            <w:pPr>
              <w:spacing w:after="0"/>
              <w:rPr>
                <w:sz w:val="18"/>
                <w:szCs w:val="18"/>
                <w:color w:val="auto"/>
              </w:rPr>
            </w:pPr>
          </w:p>
        </w:tc>
        <w:tc>
          <w:tcPr>
            <w:tcW w:w="1060" w:type="dxa"/>
            <w:vAlign w:val="bottom"/>
            <w:tcBorders>
              <w:bottom w:val="single" w:sz="8" w:color="auto"/>
              <w:right w:val="single" w:sz="8" w:color="auto"/>
            </w:tcBorders>
            <w:shd w:val="clear" w:color="auto" w:fill="D9E2F3"/>
          </w:tcPr>
          <w:p>
            <w:pPr>
              <w:jc w:val="right"/>
              <w:spacing w:after="0"/>
              <w:rPr>
                <w:sz w:val="20"/>
                <w:szCs w:val="20"/>
                <w:color w:val="auto"/>
              </w:rPr>
            </w:pPr>
            <w:r>
              <w:rPr>
                <w:rFonts w:ascii="Arial" w:cs="Arial" w:eastAsia="Arial" w:hAnsi="Arial"/>
                <w:sz w:val="18"/>
                <w:szCs w:val="18"/>
                <w:color w:val="auto"/>
              </w:rPr>
              <w:t>333-237057</w:t>
            </w:r>
          </w:p>
        </w:tc>
        <w:tc>
          <w:tcPr>
            <w:tcW w:w="200" w:type="dxa"/>
            <w:vAlign w:val="bottom"/>
            <w:tcBorders>
              <w:bottom w:val="single" w:sz="8" w:color="auto"/>
              <w:right w:val="single" w:sz="8" w:color="auto"/>
            </w:tcBorders>
            <w:shd w:val="clear" w:color="auto" w:fill="D9E2F3"/>
          </w:tcPr>
          <w:p>
            <w:pPr>
              <w:spacing w:after="0"/>
              <w:rPr>
                <w:sz w:val="18"/>
                <w:szCs w:val="18"/>
                <w:color w:val="auto"/>
              </w:rPr>
            </w:pPr>
          </w:p>
        </w:tc>
        <w:tc>
          <w:tcPr>
            <w:tcW w:w="2360" w:type="dxa"/>
            <w:vAlign w:val="bottom"/>
            <w:tcBorders>
              <w:bottom w:val="single" w:sz="8" w:color="auto"/>
              <w:right w:val="single" w:sz="8" w:color="auto"/>
            </w:tcBorders>
            <w:shd w:val="clear" w:color="auto" w:fill="D9E2F3"/>
          </w:tcPr>
          <w:p>
            <w:pPr>
              <w:spacing w:after="0"/>
              <w:rPr>
                <w:sz w:val="20"/>
                <w:szCs w:val="20"/>
                <w:color w:val="auto"/>
              </w:rPr>
            </w:pPr>
            <w:r>
              <w:rPr>
                <w:rFonts w:ascii="Arial" w:cs="Arial" w:eastAsia="Arial" w:hAnsi="Arial"/>
                <w:sz w:val="18"/>
                <w:szCs w:val="18"/>
                <w:color w:val="auto"/>
                <w:w w:val="96"/>
              </w:rPr>
              <w:t>"2020 Registration Statement"</w:t>
            </w:r>
          </w:p>
        </w:tc>
        <w:tc>
          <w:tcPr>
            <w:tcW w:w="220" w:type="dxa"/>
            <w:vAlign w:val="bottom"/>
            <w:tcBorders>
              <w:bottom w:val="single" w:sz="8" w:color="auto"/>
              <w:right w:val="single" w:sz="8" w:color="auto"/>
            </w:tcBorders>
            <w:shd w:val="clear" w:color="auto" w:fill="D9E2F3"/>
          </w:tcPr>
          <w:p>
            <w:pPr>
              <w:spacing w:after="0"/>
              <w:rPr>
                <w:sz w:val="18"/>
                <w:szCs w:val="18"/>
                <w:color w:val="auto"/>
              </w:rPr>
            </w:pPr>
          </w:p>
        </w:tc>
        <w:tc>
          <w:tcPr>
            <w:tcW w:w="1640" w:type="dxa"/>
            <w:vAlign w:val="bottom"/>
            <w:tcBorders>
              <w:bottom w:val="single" w:sz="8" w:color="auto"/>
              <w:right w:val="single" w:sz="8" w:color="auto"/>
            </w:tcBorders>
            <w:shd w:val="clear" w:color="auto" w:fill="D9E2F3"/>
          </w:tcPr>
          <w:p>
            <w:pPr>
              <w:jc w:val="right"/>
              <w:spacing w:after="0"/>
              <w:rPr>
                <w:sz w:val="20"/>
                <w:szCs w:val="20"/>
                <w:color w:val="auto"/>
              </w:rPr>
            </w:pPr>
            <w:r>
              <w:rPr>
                <w:rFonts w:ascii="Arial" w:cs="Arial" w:eastAsia="Arial" w:hAnsi="Arial"/>
                <w:sz w:val="18"/>
                <w:szCs w:val="18"/>
                <w:color w:val="auto"/>
              </w:rPr>
              <w:t>3,552,709</w:t>
            </w:r>
          </w:p>
        </w:tc>
        <w:tc>
          <w:tcPr>
            <w:tcW w:w="200" w:type="dxa"/>
            <w:vAlign w:val="bottom"/>
            <w:tcBorders>
              <w:bottom w:val="single" w:sz="8" w:color="auto"/>
              <w:right w:val="single" w:sz="8" w:color="auto"/>
            </w:tcBorders>
            <w:shd w:val="clear" w:color="auto" w:fill="D9E2F3"/>
          </w:tcPr>
          <w:p>
            <w:pPr>
              <w:spacing w:after="0"/>
              <w:rPr>
                <w:sz w:val="18"/>
                <w:szCs w:val="18"/>
                <w:color w:val="auto"/>
              </w:rPr>
            </w:pPr>
          </w:p>
        </w:tc>
        <w:tc>
          <w:tcPr>
            <w:tcW w:w="600" w:type="dxa"/>
            <w:vAlign w:val="bottom"/>
            <w:tcBorders>
              <w:bottom w:val="single" w:sz="8" w:color="auto"/>
              <w:right w:val="single" w:sz="8" w:color="auto"/>
            </w:tcBorders>
            <w:shd w:val="clear" w:color="auto" w:fill="D9E2F3"/>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right w:val="single" w:sz="8" w:color="auto"/>
            </w:tcBorders>
            <w:shd w:val="clear" w:color="auto" w:fill="D9E2F3"/>
          </w:tcPr>
          <w:p>
            <w:pPr>
              <w:spacing w:after="0"/>
              <w:rPr>
                <w:sz w:val="18"/>
                <w:szCs w:val="18"/>
                <w:color w:val="auto"/>
              </w:rPr>
            </w:pPr>
          </w:p>
        </w:tc>
        <w:tc>
          <w:tcPr>
            <w:tcW w:w="600" w:type="dxa"/>
            <w:vAlign w:val="bottom"/>
            <w:tcBorders>
              <w:bottom w:val="single" w:sz="8" w:color="auto"/>
              <w:right w:val="single" w:sz="8" w:color="auto"/>
            </w:tcBorders>
            <w:shd w:val="clear" w:color="auto" w:fill="D9E2F3"/>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The Registrant is hereby registering an additional 3,743,999 shares of Common Stock issuable under the 2014 Plan, an additional 935,999 shares of Common Stock issuable under the ESPP and additional 457,767 shares of Common Stock issuable under the 2016 Plan which shares are now available for grant due to automatic annual increase provisions in each respective plan.</w:t>
      </w:r>
    </w:p>
    <w:p>
      <w:pPr>
        <w:spacing w:after="0" w:line="187" w:lineRule="exact"/>
        <w:rPr>
          <w:sz w:val="20"/>
          <w:szCs w:val="20"/>
          <w:color w:val="auto"/>
        </w:rPr>
      </w:pPr>
    </w:p>
    <w:p>
      <w:pPr>
        <w:ind w:left="60" w:right="199"/>
        <w:spacing w:after="0" w:line="220" w:lineRule="exact"/>
        <w:rPr>
          <w:sz w:val="20"/>
          <w:szCs w:val="20"/>
          <w:color w:val="auto"/>
        </w:rPr>
      </w:pPr>
      <w:r>
        <w:rPr>
          <w:rFonts w:ascii="Arial" w:cs="Arial" w:eastAsia="Arial" w:hAnsi="Arial"/>
          <w:sz w:val="18"/>
          <w:szCs w:val="18"/>
          <w:color w:val="auto"/>
        </w:rPr>
        <w:t>Pursuant to Instruction E of Form S</w:t>
      </w:r>
      <w:r>
        <w:rPr>
          <w:rFonts w:ascii="MS PGothic" w:cs="MS PGothic" w:eastAsia="MS PGothic" w:hAnsi="MS PGothic"/>
          <w:sz w:val="18"/>
          <w:szCs w:val="18"/>
          <w:color w:val="auto"/>
        </w:rPr>
        <w:t>‑</w:t>
      </w:r>
      <w:r>
        <w:rPr>
          <w:rFonts w:ascii="Arial" w:cs="Arial" w:eastAsia="Arial" w:hAnsi="Arial"/>
          <w:sz w:val="18"/>
          <w:szCs w:val="18"/>
          <w:color w:val="auto"/>
        </w:rPr>
        <w:t>8, the contents of the Original Registration Statement, the 2015 Registration Statement, the 2016 Registration Statement, the 2017 Registration Statement, the 2018 Registration Statement the 2019 Registration Statement and the 2020 Registration Statement are incorporated by reference in this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8.</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information called for in Part I of Form S-8 is not being filed with or included in this Form S-8 (by incorporation by reference or otherwise) in accordance with the rules and regulations of the SEC.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 this registration statement, Ardelyx, Inc. is sometimes referred to as “Registrant,” “we,” “us” or “our.”</w:t>
      </w:r>
    </w:p>
    <w:p>
      <w:pPr>
        <w:spacing w:after="0" w:line="221"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Incorporation of Documents by Reference</w:t>
      </w:r>
      <w:r>
        <w:rPr>
          <w:rFonts w:ascii="Arial" w:cs="Arial" w:eastAsia="Arial" w:hAnsi="Arial"/>
          <w:sz w:val="16"/>
          <w:szCs w:val="16"/>
          <w:b w:val="1"/>
          <w:bCs w:val="1"/>
          <w:color w:val="auto"/>
        </w:rPr>
        <w:t>.</w:t>
      </w:r>
    </w:p>
    <w:p>
      <w:pPr>
        <w:spacing w:after="0" w:line="229" w:lineRule="exact"/>
        <w:rPr>
          <w:sz w:val="20"/>
          <w:szCs w:val="20"/>
          <w:color w:val="auto"/>
        </w:rPr>
      </w:pPr>
    </w:p>
    <w:p>
      <w:pPr>
        <w:ind w:left="60" w:right="399"/>
        <w:spacing w:after="0" w:line="342"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to those documents. The information incorporated by reference is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293370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60" w:right="219"/>
        <w:spacing w:after="0" w:line="263" w:lineRule="auto"/>
        <w:rPr>
          <w:sz w:val="20"/>
          <w:szCs w:val="20"/>
          <w:color w:val="auto"/>
        </w:rPr>
      </w:pPr>
      <w:r>
        <w:rPr>
          <w:rFonts w:ascii="Arial" w:cs="Arial" w:eastAsia="Arial" w:hAnsi="Arial"/>
          <w:sz w:val="18"/>
          <w:szCs w:val="18"/>
          <w:color w:val="auto"/>
        </w:rPr>
        <w:t>to be part of this registration statement, and later information filed with the SEC will update and supersede this information. We hereby incorporate by reference into this registration statement the following documents previously filed with the SEC:</w:t>
      </w:r>
    </w:p>
    <w:p>
      <w:pPr>
        <w:spacing w:after="0" w:line="184" w:lineRule="exact"/>
        <w:rPr>
          <w:sz w:val="20"/>
          <w:szCs w:val="20"/>
          <w:color w:val="auto"/>
        </w:rPr>
      </w:pPr>
    </w:p>
    <w:p>
      <w:pPr>
        <w:ind w:left="380" w:right="199" w:hanging="330"/>
        <w:spacing w:after="0" w:line="277" w:lineRule="auto"/>
        <w:tabs>
          <w:tab w:leader="none" w:pos="380" w:val="left"/>
        </w:tabs>
        <w:numPr>
          <w:ilvl w:val="0"/>
          <w:numId w:val="2"/>
        </w:numPr>
        <w:rPr>
          <w:rFonts w:ascii="Arial" w:cs="Arial" w:eastAsia="Arial" w:hAnsi="Arial"/>
          <w:sz w:val="18"/>
          <w:szCs w:val="18"/>
          <w:color w:val="0000EE"/>
        </w:rPr>
      </w:pPr>
      <w:hyperlink r:id="rId22">
        <w:r>
          <w:rPr>
            <w:rFonts w:ascii="Arial" w:cs="Arial" w:eastAsia="Arial" w:hAnsi="Arial"/>
            <w:sz w:val="18"/>
            <w:szCs w:val="18"/>
            <w:u w:val="single" w:color="auto"/>
            <w:color w:val="0000EE"/>
          </w:rPr>
          <w:t>The Registrant’s Annual Report on Form 10-K for the fiscal year ended December 31, 2020, as filed with the SEC on</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March 8, 2021 (File No. 001-36485)</w:t>
        </w:r>
        <w:r>
          <w:rPr>
            <w:rFonts w:ascii="Arial" w:cs="Arial" w:eastAsia="Arial" w:hAnsi="Arial"/>
            <w:sz w:val="18"/>
            <w:szCs w:val="18"/>
            <w:color w:val="000000"/>
          </w:rPr>
          <w:t>; and</w:t>
        </w:r>
      </w:hyperlink>
    </w:p>
    <w:p>
      <w:pPr>
        <w:spacing w:after="0" w:line="170" w:lineRule="exact"/>
        <w:rPr>
          <w:rFonts w:ascii="Arial" w:cs="Arial" w:eastAsia="Arial" w:hAnsi="Arial"/>
          <w:sz w:val="18"/>
          <w:szCs w:val="18"/>
          <w:color w:val="0000EE"/>
        </w:rPr>
      </w:pPr>
    </w:p>
    <w:p>
      <w:pPr>
        <w:ind w:left="380" w:right="239" w:hanging="330"/>
        <w:spacing w:after="0" w:line="259" w:lineRule="auto"/>
        <w:tabs>
          <w:tab w:leader="none" w:pos="380" w:val="left"/>
        </w:tabs>
        <w:numPr>
          <w:ilvl w:val="0"/>
          <w:numId w:val="2"/>
        </w:numPr>
        <w:rPr>
          <w:rFonts w:ascii="Arial" w:cs="Arial" w:eastAsia="Arial" w:hAnsi="Arial"/>
          <w:sz w:val="18"/>
          <w:szCs w:val="18"/>
          <w:color w:val="0000EE"/>
        </w:rPr>
      </w:pPr>
      <w:hyperlink r:id="rId23">
        <w:r>
          <w:rPr>
            <w:rFonts w:ascii="Arial" w:cs="Arial" w:eastAsia="Arial" w:hAnsi="Arial"/>
            <w:sz w:val="18"/>
            <w:szCs w:val="18"/>
            <w:u w:val="single" w:color="auto"/>
            <w:color w:val="0000EE"/>
          </w:rPr>
          <w:t>The description of the Registrant’s Common Stock contained in the Registrant’s registration statement on Form 8-A</w:t>
        </w:r>
      </w:hyperlink>
      <w:r>
        <w:rPr>
          <w:rFonts w:ascii="Arial" w:cs="Arial" w:eastAsia="Arial" w:hAnsi="Arial"/>
          <w:sz w:val="18"/>
          <w:szCs w:val="18"/>
          <w:u w:val="single" w:color="auto"/>
          <w:color w:val="0000EE"/>
        </w:rPr>
        <w:t xml:space="preserve"> </w:t>
      </w:r>
      <w:hyperlink r:id="rId23">
        <w:r>
          <w:rPr>
            <w:rFonts w:ascii="Arial" w:cs="Arial" w:eastAsia="Arial" w:hAnsi="Arial"/>
            <w:sz w:val="18"/>
            <w:szCs w:val="18"/>
            <w:u w:val="single" w:color="auto"/>
            <w:color w:val="0000EE"/>
          </w:rPr>
          <w:t>(File No. 001-36485), filed by the Registrant with the SEC under Section 12(b) of the Securities Exchange Act of</w:t>
        </w:r>
      </w:hyperlink>
      <w:r>
        <w:rPr>
          <w:rFonts w:ascii="Arial" w:cs="Arial" w:eastAsia="Arial" w:hAnsi="Arial"/>
          <w:sz w:val="18"/>
          <w:szCs w:val="18"/>
          <w:u w:val="single" w:color="auto"/>
          <w:color w:val="0000EE"/>
        </w:rPr>
        <w:t xml:space="preserve"> </w:t>
      </w:r>
      <w:hyperlink r:id="rId23">
        <w:r>
          <w:rPr>
            <w:rFonts w:ascii="Arial" w:cs="Arial" w:eastAsia="Arial" w:hAnsi="Arial"/>
            <w:sz w:val="18"/>
            <w:szCs w:val="18"/>
            <w:u w:val="single" w:color="auto"/>
            <w:color w:val="0000EE"/>
          </w:rPr>
          <w:t>1934, as amended (the “Exchange Act”), on June 9, 2014</w:t>
        </w:r>
        <w:r>
          <w:rPr>
            <w:rFonts w:ascii="Arial" w:cs="Arial" w:eastAsia="Arial" w:hAnsi="Arial"/>
            <w:sz w:val="18"/>
            <w:szCs w:val="18"/>
            <w:color w:val="000000"/>
          </w:rPr>
          <w:t>, including any amendments or reports filed for the purpose</w:t>
        </w:r>
      </w:hyperlink>
      <w:r>
        <w:rPr>
          <w:rFonts w:ascii="Arial" w:cs="Arial" w:eastAsia="Arial" w:hAnsi="Arial"/>
          <w:sz w:val="18"/>
          <w:szCs w:val="18"/>
          <w:color w:val="0000EE"/>
        </w:rPr>
        <w:t xml:space="preserve"> </w:t>
      </w:r>
      <w:r>
        <w:rPr>
          <w:rFonts w:ascii="Arial" w:cs="Arial" w:eastAsia="Arial" w:hAnsi="Arial"/>
          <w:sz w:val="18"/>
          <w:szCs w:val="18"/>
          <w:color w:val="000000"/>
        </w:rPr>
        <w:t>of updating such description.</w:t>
      </w:r>
    </w:p>
    <w:p>
      <w:pPr>
        <w:spacing w:after="0" w:line="187" w:lineRule="exact"/>
        <w:rPr>
          <w:rFonts w:ascii="Arial" w:cs="Arial" w:eastAsia="Arial" w:hAnsi="Arial"/>
          <w:sz w:val="18"/>
          <w:szCs w:val="18"/>
          <w:u w:val="single" w:color="auto"/>
          <w:color w:val="0000EE"/>
        </w:rPr>
      </w:pPr>
    </w:p>
    <w:p>
      <w:pPr>
        <w:ind w:left="60" w:right="279"/>
        <w:spacing w:after="0" w:line="311" w:lineRule="auto"/>
        <w:rPr>
          <w:sz w:val="20"/>
          <w:szCs w:val="20"/>
          <w:color w:val="auto"/>
        </w:rPr>
      </w:pPr>
      <w:r>
        <w:rPr>
          <w:rFonts w:ascii="Arial" w:cs="Arial" w:eastAsia="Arial" w:hAnsi="Arial"/>
          <w:sz w:val="16"/>
          <w:szCs w:val="16"/>
          <w:color w:val="auto"/>
        </w:rPr>
        <w:t>All documents that the Registrant subsequently files pursuant to Sections 13(a), 13(c), 14 and 15(d) of the Exchange Act prior to the filing of a post-effective amendment to the registration statement which indicates that all of the shares of Common Stock offered have been sold or which deregisters all of such shares then remaining unsold, shall</w:t>
      </w:r>
    </w:p>
    <w:p>
      <w:pPr>
        <w:spacing w:after="0" w:line="149" w:lineRule="exact"/>
        <w:rPr>
          <w:rFonts w:ascii="Arial" w:cs="Arial" w:eastAsia="Arial" w:hAnsi="Arial"/>
          <w:sz w:val="18"/>
          <w:szCs w:val="18"/>
          <w:u w:val="single" w:color="auto"/>
          <w:color w:val="0000EE"/>
        </w:rPr>
      </w:pPr>
    </w:p>
    <w:p>
      <w:pPr>
        <w:ind w:left="60" w:right="119"/>
        <w:spacing w:after="0" w:line="289" w:lineRule="auto"/>
        <w:rPr>
          <w:sz w:val="20"/>
          <w:szCs w:val="20"/>
          <w:color w:val="auto"/>
        </w:rPr>
      </w:pPr>
      <w:r>
        <w:rPr>
          <w:rFonts w:ascii="Arial" w:cs="Arial" w:eastAsia="Arial" w:hAnsi="Arial"/>
          <w:sz w:val="16"/>
          <w:szCs w:val="16"/>
          <w:color w:val="auto"/>
        </w:rPr>
        <w:t>be deemed to be incorporated by reference in this registration statement and to be a part hereof from the date of the filing of such documents; except as to any portion of any future annual or quarterly report to stockholders, or document or current report furnished under any current or future items of Form 8-K (including current Items 2.02 and 7.01, and exhibits furnished on such form that relate to such items), in each case, that is not deemed filed under such provisions.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66" w:lineRule="exact"/>
        <w:rPr>
          <w:rFonts w:ascii="Arial" w:cs="Arial" w:eastAsia="Arial" w:hAnsi="Arial"/>
          <w:sz w:val="18"/>
          <w:szCs w:val="18"/>
          <w:u w:val="single" w:color="auto"/>
          <w:color w:val="0000EE"/>
        </w:rPr>
      </w:pPr>
    </w:p>
    <w:p>
      <w:pPr>
        <w:ind w:left="60" w:right="99"/>
        <w:spacing w:after="0" w:line="263" w:lineRule="auto"/>
        <w:rPr>
          <w:sz w:val="20"/>
          <w:szCs w:val="20"/>
          <w:color w:val="auto"/>
        </w:rPr>
      </w:pPr>
      <w:r>
        <w:rPr>
          <w:rFonts w:ascii="Arial" w:cs="Arial" w:eastAsia="Arial" w:hAnsi="Arial"/>
          <w:sz w:val="18"/>
          <w:szCs w:val="18"/>
          <w:color w:val="auto"/>
        </w:rPr>
        <w:t>Under no circumstances will any information filed under current Items 2.02 or 7.01 of Form 8-K, and exhibits furnished on such form that relate to such items, be deemed incorporated herein by reference unless such Form 8-K expressly provides to the contrary.</w:t>
      </w:r>
    </w:p>
    <w:p>
      <w:pPr>
        <w:spacing w:after="0" w:line="180" w:lineRule="exact"/>
        <w:rPr>
          <w:rFonts w:ascii="Arial" w:cs="Arial" w:eastAsia="Arial" w:hAnsi="Arial"/>
          <w:sz w:val="18"/>
          <w:szCs w:val="18"/>
          <w:u w:val="single" w:color="auto"/>
          <w:color w:val="0000EE"/>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Description of Securities</w:t>
      </w:r>
      <w:r>
        <w:rPr>
          <w:rFonts w:ascii="Arial" w:cs="Arial" w:eastAsia="Arial" w:hAnsi="Arial"/>
          <w:sz w:val="15"/>
          <w:szCs w:val="15"/>
          <w:b w:val="1"/>
          <w:bCs w:val="1"/>
          <w:color w:val="auto"/>
        </w:rPr>
        <w:t>.</w:t>
      </w:r>
    </w:p>
    <w:p>
      <w:pPr>
        <w:spacing w:after="0" w:line="229"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u w:val="single" w:color="auto"/>
          <w:color w:val="0000EE"/>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Interests of Named Experts and Counsel</w:t>
      </w:r>
      <w:r>
        <w:rPr>
          <w:rFonts w:ascii="Arial" w:cs="Arial" w:eastAsia="Arial" w:hAnsi="Arial"/>
          <w:sz w:val="16"/>
          <w:szCs w:val="16"/>
          <w:b w:val="1"/>
          <w:bCs w:val="1"/>
          <w:color w:val="auto"/>
        </w:rPr>
        <w:t>.</w:t>
      </w:r>
    </w:p>
    <w:p>
      <w:pPr>
        <w:spacing w:after="0" w:line="229"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u w:val="single" w:color="auto"/>
          <w:color w:val="0000EE"/>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Indemnification of Directors and Officers</w:t>
      </w:r>
      <w:r>
        <w:rPr>
          <w:rFonts w:ascii="Arial" w:cs="Arial" w:eastAsia="Arial" w:hAnsi="Arial"/>
          <w:sz w:val="16"/>
          <w:szCs w:val="16"/>
          <w:b w:val="1"/>
          <w:bCs w:val="1"/>
          <w:color w:val="auto"/>
        </w:rPr>
        <w:t>.</w:t>
      </w:r>
    </w:p>
    <w:p>
      <w:pPr>
        <w:spacing w:after="0" w:line="229" w:lineRule="exact"/>
        <w:rPr>
          <w:rFonts w:ascii="Arial" w:cs="Arial" w:eastAsia="Arial" w:hAnsi="Arial"/>
          <w:sz w:val="18"/>
          <w:szCs w:val="18"/>
          <w:u w:val="single" w:color="auto"/>
          <w:color w:val="0000EE"/>
        </w:rPr>
      </w:pPr>
    </w:p>
    <w:p>
      <w:pPr>
        <w:ind w:left="60" w:right="79"/>
        <w:spacing w:after="0" w:line="255" w:lineRule="auto"/>
        <w:rPr>
          <w:sz w:val="20"/>
          <w:szCs w:val="20"/>
          <w:color w:val="auto"/>
        </w:rPr>
      </w:pPr>
      <w:r>
        <w:rPr>
          <w:rFonts w:ascii="Arial" w:cs="Arial" w:eastAsia="Arial" w:hAnsi="Arial"/>
          <w:sz w:val="18"/>
          <w:szCs w:val="18"/>
          <w:color w:val="auto"/>
        </w:rPr>
        <w:t>As permitted by Section 102 of the Delaware General Corporation Law, we have adopted provisions in our amended and restated certificate of incorporation and bylaws that limit or eliminate the personal liability of our directors for a breach of their fiduciary duties of care as directors.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92" w:lineRule="exact"/>
        <w:rPr>
          <w:rFonts w:ascii="Arial" w:cs="Arial" w:eastAsia="Arial" w:hAnsi="Arial"/>
          <w:sz w:val="18"/>
          <w:szCs w:val="18"/>
          <w:u w:val="single" w:color="auto"/>
          <w:color w:val="0000EE"/>
        </w:rPr>
      </w:pPr>
    </w:p>
    <w:p>
      <w:pPr>
        <w:ind w:left="700" w:hanging="32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36" w:lineRule="exact"/>
        <w:rPr>
          <w:rFonts w:ascii="Arial" w:cs="Arial" w:eastAsia="Arial" w:hAnsi="Arial"/>
          <w:sz w:val="17"/>
          <w:szCs w:val="17"/>
          <w:color w:val="auto"/>
        </w:rPr>
      </w:pPr>
    </w:p>
    <w:p>
      <w:pPr>
        <w:ind w:left="700" w:hanging="326"/>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act related to unlawful stock repurchases, redemptions or other distributions or payment of dividends; or</w:t>
      </w:r>
    </w:p>
    <w:p>
      <w:pPr>
        <w:spacing w:after="0" w:line="236" w:lineRule="exact"/>
        <w:rPr>
          <w:rFonts w:ascii="Arial" w:cs="Arial" w:eastAsia="Arial" w:hAnsi="Arial"/>
          <w:sz w:val="17"/>
          <w:szCs w:val="17"/>
          <w:color w:val="auto"/>
        </w:rPr>
      </w:pPr>
    </w:p>
    <w:p>
      <w:pPr>
        <w:ind w:left="700" w:hanging="32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jc w:val="both"/>
        <w:ind w:left="60" w:right="139"/>
        <w:spacing w:after="0" w:line="263" w:lineRule="auto"/>
        <w:rPr>
          <w:sz w:val="20"/>
          <w:szCs w:val="20"/>
          <w:color w:val="auto"/>
        </w:rPr>
      </w:pPr>
      <w:r>
        <w:rPr>
          <w:rFonts w:ascii="Arial" w:cs="Arial" w:eastAsia="Arial" w:hAnsi="Arial"/>
          <w:sz w:val="18"/>
          <w:szCs w:val="18"/>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permitted by Section 145 of the Delaware General Corporation Law, our amended and restated bylaws provide that:</w:t>
      </w:r>
    </w:p>
    <w:p>
      <w:pPr>
        <w:spacing w:after="0" w:line="248" w:lineRule="exact"/>
        <w:rPr>
          <w:sz w:val="20"/>
          <w:szCs w:val="20"/>
          <w:color w:val="auto"/>
        </w:rPr>
      </w:pPr>
    </w:p>
    <w:p>
      <w:pPr>
        <w:ind w:left="700" w:right="25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Delaware General Corporation Law, subject to limited exceptions;</w:t>
      </w:r>
    </w:p>
    <w:p>
      <w:pPr>
        <w:spacing w:after="0" w:line="170" w:lineRule="exact"/>
        <w:rPr>
          <w:rFonts w:ascii="Arial" w:cs="Arial" w:eastAsia="Arial" w:hAnsi="Arial"/>
          <w:sz w:val="18"/>
          <w:szCs w:val="18"/>
          <w:color w:val="auto"/>
        </w:rPr>
      </w:pPr>
    </w:p>
    <w:p>
      <w:pPr>
        <w:ind w:left="700" w:right="339" w:hanging="32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advance expenses to our directors, officers and employees in connection with a legal proceeding to the fullest extent permitted by the Delaware General Corporation Law, subject to limited exceptions; and</w:t>
      </w:r>
    </w:p>
    <w:p>
      <w:pPr>
        <w:spacing w:after="0" w:line="123" w:lineRule="exact"/>
        <w:rPr>
          <w:rFonts w:ascii="Arial" w:cs="Arial" w:eastAsia="Arial" w:hAnsi="Arial"/>
          <w:sz w:val="16"/>
          <w:szCs w:val="16"/>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rights provided in our amended and restated bylaws are not exclusive.</w:t>
      </w:r>
    </w:p>
    <w:p>
      <w:pPr>
        <w:spacing w:after="0" w:line="225" w:lineRule="exact"/>
        <w:rPr>
          <w:sz w:val="20"/>
          <w:szCs w:val="20"/>
          <w:color w:val="auto"/>
        </w:rPr>
      </w:pPr>
    </w:p>
    <w:p>
      <w:pPr>
        <w:ind w:left="60" w:right="59"/>
        <w:spacing w:after="0" w:line="287" w:lineRule="auto"/>
        <w:rPr>
          <w:sz w:val="20"/>
          <w:szCs w:val="20"/>
          <w:color w:val="auto"/>
        </w:rPr>
      </w:pPr>
      <w:r>
        <w:rPr>
          <w:rFonts w:ascii="Arial" w:cs="Arial" w:eastAsia="Arial" w:hAnsi="Arial"/>
          <w:sz w:val="16"/>
          <w:szCs w:val="16"/>
          <w:color w:val="auto"/>
        </w:rPr>
        <w:t>Our amended and restated certificate of incorporation and our amended and restated bylaws provide for the indemnification provisions described above and elsewhere herein. We have also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16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Exemption from Registration Claimed</w:t>
      </w:r>
      <w:r>
        <w:rPr>
          <w:rFonts w:ascii="Arial" w:cs="Arial" w:eastAsia="Arial" w:hAnsi="Arial"/>
          <w:sz w:val="16"/>
          <w:szCs w:val="16"/>
          <w:b w:val="1"/>
          <w:bCs w:val="1"/>
          <w:color w:val="auto"/>
        </w:rPr>
        <w: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ind w:left="20"/>
              <w:spacing w:after="0"/>
              <w:rPr>
                <w:sz w:val="20"/>
                <w:szCs w:val="20"/>
                <w:color w:val="auto"/>
              </w:rPr>
            </w:pPr>
            <w:r>
              <w:rPr>
                <w:rFonts w:ascii="Arial" w:cs="Arial" w:eastAsia="Arial" w:hAnsi="Arial"/>
                <w:sz w:val="18"/>
                <w:szCs w:val="18"/>
                <w:b w:val="1"/>
                <w:bCs w:val="1"/>
                <w:color w:val="auto"/>
              </w:rPr>
              <w:t>Item 8.</w:t>
            </w:r>
          </w:p>
        </w:tc>
        <w:tc>
          <w:tcPr>
            <w:tcW w:w="4020" w:type="dxa"/>
            <w:vAlign w:val="bottom"/>
            <w:gridSpan w:val="13"/>
          </w:tcPr>
          <w:p>
            <w:pPr>
              <w:spacing w:after="0"/>
              <w:rPr>
                <w:sz w:val="20"/>
                <w:szCs w:val="20"/>
                <w:color w:val="auto"/>
              </w:rPr>
            </w:pPr>
            <w:r>
              <w:rPr>
                <w:rFonts w:ascii="Arial" w:cs="Arial" w:eastAsia="Arial" w:hAnsi="Arial"/>
                <w:sz w:val="18"/>
                <w:szCs w:val="18"/>
                <w:b w:val="1"/>
                <w:bCs w:val="1"/>
                <w:color w:val="auto"/>
              </w:rPr>
              <w:t>Exhibits.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0" w:type="dxa"/>
            <w:vAlign w:val="bottom"/>
            <w:gridSpan w:val="5"/>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5"/>
        </w:trPr>
        <w:tc>
          <w:tcPr>
            <w:tcW w:w="8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vMerge w:val="restart"/>
          </w:tcPr>
          <w:p>
            <w:pPr>
              <w:spacing w:after="0"/>
              <w:rPr>
                <w:sz w:val="10"/>
                <w:szCs w:val="10"/>
                <w:color w:val="auto"/>
              </w:rPr>
            </w:pPr>
          </w:p>
        </w:tc>
        <w:tc>
          <w:tcPr>
            <w:tcW w:w="6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Borders>
              <w:top w:val="single" w:sz="8" w:color="auto"/>
            </w:tcBorders>
            <w:vMerge w:val="restart"/>
          </w:tcPr>
          <w:p>
            <w:pPr>
              <w:spacing w:after="0"/>
              <w:rPr>
                <w:sz w:val="10"/>
                <w:szCs w:val="10"/>
                <w:color w:val="auto"/>
              </w:rPr>
            </w:pPr>
          </w:p>
        </w:tc>
        <w:tc>
          <w:tcPr>
            <w:tcW w:w="8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Exhibit</w:t>
            </w:r>
          </w:p>
        </w:tc>
        <w:tc>
          <w:tcPr>
            <w:tcW w:w="2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11"/>
          </w:tcPr>
          <w:p>
            <w:pPr>
              <w:spacing w:after="0"/>
              <w:rPr>
                <w:rFonts w:ascii="Arial" w:cs="Arial" w:eastAsia="Arial" w:hAnsi="Arial"/>
                <w:sz w:val="18"/>
                <w:szCs w:val="18"/>
                <w:color w:val="0000EE"/>
              </w:rPr>
            </w:pPr>
            <w:hyperlink r:id="rId25">
              <w:r>
                <w:rPr>
                  <w:rFonts w:ascii="Arial" w:cs="Arial" w:eastAsia="Arial" w:hAnsi="Arial"/>
                  <w:sz w:val="18"/>
                  <w:szCs w:val="18"/>
                  <w:color w:val="0000EE"/>
                </w:rPr>
                <w:t>Amended and Restated Certificate of</w:t>
              </w:r>
            </w:hyperlink>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140"/>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Incorporation</w:t>
              </w:r>
              <w:r>
                <w:rPr>
                  <w:rFonts w:ascii="Arial" w:cs="Arial" w:eastAsia="Arial" w:hAnsi="Arial"/>
                  <w:sz w:val="18"/>
                  <w:szCs w:val="18"/>
                  <w:color w:val="000000"/>
                </w:rPr>
                <w:t>.</w:t>
              </w:r>
            </w:hyperlink>
          </w:p>
        </w:tc>
        <w:tc>
          <w:tcPr>
            <w:tcW w:w="1000" w:type="dxa"/>
            <w:vAlign w:val="bottom"/>
            <w:gridSpan w:val="5"/>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240" w:type="dxa"/>
            <w:vAlign w:val="bottom"/>
          </w:tcPr>
          <w:p>
            <w:pPr>
              <w:spacing w:after="0"/>
              <w:rPr>
                <w:sz w:val="17"/>
                <w:szCs w:val="17"/>
                <w:color w:val="auto"/>
              </w:rPr>
            </w:pPr>
          </w:p>
        </w:tc>
        <w:tc>
          <w:tcPr>
            <w:tcW w:w="124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87"/>
              </w:rPr>
              <w:t>June 24, 2014</w:t>
            </w: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80" w:type="dxa"/>
            <w:vAlign w:val="bottom"/>
          </w:tcPr>
          <w:p>
            <w:pPr>
              <w:ind w:left="1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11"/>
          </w:tcPr>
          <w:p>
            <w:pPr>
              <w:spacing w:after="0"/>
              <w:rPr>
                <w:rFonts w:ascii="Arial" w:cs="Arial" w:eastAsia="Arial" w:hAnsi="Arial"/>
                <w:sz w:val="18"/>
                <w:szCs w:val="18"/>
                <w:color w:val="0000EE"/>
              </w:rPr>
            </w:pPr>
            <w:hyperlink r:id="rId26">
              <w:r>
                <w:rPr>
                  <w:rFonts w:ascii="Arial" w:cs="Arial" w:eastAsia="Arial" w:hAnsi="Arial"/>
                  <w:sz w:val="18"/>
                  <w:szCs w:val="18"/>
                  <w:u w:val="single" w:color="auto"/>
                  <w:color w:val="0000EE"/>
                </w:rPr>
                <w:t>Amended and Restated Bylaws</w:t>
              </w:r>
            </w:hyperlink>
            <w:r>
              <w:rPr>
                <w:rFonts w:ascii="Arial" w:cs="Arial" w:eastAsia="Arial" w:hAnsi="Arial"/>
                <w:sz w:val="18"/>
                <w:szCs w:val="18"/>
                <w:color w:val="000000"/>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240" w:type="dxa"/>
            <w:vAlign w:val="bottom"/>
          </w:tcPr>
          <w:p>
            <w:pPr>
              <w:spacing w:after="0"/>
              <w:rPr>
                <w:sz w:val="24"/>
                <w:szCs w:val="2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June 24, 2014</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Pr>
          <w:p>
            <w:pPr>
              <w:ind w:left="1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11"/>
          </w:tcPr>
          <w:p>
            <w:pPr>
              <w:spacing w:after="0"/>
              <w:rPr>
                <w:rFonts w:ascii="Arial" w:cs="Arial" w:eastAsia="Arial" w:hAnsi="Arial"/>
                <w:sz w:val="18"/>
                <w:szCs w:val="18"/>
                <w:color w:val="0000EE"/>
              </w:rPr>
            </w:pPr>
            <w:hyperlink r:id="rId27">
              <w:r>
                <w:rPr>
                  <w:rFonts w:ascii="Arial" w:cs="Arial" w:eastAsia="Arial" w:hAnsi="Arial"/>
                  <w:sz w:val="18"/>
                  <w:szCs w:val="18"/>
                  <w:u w:val="single" w:color="auto"/>
                  <w:color w:val="0000EE"/>
                </w:rPr>
                <w:t>Form of Common Stock Certificate</w:t>
              </w:r>
            </w:hyperlink>
            <w:r>
              <w:rPr>
                <w:rFonts w:ascii="Arial" w:cs="Arial" w:eastAsia="Arial" w:hAnsi="Arial"/>
                <w:sz w:val="18"/>
                <w:szCs w:val="18"/>
                <w:color w:val="000000"/>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240" w:type="dxa"/>
            <w:vAlign w:val="bottom"/>
          </w:tcPr>
          <w:p>
            <w:pPr>
              <w:spacing w:after="0"/>
              <w:rPr>
                <w:sz w:val="24"/>
                <w:szCs w:val="2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June 18, 2014</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Pr>
          <w:p>
            <w:pPr>
              <w:ind w:left="1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11"/>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Opinion of Latham &amp; Watkins LLP.</w:t>
              </w:r>
            </w:hyperlink>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Consent of Independent Registered Public</w:t>
              </w:r>
            </w:hyperlink>
          </w:p>
        </w:tc>
        <w:tc>
          <w:tcPr>
            <w:tcW w:w="62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140"/>
              <w:spacing w:after="0" w:line="196"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Accounting Firm.</w:t>
              </w:r>
            </w:hyperlink>
          </w:p>
        </w:tc>
        <w:tc>
          <w:tcPr>
            <w:tcW w:w="238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11"/>
          </w:tcPr>
          <w:p>
            <w:pPr>
              <w:spacing w:after="0"/>
              <w:rPr>
                <w:rFonts w:ascii="Arial" w:cs="Arial" w:eastAsia="Arial" w:hAnsi="Arial"/>
                <w:sz w:val="18"/>
                <w:szCs w:val="18"/>
                <w:color w:val="0000EE"/>
                <w:w w:val="97"/>
              </w:rPr>
            </w:pPr>
            <w:hyperlink w:anchor="page9">
              <w:r>
                <w:rPr>
                  <w:rFonts w:ascii="Arial" w:cs="Arial" w:eastAsia="Arial" w:hAnsi="Arial"/>
                  <w:sz w:val="18"/>
                  <w:szCs w:val="18"/>
                  <w:color w:val="0000EE"/>
                  <w:w w:val="97"/>
                </w:rPr>
                <w:t>Consent of Latham &amp; Watkins LLP (included in</w:t>
              </w:r>
            </w:hyperlink>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140"/>
              <w:spacing w:after="0" w:line="196" w:lineRule="exact"/>
              <w:rPr>
                <w:sz w:val="20"/>
                <w:szCs w:val="20"/>
                <w:color w:val="auto"/>
              </w:rPr>
            </w:pPr>
            <w:r>
              <w:rPr>
                <w:rFonts w:ascii="Arial" w:cs="Arial" w:eastAsia="Arial" w:hAnsi="Arial"/>
                <w:sz w:val="18"/>
                <w:szCs w:val="18"/>
                <w:color w:val="auto"/>
              </w:rPr>
              <w:t>23.2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Exhibit 5.1)</w:t>
              </w:r>
              <w:r>
                <w:rPr>
                  <w:rFonts w:ascii="Arial" w:cs="Arial" w:eastAsia="Arial" w:hAnsi="Arial"/>
                  <w:sz w:val="18"/>
                  <w:szCs w:val="18"/>
                  <w:color w:val="000000"/>
                </w:rPr>
                <w:t>.</w:t>
              </w:r>
            </w:hyperlink>
          </w:p>
        </w:tc>
        <w:tc>
          <w:tcPr>
            <w:tcW w:w="20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Power of Attorney (included on signature page</w:t>
              </w:r>
            </w:hyperlink>
          </w:p>
        </w:tc>
        <w:tc>
          <w:tcPr>
            <w:tcW w:w="28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140"/>
              <w:spacing w:after="0" w:line="196"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gridSpan w:val="1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hereto)</w:t>
              </w:r>
              <w:r>
                <w:rPr>
                  <w:rFonts w:ascii="Arial" w:cs="Arial" w:eastAsia="Arial" w:hAnsi="Arial"/>
                  <w:sz w:val="18"/>
                  <w:szCs w:val="18"/>
                  <w:color w:val="000000"/>
                </w:rPr>
                <w:t>.</w:t>
              </w:r>
            </w:hyperlink>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16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80" w:type="dxa"/>
            <w:vAlign w:val="bottom"/>
          </w:tcPr>
          <w:p>
            <w:pPr>
              <w:ind w:left="14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11"/>
          </w:tcPr>
          <w:p>
            <w:pPr>
              <w:spacing w:after="0"/>
              <w:rPr>
                <w:rFonts w:ascii="Arial" w:cs="Arial" w:eastAsia="Arial" w:hAnsi="Arial"/>
                <w:sz w:val="18"/>
                <w:szCs w:val="18"/>
                <w:u w:val="single" w:color="auto"/>
                <w:color w:val="0000EE"/>
                <w:w w:val="97"/>
              </w:rPr>
            </w:pPr>
            <w:hyperlink r:id="rId28">
              <w:r>
                <w:rPr>
                  <w:rFonts w:ascii="Arial" w:cs="Arial" w:eastAsia="Arial" w:hAnsi="Arial"/>
                  <w:sz w:val="18"/>
                  <w:szCs w:val="18"/>
                  <w:u w:val="single" w:color="auto"/>
                  <w:color w:val="0000EE"/>
                  <w:w w:val="97"/>
                </w:rPr>
                <w:t>Ardelyx, Inc. 2014 Equity Incentive Award Plan</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240" w:type="dxa"/>
            <w:vAlign w:val="bottom"/>
          </w:tcPr>
          <w:p>
            <w:pPr>
              <w:spacing w:after="0"/>
              <w:rPr>
                <w:sz w:val="24"/>
                <w:szCs w:val="2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July 14, 2014</w:t>
            </w: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99.3</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4" w:name="page5"/>
    <w:bookmarkEnd w:id="4"/>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2340" w:type="dxa"/>
            <w:vAlign w:val="bottom"/>
            <w:tcBorders>
              <w:bottom w:val="single" w:sz="8" w:color="0000EE"/>
            </w:tcBorders>
            <w:gridSpan w:val="3"/>
          </w:tcPr>
          <w:p>
            <w:pPr>
              <w:spacing w:after="0"/>
              <w:rPr>
                <w:rFonts w:ascii="Arial" w:cs="Arial" w:eastAsia="Arial" w:hAnsi="Arial"/>
                <w:sz w:val="18"/>
                <w:szCs w:val="18"/>
                <w:color w:val="0000EE"/>
                <w:w w:val="93"/>
              </w:rPr>
            </w:pPr>
            <w:hyperlink r:id="rId29">
              <w:r>
                <w:rPr>
                  <w:rFonts w:ascii="Arial" w:cs="Arial" w:eastAsia="Arial" w:hAnsi="Arial"/>
                  <w:sz w:val="18"/>
                  <w:szCs w:val="18"/>
                  <w:color w:val="0000EE"/>
                  <w:w w:val="93"/>
                </w:rPr>
                <w:t>Ardelyx, Inc. 2016 Employment</w:t>
              </w:r>
            </w:hyperlink>
          </w:p>
        </w:tc>
        <w:tc>
          <w:tcPr>
            <w:tcW w:w="128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November 10,</w:t>
            </w:r>
          </w:p>
        </w:tc>
        <w:tc>
          <w:tcPr>
            <w:tcW w:w="720" w:type="dxa"/>
            <w:vAlign w:val="bottom"/>
          </w:tcPr>
          <w:p>
            <w:pPr>
              <w:spacing w:after="0"/>
              <w:rPr>
                <w:sz w:val="17"/>
                <w:szCs w:val="17"/>
                <w:color w:val="auto"/>
              </w:rPr>
            </w:pPr>
          </w:p>
        </w:tc>
      </w:tr>
      <w:tr>
        <w:trPr>
          <w:trHeight w:val="237"/>
        </w:trPr>
        <w:tc>
          <w:tcPr>
            <w:tcW w:w="1100" w:type="dxa"/>
            <w:vAlign w:val="bottom"/>
          </w:tcPr>
          <w:p>
            <w:pPr>
              <w:jc w:val="right"/>
              <w:ind w:right="490"/>
              <w:spacing w:after="0"/>
              <w:rPr>
                <w:sz w:val="20"/>
                <w:szCs w:val="20"/>
                <w:color w:val="auto"/>
              </w:rPr>
            </w:pPr>
            <w:r>
              <w:rPr>
                <w:rFonts w:ascii="Arial" w:cs="Arial" w:eastAsia="Arial" w:hAnsi="Arial"/>
                <w:sz w:val="18"/>
                <w:szCs w:val="18"/>
                <w:color w:val="auto"/>
                <w:w w:val="87"/>
              </w:rPr>
              <w:t>99.2(#)</w:t>
            </w:r>
          </w:p>
        </w:tc>
        <w:tc>
          <w:tcPr>
            <w:tcW w:w="3620" w:type="dxa"/>
            <w:vAlign w:val="bottom"/>
            <w:gridSpan w:val="9"/>
          </w:tcPr>
          <w:p>
            <w:pPr>
              <w:spacing w:after="0"/>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Commencement Incentive Plan</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85"/>
              </w:rPr>
              <w:t>99.1</w:t>
            </w:r>
          </w:p>
        </w:tc>
      </w:tr>
      <w:tr>
        <w:trPr>
          <w:trHeight w:val="392"/>
        </w:trPr>
        <w:tc>
          <w:tcPr>
            <w:tcW w:w="1100" w:type="dxa"/>
            <w:vAlign w:val="bottom"/>
          </w:tcPr>
          <w:p>
            <w:pPr>
              <w:spacing w:after="0"/>
              <w:rPr>
                <w:sz w:val="24"/>
                <w:szCs w:val="24"/>
                <w:color w:val="auto"/>
              </w:rPr>
            </w:pPr>
          </w:p>
        </w:tc>
        <w:tc>
          <w:tcPr>
            <w:tcW w:w="3620" w:type="dxa"/>
            <w:vAlign w:val="bottom"/>
            <w:gridSpan w:val="9"/>
          </w:tcPr>
          <w:p>
            <w:pPr>
              <w:spacing w:after="0"/>
              <w:rPr>
                <w:rFonts w:ascii="Arial" w:cs="Arial" w:eastAsia="Arial" w:hAnsi="Arial"/>
                <w:sz w:val="18"/>
                <w:szCs w:val="18"/>
                <w:color w:val="0000EE"/>
                <w:w w:val="99"/>
              </w:rPr>
            </w:pPr>
            <w:hyperlink r:id="rId30">
              <w:r>
                <w:rPr>
                  <w:rFonts w:ascii="Arial" w:cs="Arial" w:eastAsia="Arial" w:hAnsi="Arial"/>
                  <w:sz w:val="18"/>
                  <w:szCs w:val="18"/>
                  <w:color w:val="0000EE"/>
                  <w:w w:val="99"/>
                </w:rPr>
                <w:t>Form of Stock Option Grant Notice and Stock</w:t>
              </w:r>
            </w:hyperlink>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620" w:type="dxa"/>
            <w:vAlign w:val="bottom"/>
            <w:gridSpan w:val="9"/>
          </w:tcPr>
          <w:p>
            <w:pPr>
              <w:spacing w:after="0" w:line="196" w:lineRule="exact"/>
              <w:rPr>
                <w:rFonts w:ascii="Arial" w:cs="Arial" w:eastAsia="Arial" w:hAnsi="Arial"/>
                <w:sz w:val="18"/>
                <w:szCs w:val="18"/>
                <w:color w:val="0000EE"/>
                <w:w w:val="95"/>
              </w:rPr>
            </w:pPr>
            <w:hyperlink r:id="rId30">
              <w:r>
                <w:rPr>
                  <w:rFonts w:ascii="Arial" w:cs="Arial" w:eastAsia="Arial" w:hAnsi="Arial"/>
                  <w:sz w:val="18"/>
                  <w:szCs w:val="18"/>
                  <w:color w:val="0000EE"/>
                  <w:w w:val="95"/>
                </w:rPr>
                <w:t>Option Agreement under the Ardelyx, Inc. 2014</w:t>
              </w:r>
            </w:hyperlink>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11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87"/>
              </w:rPr>
              <w:t>99.3(#)</w:t>
            </w:r>
          </w:p>
        </w:tc>
        <w:tc>
          <w:tcPr>
            <w:tcW w:w="20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Equity Incentive Award Plan</w:t>
              </w:r>
            </w:hyperlink>
          </w:p>
        </w:tc>
        <w:tc>
          <w:tcPr>
            <w:tcW w:w="1380" w:type="dxa"/>
            <w:vAlign w:val="bottom"/>
            <w:tcBorders>
              <w:top w:val="single" w:sz="8" w:color="0000EE"/>
            </w:tcBorders>
            <w:gridSpan w:val="5"/>
          </w:tcPr>
          <w:p>
            <w:pPr>
              <w:spacing w:after="0"/>
              <w:rPr>
                <w:sz w:val="17"/>
                <w:szCs w:val="17"/>
                <w:color w:val="auto"/>
              </w:rPr>
            </w:pPr>
          </w:p>
        </w:tc>
        <w:tc>
          <w:tcPr>
            <w:tcW w:w="160" w:type="dxa"/>
            <w:vAlign w:val="bottom"/>
            <w:gridSpan w:val="2"/>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line="196" w:lineRule="exact"/>
              <w:rPr>
                <w:sz w:val="20"/>
                <w:szCs w:val="20"/>
                <w:color w:val="auto"/>
              </w:rPr>
            </w:pPr>
            <w:r>
              <w:rPr>
                <w:rFonts w:ascii="Arial" w:cs="Arial" w:eastAsia="Arial" w:hAnsi="Arial"/>
                <w:sz w:val="18"/>
                <w:szCs w:val="18"/>
                <w:color w:val="auto"/>
                <w:w w:val="88"/>
              </w:rPr>
              <w:t>June 9, 2014</w:t>
            </w:r>
          </w:p>
        </w:tc>
        <w:tc>
          <w:tcPr>
            <w:tcW w:w="720" w:type="dxa"/>
            <w:vAlign w:val="bottom"/>
          </w:tcPr>
          <w:p>
            <w:pPr>
              <w:jc w:val="center"/>
              <w:ind w:left="90"/>
              <w:spacing w:after="0" w:line="196" w:lineRule="exact"/>
              <w:rPr>
                <w:sz w:val="20"/>
                <w:szCs w:val="20"/>
                <w:color w:val="auto"/>
              </w:rPr>
            </w:pPr>
            <w:r>
              <w:rPr>
                <w:rFonts w:ascii="Arial" w:cs="Arial" w:eastAsia="Arial" w:hAnsi="Arial"/>
                <w:sz w:val="18"/>
                <w:szCs w:val="18"/>
                <w:color w:val="auto"/>
                <w:w w:val="94"/>
              </w:rPr>
              <w:t>10.6(b)</w:t>
            </w:r>
          </w:p>
        </w:tc>
      </w:tr>
      <w:tr>
        <w:trPr>
          <w:trHeight w:val="412"/>
        </w:trPr>
        <w:tc>
          <w:tcPr>
            <w:tcW w:w="1100" w:type="dxa"/>
            <w:vAlign w:val="bottom"/>
          </w:tcPr>
          <w:p>
            <w:pPr>
              <w:spacing w:after="0"/>
              <w:rPr>
                <w:sz w:val="24"/>
                <w:szCs w:val="24"/>
                <w:color w:val="auto"/>
              </w:rPr>
            </w:pPr>
          </w:p>
        </w:tc>
        <w:tc>
          <w:tcPr>
            <w:tcW w:w="3620" w:type="dxa"/>
            <w:vAlign w:val="bottom"/>
            <w:gridSpan w:val="9"/>
          </w:tcPr>
          <w:p>
            <w:pPr>
              <w:spacing w:after="0"/>
              <w:rPr>
                <w:rFonts w:ascii="Arial" w:cs="Arial" w:eastAsia="Arial" w:hAnsi="Arial"/>
                <w:sz w:val="18"/>
                <w:szCs w:val="18"/>
                <w:color w:val="0000EE"/>
                <w:w w:val="94"/>
              </w:rPr>
            </w:pPr>
            <w:hyperlink r:id="rId31">
              <w:r>
                <w:rPr>
                  <w:rFonts w:ascii="Arial" w:cs="Arial" w:eastAsia="Arial" w:hAnsi="Arial"/>
                  <w:sz w:val="18"/>
                  <w:szCs w:val="18"/>
                  <w:color w:val="0000EE"/>
                  <w:w w:val="94"/>
                </w:rPr>
                <w:t>Form of Restricted Stock Award Agreement and</w:t>
              </w:r>
            </w:hyperlink>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3480" w:type="dxa"/>
            <w:vAlign w:val="bottom"/>
            <w:tcBorders>
              <w:top w:val="single" w:sz="8" w:color="0000EE"/>
            </w:tcBorders>
            <w:gridSpan w:val="8"/>
          </w:tcPr>
          <w:p>
            <w:pPr>
              <w:spacing w:after="0" w:line="196" w:lineRule="exact"/>
              <w:rPr>
                <w:rFonts w:ascii="Arial" w:cs="Arial" w:eastAsia="Arial" w:hAnsi="Arial"/>
                <w:sz w:val="18"/>
                <w:szCs w:val="18"/>
                <w:color w:val="0000EE"/>
                <w:w w:val="93"/>
              </w:rPr>
            </w:pPr>
            <w:hyperlink r:id="rId31">
              <w:r>
                <w:rPr>
                  <w:rFonts w:ascii="Arial" w:cs="Arial" w:eastAsia="Arial" w:hAnsi="Arial"/>
                  <w:sz w:val="18"/>
                  <w:szCs w:val="18"/>
                  <w:color w:val="0000EE"/>
                  <w:w w:val="93"/>
                </w:rPr>
                <w:t>Restricted Stock Unit Award Agreement under</w:t>
              </w:r>
            </w:hyperlink>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620" w:type="dxa"/>
            <w:vAlign w:val="bottom"/>
            <w:gridSpan w:val="9"/>
          </w:tcPr>
          <w:p>
            <w:pPr>
              <w:spacing w:after="0" w:line="196" w:lineRule="exact"/>
              <w:rPr>
                <w:rFonts w:ascii="Arial" w:cs="Arial" w:eastAsia="Arial" w:hAnsi="Arial"/>
                <w:sz w:val="18"/>
                <w:szCs w:val="18"/>
                <w:color w:val="0000EE"/>
                <w:w w:val="99"/>
              </w:rPr>
            </w:pPr>
            <w:hyperlink r:id="rId31">
              <w:r>
                <w:rPr>
                  <w:rFonts w:ascii="Arial" w:cs="Arial" w:eastAsia="Arial" w:hAnsi="Arial"/>
                  <w:sz w:val="18"/>
                  <w:szCs w:val="18"/>
                  <w:color w:val="0000EE"/>
                  <w:w w:val="99"/>
                </w:rPr>
                <w:t>the Ardelyx, Inc. 2014 Equity Incentive Award</w:t>
              </w:r>
            </w:hyperlink>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11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87"/>
              </w:rPr>
              <w:t>99.4(#)</w:t>
            </w: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3"/>
              </w:rPr>
            </w:pPr>
            <w:hyperlink r:id="rId31">
              <w:r>
                <w:rPr>
                  <w:rFonts w:ascii="Arial" w:cs="Arial" w:eastAsia="Arial" w:hAnsi="Arial"/>
                  <w:sz w:val="18"/>
                  <w:szCs w:val="18"/>
                  <w:color w:val="0000EE"/>
                  <w:w w:val="83"/>
                </w:rPr>
                <w:t>Plan</w:t>
              </w:r>
            </w:hyperlink>
          </w:p>
        </w:tc>
        <w:tc>
          <w:tcPr>
            <w:tcW w:w="3060" w:type="dxa"/>
            <w:vAlign w:val="bottom"/>
            <w:tcBorders>
              <w:top w:val="single" w:sz="8" w:color="0000EE"/>
            </w:tcBorders>
            <w:gridSpan w:val="5"/>
          </w:tcPr>
          <w:p>
            <w:pPr>
              <w:spacing w:after="0"/>
              <w:rPr>
                <w:sz w:val="17"/>
                <w:szCs w:val="17"/>
                <w:color w:val="auto"/>
              </w:rPr>
            </w:pPr>
          </w:p>
        </w:tc>
        <w:tc>
          <w:tcPr>
            <w:tcW w:w="240" w:type="dxa"/>
            <w:vAlign w:val="bottom"/>
            <w:gridSpan w:val="3"/>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line="196" w:lineRule="exact"/>
              <w:rPr>
                <w:sz w:val="20"/>
                <w:szCs w:val="20"/>
                <w:color w:val="auto"/>
              </w:rPr>
            </w:pPr>
            <w:r>
              <w:rPr>
                <w:rFonts w:ascii="Arial" w:cs="Arial" w:eastAsia="Arial" w:hAnsi="Arial"/>
                <w:sz w:val="18"/>
                <w:szCs w:val="18"/>
                <w:color w:val="auto"/>
                <w:w w:val="88"/>
              </w:rPr>
              <w:t>June 9, 2014</w:t>
            </w:r>
          </w:p>
        </w:tc>
        <w:tc>
          <w:tcPr>
            <w:tcW w:w="720" w:type="dxa"/>
            <w:vAlign w:val="bottom"/>
          </w:tcPr>
          <w:p>
            <w:pPr>
              <w:jc w:val="center"/>
              <w:ind w:left="90"/>
              <w:spacing w:after="0" w:line="196" w:lineRule="exact"/>
              <w:rPr>
                <w:sz w:val="20"/>
                <w:szCs w:val="20"/>
                <w:color w:val="auto"/>
              </w:rPr>
            </w:pPr>
            <w:r>
              <w:rPr>
                <w:rFonts w:ascii="Arial" w:cs="Arial" w:eastAsia="Arial" w:hAnsi="Arial"/>
                <w:sz w:val="18"/>
                <w:szCs w:val="18"/>
                <w:color w:val="auto"/>
                <w:w w:val="89"/>
              </w:rPr>
              <w:t>10.6(c)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41"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1"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Undertakings</w:t>
      </w:r>
      <w:r>
        <w:rPr>
          <w:rFonts w:ascii="Arial" w:cs="Arial" w:eastAsia="Arial" w:hAnsi="Arial"/>
          <w:sz w:val="16"/>
          <w:szCs w:val="16"/>
          <w:b w:val="1"/>
          <w:bCs w:val="1"/>
          <w:color w:val="auto"/>
        </w:rPr>
        <w:t>.</w:t>
      </w:r>
    </w:p>
    <w:p>
      <w:pPr>
        <w:spacing w:after="0" w:line="229" w:lineRule="exact"/>
        <w:rPr>
          <w:sz w:val="20"/>
          <w:szCs w:val="20"/>
          <w:color w:val="auto"/>
        </w:rPr>
      </w:pPr>
    </w:p>
    <w:p>
      <w:pPr>
        <w:ind w:left="700" w:hanging="65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 hereby undertakes:</w:t>
      </w:r>
    </w:p>
    <w:p>
      <w:pPr>
        <w:spacing w:after="0" w:line="225" w:lineRule="exact"/>
        <w:rPr>
          <w:rFonts w:ascii="Arial" w:cs="Arial" w:eastAsia="Arial" w:hAnsi="Arial"/>
          <w:sz w:val="18"/>
          <w:szCs w:val="18"/>
          <w:color w:val="auto"/>
        </w:rPr>
      </w:pPr>
    </w:p>
    <w:p>
      <w:pPr>
        <w:ind w:left="60" w:right="399" w:firstLine="638"/>
        <w:spacing w:after="0" w:line="277" w:lineRule="auto"/>
        <w:tabs>
          <w:tab w:leader="none" w:pos="1356"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0" w:lineRule="exact"/>
        <w:rPr>
          <w:rFonts w:ascii="Arial" w:cs="Arial" w:eastAsia="Arial" w:hAnsi="Arial"/>
          <w:sz w:val="18"/>
          <w:szCs w:val="18"/>
          <w:color w:val="auto"/>
        </w:rPr>
      </w:pPr>
    </w:p>
    <w:p>
      <w:pPr>
        <w:ind w:left="2000" w:hanging="654"/>
        <w:spacing w:after="0"/>
        <w:tabs>
          <w:tab w:leader="none" w:pos="200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60" w:right="159" w:firstLine="1286"/>
        <w:spacing w:after="0" w:line="271" w:lineRule="auto"/>
        <w:tabs>
          <w:tab w:leader="none" w:pos="2004" w:val="left"/>
        </w:tabs>
        <w:numPr>
          <w:ilvl w:val="2"/>
          <w:numId w:val="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8" w:lineRule="exact"/>
        <w:rPr>
          <w:rFonts w:ascii="Arial" w:cs="Arial" w:eastAsia="Arial" w:hAnsi="Arial"/>
          <w:sz w:val="17"/>
          <w:szCs w:val="17"/>
          <w:color w:val="auto"/>
        </w:rPr>
      </w:pPr>
    </w:p>
    <w:p>
      <w:pPr>
        <w:ind w:left="60" w:right="559" w:firstLine="1286"/>
        <w:spacing w:after="0" w:line="342" w:lineRule="auto"/>
        <w:tabs>
          <w:tab w:leader="none" w:pos="2004" w:val="left"/>
        </w:tabs>
        <w:numPr>
          <w:ilvl w:val="2"/>
          <w:numId w:val="6"/>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24"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registration statement is on Form S-8</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information required to be included in a post-effective amendment by those paragraphs is contained in periodic reports filed with or furnished to the SEC by the Registrant pursuant to Section 13 or 15(d) of the Exchange Act that are incorporated by reference in the registration statement.</w:t>
      </w:r>
    </w:p>
    <w:p>
      <w:pPr>
        <w:spacing w:after="0" w:line="187" w:lineRule="exact"/>
        <w:rPr>
          <w:sz w:val="20"/>
          <w:szCs w:val="20"/>
          <w:color w:val="auto"/>
        </w:rPr>
      </w:pPr>
    </w:p>
    <w:p>
      <w:pPr>
        <w:ind w:left="60" w:right="159" w:firstLine="638"/>
        <w:spacing w:after="0" w:line="286" w:lineRule="auto"/>
        <w:tabs>
          <w:tab w:leader="none" w:pos="1356" w:val="left"/>
        </w:tabs>
        <w:numPr>
          <w:ilvl w:val="1"/>
          <w:numId w:val="7"/>
        </w:numPr>
        <w:rPr>
          <w:rFonts w:ascii="Arial" w:cs="Arial" w:eastAsia="Arial" w:hAnsi="Arial"/>
          <w:sz w:val="17"/>
          <w:szCs w:val="17"/>
          <w:color w:val="auto"/>
        </w:rPr>
      </w:pPr>
      <w:r>
        <w:rPr>
          <w:rFonts w:ascii="Arial" w:cs="Arial" w:eastAsia="Arial" w:hAnsi="Arial"/>
          <w:sz w:val="17"/>
          <w:szCs w:val="17"/>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65" w:lineRule="exact"/>
        <w:rPr>
          <w:rFonts w:ascii="Arial" w:cs="Arial" w:eastAsia="Arial" w:hAnsi="Arial"/>
          <w:sz w:val="17"/>
          <w:szCs w:val="17"/>
          <w:color w:val="auto"/>
        </w:rPr>
      </w:pPr>
    </w:p>
    <w:p>
      <w:pPr>
        <w:ind w:left="60" w:right="739" w:firstLine="638"/>
        <w:spacing w:after="0" w:line="277" w:lineRule="auto"/>
        <w:tabs>
          <w:tab w:leader="none" w:pos="1356"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60" w:right="119" w:hanging="10"/>
        <w:spacing w:after="0" w:line="296" w:lineRule="auto"/>
        <w:tabs>
          <w:tab w:leader="none" w:pos="708"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61" w:lineRule="exact"/>
        <w:rPr>
          <w:rFonts w:ascii="Arial" w:cs="Arial" w:eastAsia="Arial" w:hAnsi="Arial"/>
          <w:sz w:val="16"/>
          <w:szCs w:val="16"/>
          <w:color w:val="auto"/>
        </w:rPr>
      </w:pPr>
    </w:p>
    <w:p>
      <w:pPr>
        <w:ind w:left="60" w:right="359" w:hanging="10"/>
        <w:spacing w:after="0" w:line="342" w:lineRule="auto"/>
        <w:tabs>
          <w:tab w:leader="none" w:pos="708"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293370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5" w:name="page6"/>
    <w:bookmarkEnd w:id="5"/>
    <w:p>
      <w:pPr>
        <w:ind w:left="60" w:right="59"/>
        <w:spacing w:after="0" w:line="291" w:lineRule="auto"/>
        <w:rPr>
          <w:sz w:val="20"/>
          <w:szCs w:val="20"/>
          <w:color w:val="auto"/>
        </w:rPr>
      </w:pPr>
      <w:r>
        <w:rPr>
          <w:rFonts w:ascii="Arial" w:cs="Arial" w:eastAsia="Arial" w:hAnsi="Arial"/>
          <w:sz w:val="16"/>
          <w:szCs w:val="16"/>
          <w:color w:val="auto"/>
        </w:rPr>
        <w:t>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594995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Fremont, California, on March 11, 2021.</w:t>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RDELYX</w:t>
      </w:r>
      <w:r>
        <w:rPr>
          <w:rFonts w:ascii="Arial" w:cs="Arial" w:eastAsia="Arial" w:hAnsi="Arial"/>
          <w:sz w:val="18"/>
          <w:szCs w:val="18"/>
          <w:color w:val="auto"/>
        </w:rPr>
        <w:t>, INC.</w:t>
      </w:r>
    </w:p>
    <w:p>
      <w:pPr>
        <w:spacing w:after="0" w:line="279" w:lineRule="exact"/>
        <w:rPr>
          <w:sz w:val="20"/>
          <w:szCs w:val="20"/>
          <w:color w:val="auto"/>
        </w:rPr>
      </w:pPr>
    </w:p>
    <w:tbl>
      <w:tblPr>
        <w:tblLayout w:type="fixed"/>
        <w:tblInd w:w="4540" w:type="dxa"/>
        <w:tblCellMar>
          <w:top w:w="0" w:type="dxa"/>
          <w:left w:w="0" w:type="dxa"/>
          <w:bottom w:w="0" w:type="dxa"/>
          <w:right w:w="0" w:type="dxa"/>
        </w:tblCellMar>
      </w:tblPr>
      <w:tr>
        <w:trPr>
          <w:trHeight w:val="23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Raab</w:t>
            </w:r>
          </w:p>
        </w:tc>
      </w:tr>
      <w:tr>
        <w:trPr>
          <w:trHeight w:val="215"/>
        </w:trPr>
        <w:tc>
          <w:tcPr>
            <w:tcW w:w="62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Michael Raab</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Michael Raab and Justin Renz, and each of them, as attorneys-in-fact, each with the power of substitution, for him and in his name, place and stead, in any and all capacities, to sign any and all amendments (including post-effective amendments) to this Registration Statement, and to file the same, with all exhibits thereto and all documents in connection therewith, with the SEC,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such attorneys-in-fact and agents or any of them, or their substitute or substitutes, may lawfully do or cause to be done by virtue hereof.</w:t>
      </w:r>
    </w:p>
    <w:p>
      <w:pPr>
        <w:spacing w:after="0" w:line="178"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0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Raab</w:t>
            </w:r>
          </w:p>
        </w:tc>
        <w:tc>
          <w:tcPr>
            <w:tcW w:w="200" w:type="dxa"/>
            <w:vAlign w:val="bottom"/>
          </w:tcPr>
          <w:p>
            <w:pPr>
              <w:spacing w:after="0"/>
              <w:rPr>
                <w:sz w:val="24"/>
                <w:szCs w:val="24"/>
                <w:color w:val="auto"/>
              </w:rPr>
            </w:pPr>
          </w:p>
        </w:tc>
        <w:tc>
          <w:tcPr>
            <w:tcW w:w="37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President, Chief Executive Officer and Director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Michael Raab</w:t>
            </w:r>
          </w:p>
        </w:tc>
        <w:tc>
          <w:tcPr>
            <w:tcW w:w="200" w:type="dxa"/>
            <w:vAlign w:val="bottom"/>
          </w:tcPr>
          <w:p>
            <w:pPr>
              <w:spacing w:after="0"/>
              <w:rPr>
                <w:sz w:val="19"/>
                <w:szCs w:val="19"/>
                <w:color w:val="auto"/>
              </w:rPr>
            </w:pPr>
          </w:p>
        </w:tc>
        <w:tc>
          <w:tcPr>
            <w:tcW w:w="37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8"/>
              </w:rPr>
              <w:t>/s/ Justin Renz</w:t>
            </w:r>
          </w:p>
        </w:tc>
        <w:tc>
          <w:tcPr>
            <w:tcW w:w="200" w:type="dxa"/>
            <w:vAlign w:val="bottom"/>
          </w:tcPr>
          <w:p>
            <w:pPr>
              <w:spacing w:after="0"/>
              <w:rPr>
                <w:sz w:val="24"/>
                <w:szCs w:val="24"/>
                <w:color w:val="auto"/>
              </w:rPr>
            </w:pPr>
          </w:p>
        </w:tc>
        <w:tc>
          <w:tcPr>
            <w:tcW w:w="37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Financial Officer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200" w:type="dxa"/>
            <w:vAlign w:val="bottom"/>
            <w:vMerge w:val="restart"/>
          </w:tcPr>
          <w:p>
            <w:pPr>
              <w:spacing w:after="0"/>
              <w:rPr>
                <w:sz w:val="9"/>
                <w:szCs w:val="9"/>
                <w:color w:val="auto"/>
              </w:rPr>
            </w:pPr>
          </w:p>
        </w:tc>
        <w:tc>
          <w:tcPr>
            <w:tcW w:w="37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i w:val="1"/>
                <w:iCs w:val="1"/>
                <w:color w:val="auto"/>
                <w:w w:val="96"/>
              </w:rPr>
              <w:t>principal financial officer and principal</w:t>
            </w: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600" w:type="dxa"/>
            <w:vAlign w:val="bottom"/>
            <w:vMerge w:val="restart"/>
          </w:tcPr>
          <w:p>
            <w:pPr>
              <w:jc w:val="center"/>
              <w:spacing w:after="0"/>
              <w:rPr>
                <w:sz w:val="20"/>
                <w:szCs w:val="20"/>
                <w:color w:val="auto"/>
              </w:rPr>
            </w:pPr>
            <w:r>
              <w:rPr>
                <w:rFonts w:ascii="Arial" w:cs="Arial" w:eastAsia="Arial" w:hAnsi="Arial"/>
                <w:sz w:val="18"/>
                <w:szCs w:val="18"/>
                <w:color w:val="auto"/>
                <w:w w:val="89"/>
              </w:rPr>
              <w:t>Justin Renz</w:t>
            </w:r>
          </w:p>
        </w:tc>
        <w:tc>
          <w:tcPr>
            <w:tcW w:w="200" w:type="dxa"/>
            <w:vAlign w:val="bottom"/>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780" w:type="dxa"/>
            <w:vAlign w:val="bottom"/>
            <w:gridSpan w:val="2"/>
            <w:vMerge w:val="restart"/>
          </w:tcPr>
          <w:p>
            <w:pPr>
              <w:jc w:val="center"/>
              <w:ind w:right="200"/>
              <w:spacing w:after="0"/>
              <w:rPr>
                <w:sz w:val="20"/>
                <w:szCs w:val="20"/>
                <w:color w:val="auto"/>
              </w:rPr>
            </w:pPr>
            <w:r>
              <w:rPr>
                <w:rFonts w:ascii="Arial" w:cs="Arial" w:eastAsia="Arial" w:hAnsi="Arial"/>
                <w:sz w:val="18"/>
                <w:szCs w:val="18"/>
                <w:i w:val="1"/>
                <w:iCs w:val="1"/>
                <w:color w:val="auto"/>
                <w:w w:val="93"/>
              </w:rPr>
              <w:t>accounting officer</w:t>
            </w:r>
            <w:r>
              <w:rPr>
                <w:rFonts w:ascii="Arial" w:cs="Arial" w:eastAsia="Arial" w:hAnsi="Arial"/>
                <w:sz w:val="18"/>
                <w:szCs w:val="18"/>
                <w:color w:val="auto"/>
                <w:w w:val="93"/>
              </w:rPr>
              <w:t>)</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80" w:type="dxa"/>
            <w:vAlign w:val="bottom"/>
            <w:gridSpan w:val="2"/>
            <w:vMerge w:val="continue"/>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David Mott</w:t>
            </w:r>
          </w:p>
        </w:tc>
        <w:tc>
          <w:tcPr>
            <w:tcW w:w="200" w:type="dxa"/>
            <w:vAlign w:val="bottom"/>
          </w:tcPr>
          <w:p>
            <w:pPr>
              <w:spacing w:after="0"/>
              <w:rPr>
                <w:sz w:val="24"/>
                <w:szCs w:val="24"/>
                <w:color w:val="auto"/>
              </w:rPr>
            </w:pPr>
          </w:p>
        </w:tc>
        <w:tc>
          <w:tcPr>
            <w:tcW w:w="37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Chairman of the Board of Directors</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7"/>
              </w:rPr>
              <w:t>David Mott</w:t>
            </w: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Bazemore</w:t>
            </w:r>
          </w:p>
        </w:tc>
        <w:tc>
          <w:tcPr>
            <w:tcW w:w="200" w:type="dxa"/>
            <w:vAlign w:val="bottom"/>
          </w:tcPr>
          <w:p>
            <w:pPr>
              <w:spacing w:after="0"/>
              <w:rPr>
                <w:sz w:val="24"/>
                <w:szCs w:val="24"/>
                <w:color w:val="auto"/>
              </w:rPr>
            </w:pPr>
          </w:p>
        </w:tc>
        <w:tc>
          <w:tcPr>
            <w:tcW w:w="378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Robert Bazemore</w:t>
            </w: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William Bertrand, Jr.</w:t>
            </w:r>
          </w:p>
        </w:tc>
        <w:tc>
          <w:tcPr>
            <w:tcW w:w="200" w:type="dxa"/>
            <w:vAlign w:val="bottom"/>
          </w:tcPr>
          <w:p>
            <w:pPr>
              <w:spacing w:after="0"/>
              <w:rPr>
                <w:sz w:val="24"/>
                <w:szCs w:val="24"/>
                <w:color w:val="auto"/>
              </w:rPr>
            </w:pPr>
          </w:p>
        </w:tc>
        <w:tc>
          <w:tcPr>
            <w:tcW w:w="378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William Bertrand, Jr.</w:t>
            </w: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Muna Bhanji</w:t>
            </w:r>
          </w:p>
        </w:tc>
        <w:tc>
          <w:tcPr>
            <w:tcW w:w="200" w:type="dxa"/>
            <w:vAlign w:val="bottom"/>
          </w:tcPr>
          <w:p>
            <w:pPr>
              <w:spacing w:after="0"/>
              <w:rPr>
                <w:sz w:val="24"/>
                <w:szCs w:val="24"/>
                <w:color w:val="auto"/>
              </w:rPr>
            </w:pPr>
          </w:p>
        </w:tc>
        <w:tc>
          <w:tcPr>
            <w:tcW w:w="378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Muna Bhanji</w:t>
            </w: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Geoffrey A. Block</w:t>
            </w:r>
          </w:p>
        </w:tc>
        <w:tc>
          <w:tcPr>
            <w:tcW w:w="200" w:type="dxa"/>
            <w:vAlign w:val="bottom"/>
          </w:tcPr>
          <w:p>
            <w:pPr>
              <w:spacing w:after="0"/>
              <w:rPr>
                <w:sz w:val="24"/>
                <w:szCs w:val="24"/>
                <w:color w:val="auto"/>
              </w:rPr>
            </w:pPr>
          </w:p>
        </w:tc>
        <w:tc>
          <w:tcPr>
            <w:tcW w:w="378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Geoffrey A. Block</w:t>
            </w: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Onaiza Cadoret-Manier</w:t>
            </w:r>
          </w:p>
        </w:tc>
        <w:tc>
          <w:tcPr>
            <w:tcW w:w="200" w:type="dxa"/>
            <w:vAlign w:val="bottom"/>
          </w:tcPr>
          <w:p>
            <w:pPr>
              <w:spacing w:after="0"/>
              <w:rPr>
                <w:sz w:val="24"/>
                <w:szCs w:val="24"/>
                <w:color w:val="auto"/>
              </w:rPr>
            </w:pPr>
          </w:p>
        </w:tc>
        <w:tc>
          <w:tcPr>
            <w:tcW w:w="378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Onaiza Cadoret-Manier</w:t>
            </w: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Jan M. Lundberg, Ph.D.</w:t>
            </w:r>
          </w:p>
        </w:tc>
        <w:tc>
          <w:tcPr>
            <w:tcW w:w="200" w:type="dxa"/>
            <w:vAlign w:val="bottom"/>
          </w:tcPr>
          <w:p>
            <w:pPr>
              <w:spacing w:after="0"/>
              <w:rPr>
                <w:sz w:val="24"/>
                <w:szCs w:val="24"/>
                <w:color w:val="auto"/>
              </w:rPr>
            </w:pPr>
          </w:p>
        </w:tc>
        <w:tc>
          <w:tcPr>
            <w:tcW w:w="378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Jan M. Lundberg, Ph.D.</w:t>
            </w: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2"/>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7" w:name="page8"/>
    <w:bookmarkEnd w:id="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Gordon Ringold, Ph.D.</w:t>
            </w:r>
          </w:p>
        </w:tc>
        <w:tc>
          <w:tcPr>
            <w:tcW w:w="3180" w:type="dxa"/>
            <w:vAlign w:val="bottom"/>
          </w:tcPr>
          <w:p>
            <w:pPr>
              <w:ind w:left="170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880"/>
              <w:spacing w:after="0"/>
              <w:rPr>
                <w:sz w:val="20"/>
                <w:szCs w:val="20"/>
                <w:color w:val="auto"/>
              </w:rPr>
            </w:pPr>
            <w:r>
              <w:rPr>
                <w:rFonts w:ascii="Arial" w:cs="Arial" w:eastAsia="Arial" w:hAnsi="Arial"/>
                <w:sz w:val="18"/>
                <w:szCs w:val="18"/>
                <w:color w:val="auto"/>
                <w:w w:val="97"/>
              </w:rPr>
              <w:t>March 11, 2021</w:t>
            </w:r>
          </w:p>
        </w:tc>
      </w:tr>
      <w:tr>
        <w:trPr>
          <w:trHeight w:val="224"/>
        </w:trPr>
        <w:tc>
          <w:tcPr>
            <w:tcW w:w="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Gordon Ringold, Ph.D.</w:t>
            </w:r>
          </w:p>
        </w:tc>
        <w:tc>
          <w:tcPr>
            <w:tcW w:w="3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Richard Rodgers</w:t>
            </w:r>
          </w:p>
        </w:tc>
        <w:tc>
          <w:tcPr>
            <w:tcW w:w="3180" w:type="dxa"/>
            <w:vAlign w:val="bottom"/>
          </w:tcPr>
          <w:p>
            <w:pPr>
              <w:ind w:left="170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880"/>
              <w:spacing w:after="0"/>
              <w:rPr>
                <w:sz w:val="20"/>
                <w:szCs w:val="20"/>
                <w:color w:val="auto"/>
              </w:rPr>
            </w:pPr>
            <w:r>
              <w:rPr>
                <w:rFonts w:ascii="Arial" w:cs="Arial" w:eastAsia="Arial" w:hAnsi="Arial"/>
                <w:sz w:val="18"/>
                <w:szCs w:val="18"/>
                <w:color w:val="auto"/>
                <w:w w:val="97"/>
              </w:rPr>
              <w:t>March 11, 2021</w:t>
            </w:r>
          </w:p>
        </w:tc>
      </w:tr>
      <w:tr>
        <w:trPr>
          <w:trHeight w:val="224"/>
        </w:trPr>
        <w:tc>
          <w:tcPr>
            <w:tcW w:w="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8"/>
              </w:rPr>
              <w:t>Richard Rodgers</w:t>
            </w:r>
          </w:p>
        </w:tc>
        <w:tc>
          <w:tcPr>
            <w:tcW w:w="3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762"/>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8" w:name="page9"/>
    <w:bookmarkEnd w:id="8"/>
    <w:p>
      <w:pPr>
        <w:ind w:left="8920"/>
        <w:spacing w:after="0"/>
        <w:rPr>
          <w:sz w:val="20"/>
          <w:szCs w:val="20"/>
          <w:color w:val="auto"/>
        </w:rPr>
      </w:pPr>
      <w:r>
        <w:rPr>
          <w:rFonts w:ascii="Arial" w:cs="Arial" w:eastAsia="Arial" w:hAnsi="Arial"/>
          <w:sz w:val="19"/>
          <w:szCs w:val="19"/>
          <w:b w:val="1"/>
          <w:bCs w:val="1"/>
          <w:color w:val="auto"/>
        </w:rPr>
        <w:t>Exhibit 5.1</w:t>
      </w:r>
    </w:p>
    <w:p>
      <w:pPr>
        <w:sectPr>
          <w:pgSz w:w="11900" w:h="16838" w:orient="portrait"/>
          <w:cols w:equalWidth="0" w:num="1">
            <w:col w:w="9920"/>
          </w:cols>
          <w:pgMar w:left="980" w:top="11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March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-1063625</wp:posOffset>
            </wp:positionV>
            <wp:extent cx="214312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214312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Ardelyx, Inc.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34175 Ardenwood Blvd.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Fremont, CA 94555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color w:val="auto"/>
        </w:rPr>
        <w:t>140 Scott Drive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Menlo Park, California 94025</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Tel: +1.650.328.4600 Fax: +1.650.463.2600</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www.lw.com</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FIRM / AFFILIATE OFFICES</w:t>
      </w:r>
    </w:p>
    <w:p>
      <w:pPr>
        <w:spacing w:after="0" w:line="40"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Moscow</w:t>
      </w:r>
    </w:p>
    <w:p>
      <w:pPr>
        <w:spacing w:after="0" w:line="40"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Munich</w:t>
      </w:r>
    </w:p>
    <w:p>
      <w:pPr>
        <w:spacing w:after="0" w:line="40"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New York</w:t>
      </w:r>
    </w:p>
    <w:p>
      <w:pPr>
        <w:spacing w:after="0" w:line="40"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color w:val="auto"/>
        </w:rPr>
        <w:t>Century City</w:t>
      </w:r>
      <w:r>
        <w:rPr>
          <w:sz w:val="20"/>
          <w:szCs w:val="20"/>
          <w:color w:val="auto"/>
        </w:rPr>
        <w:tab/>
      </w:r>
      <w:r>
        <w:rPr>
          <w:rFonts w:ascii="Arial" w:cs="Arial" w:eastAsia="Arial" w:hAnsi="Arial"/>
          <w:sz w:val="12"/>
          <w:szCs w:val="12"/>
          <w:color w:val="auto"/>
        </w:rPr>
        <w:t>Orange County</w:t>
      </w:r>
    </w:p>
    <w:p>
      <w:pPr>
        <w:spacing w:after="0" w:line="40"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Paris</w:t>
      </w:r>
    </w:p>
    <w:p>
      <w:pPr>
        <w:spacing w:after="0" w:line="40"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Riyadh</w:t>
      </w:r>
    </w:p>
    <w:p>
      <w:pPr>
        <w:spacing w:after="0" w:line="40"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color w:val="auto"/>
        </w:rPr>
        <w:t>Düsseldorf</w:t>
      </w:r>
      <w:r>
        <w:rPr>
          <w:sz w:val="20"/>
          <w:szCs w:val="20"/>
          <w:color w:val="auto"/>
        </w:rPr>
        <w:tab/>
      </w:r>
      <w:r>
        <w:rPr>
          <w:rFonts w:ascii="Arial" w:cs="Arial" w:eastAsia="Arial" w:hAnsi="Arial"/>
          <w:sz w:val="13"/>
          <w:szCs w:val="13"/>
          <w:color w:val="auto"/>
        </w:rPr>
        <w:t>San Diego</w:t>
      </w:r>
    </w:p>
    <w:p>
      <w:pPr>
        <w:spacing w:after="0" w:line="40"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San Francisco</w:t>
      </w:r>
    </w:p>
    <w:p>
      <w:pPr>
        <w:spacing w:after="0" w:line="40"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Seoul</w:t>
      </w:r>
    </w:p>
    <w:p>
      <w:pPr>
        <w:spacing w:after="0" w:line="40"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12"/>
          <w:szCs w:val="12"/>
          <w:color w:val="auto"/>
        </w:rPr>
        <w:t>Shanghai</w:t>
      </w:r>
    </w:p>
    <w:p>
      <w:pPr>
        <w:spacing w:after="0" w:line="40"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Silicon Valley</w:t>
      </w:r>
    </w:p>
    <w:p>
      <w:pPr>
        <w:spacing w:after="0" w:line="40"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Singapore</w:t>
      </w:r>
    </w:p>
    <w:p>
      <w:pPr>
        <w:spacing w:after="0" w:line="40"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color w:val="auto"/>
        </w:rPr>
        <w:t>Los Angeles</w:t>
      </w:r>
      <w:r>
        <w:rPr>
          <w:sz w:val="20"/>
          <w:szCs w:val="20"/>
          <w:color w:val="auto"/>
        </w:rPr>
        <w:tab/>
      </w:r>
      <w:r>
        <w:rPr>
          <w:rFonts w:ascii="Arial" w:cs="Arial" w:eastAsia="Arial" w:hAnsi="Arial"/>
          <w:sz w:val="12"/>
          <w:szCs w:val="12"/>
          <w:color w:val="auto"/>
        </w:rPr>
        <w:t>Tokyo</w:t>
      </w:r>
    </w:p>
    <w:p>
      <w:pPr>
        <w:spacing w:after="0" w:line="40"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color w:val="auto"/>
        </w:rPr>
        <w:t>Madrid</w:t>
      </w:r>
      <w:r>
        <w:rPr>
          <w:sz w:val="20"/>
          <w:szCs w:val="20"/>
          <w:color w:val="auto"/>
        </w:rPr>
        <w:tab/>
      </w:r>
      <w:r>
        <w:rPr>
          <w:rFonts w:ascii="Arial" w:cs="Arial" w:eastAsia="Arial" w:hAnsi="Arial"/>
          <w:sz w:val="13"/>
          <w:szCs w:val="13"/>
          <w:color w:val="auto"/>
        </w:rPr>
        <w:t>Washington, D.C.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Milan</w:t>
      </w:r>
    </w:p>
    <w:p>
      <w:pPr>
        <w:spacing w:after="0" w:line="1170" w:lineRule="exact"/>
        <w:rPr>
          <w:sz w:val="20"/>
          <w:szCs w:val="20"/>
          <w:color w:val="auto"/>
        </w:rPr>
      </w:pPr>
    </w:p>
    <w:p>
      <w:pPr>
        <w:sectPr>
          <w:pgSz w:w="11900" w:h="16838" w:orient="portrait"/>
          <w:cols w:equalWidth="0" w:num="2">
            <w:col w:w="6560" w:space="720"/>
            <w:col w:w="2640"/>
          </w:cols>
          <w:pgMar w:left="980" w:top="111" w:right="999" w:bottom="1440" w:gutter="0" w:footer="0" w:header="0"/>
          <w:type w:val="continuous"/>
        </w:sectPr>
      </w:pPr>
    </w:p>
    <w:p>
      <w:pPr>
        <w:spacing w:after="0" w:line="225" w:lineRule="exact"/>
        <w:rPr>
          <w:sz w:val="20"/>
          <w:szCs w:val="20"/>
          <w:color w:val="auto"/>
        </w:rPr>
      </w:pPr>
    </w:p>
    <w:p>
      <w:pPr>
        <w:ind w:left="1960" w:right="200" w:hanging="659"/>
        <w:spacing w:after="0" w:line="256" w:lineRule="auto"/>
        <w:tabs>
          <w:tab w:leader="none" w:pos="194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22"/>
          <w:szCs w:val="22"/>
          <w:b w:val="1"/>
          <w:bCs w:val="1"/>
          <w:u w:val="single" w:color="auto"/>
          <w:color w:val="auto"/>
        </w:rPr>
        <w:t>Registration Statement on Form S-8; 5,137,765 shares of Common Stock of Ardelyx, Inc., par value $0.0001 per share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We have acted as special counsel to Ardelyx,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the registration by the Company of 5,137,765 shares of common stock of the Company, par value $0.0001 per share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issuable under the Company’s 2014 Equity Incentive Award Plan (the “</w:t>
      </w:r>
      <w:r>
        <w:rPr>
          <w:rFonts w:ascii="Arial" w:cs="Arial" w:eastAsia="Arial" w:hAnsi="Arial"/>
          <w:sz w:val="19"/>
          <w:szCs w:val="19"/>
          <w:b w:val="1"/>
          <w:bCs w:val="1"/>
          <w:i w:val="1"/>
          <w:iCs w:val="1"/>
          <w:color w:val="auto"/>
        </w:rPr>
        <w:t>2014 Plan</w:t>
      </w:r>
      <w:r>
        <w:rPr>
          <w:rFonts w:ascii="Arial" w:cs="Arial" w:eastAsia="Arial" w:hAnsi="Arial"/>
          <w:sz w:val="19"/>
          <w:szCs w:val="19"/>
          <w:color w:val="auto"/>
        </w:rPr>
        <w:t>”), the 2014 Employee Stock Purchase Plan (the “</w:t>
      </w:r>
      <w:r>
        <w:rPr>
          <w:rFonts w:ascii="Arial" w:cs="Arial" w:eastAsia="Arial" w:hAnsi="Arial"/>
          <w:sz w:val="19"/>
          <w:szCs w:val="19"/>
          <w:b w:val="1"/>
          <w:bCs w:val="1"/>
          <w:i w:val="1"/>
          <w:iCs w:val="1"/>
          <w:color w:val="auto"/>
        </w:rPr>
        <w:t>ESPP</w:t>
      </w:r>
      <w:r>
        <w:rPr>
          <w:rFonts w:ascii="Arial" w:cs="Arial" w:eastAsia="Arial" w:hAnsi="Arial"/>
          <w:sz w:val="19"/>
          <w:szCs w:val="19"/>
          <w:color w:val="auto"/>
        </w:rPr>
        <w:t>”) and 2016 Employment Commencement Incentive Plan (the “</w:t>
      </w:r>
      <w:r>
        <w:rPr>
          <w:rFonts w:ascii="Arial" w:cs="Arial" w:eastAsia="Arial" w:hAnsi="Arial"/>
          <w:sz w:val="19"/>
          <w:szCs w:val="19"/>
          <w:b w:val="1"/>
          <w:bCs w:val="1"/>
          <w:i w:val="1"/>
          <w:iCs w:val="1"/>
          <w:color w:val="auto"/>
        </w:rPr>
        <w:t>2016 Plan</w:t>
      </w:r>
      <w:r>
        <w:rPr>
          <w:rFonts w:ascii="Arial" w:cs="Arial" w:eastAsia="Arial" w:hAnsi="Arial"/>
          <w:sz w:val="19"/>
          <w:szCs w:val="19"/>
          <w:color w:val="auto"/>
        </w:rPr>
        <w:t>” and together with the 2014 Plan and the ESPP, the “</w:t>
      </w:r>
      <w:r>
        <w:rPr>
          <w:rFonts w:ascii="Arial" w:cs="Arial" w:eastAsia="Arial" w:hAnsi="Arial"/>
          <w:sz w:val="19"/>
          <w:szCs w:val="19"/>
          <w:b w:val="1"/>
          <w:bCs w:val="1"/>
          <w:i w:val="1"/>
          <w:iCs w:val="1"/>
          <w:color w:val="auto"/>
        </w:rPr>
        <w:t>Plans</w:t>
      </w:r>
      <w:r>
        <w:rPr>
          <w:rFonts w:ascii="Arial" w:cs="Arial" w:eastAsia="Arial" w:hAnsi="Arial"/>
          <w:sz w:val="19"/>
          <w:szCs w:val="19"/>
          <w:color w:val="auto"/>
        </w:rPr>
        <w:t>”).</w:t>
      </w:r>
    </w:p>
    <w:p>
      <w:pPr>
        <w:spacing w:after="0" w:line="14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Shares are included in a registration statement on Form S-8 under the Securities Act of 1933, as amended (the “</w:t>
      </w:r>
      <w:r>
        <w:rPr>
          <w:rFonts w:ascii="Arial" w:cs="Arial" w:eastAsia="Arial" w:hAnsi="Arial"/>
          <w:sz w:val="22"/>
          <w:szCs w:val="22"/>
          <w:b w:val="1"/>
          <w:bCs w:val="1"/>
          <w:i w:val="1"/>
          <w:iCs w:val="1"/>
          <w:color w:val="auto"/>
        </w:rPr>
        <w:t>Act</w:t>
      </w:r>
      <w:r>
        <w:rPr>
          <w:rFonts w:ascii="Arial" w:cs="Arial" w:eastAsia="Arial" w:hAnsi="Arial"/>
          <w:sz w:val="22"/>
          <w:szCs w:val="22"/>
          <w:color w:val="auto"/>
        </w:rPr>
        <w:t>”), filed with the Securities and Exchange Commission (the “</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on March 11, 2021 (the “</w:t>
      </w:r>
      <w:r>
        <w:rPr>
          <w:rFonts w:ascii="Arial" w:cs="Arial" w:eastAsia="Arial" w:hAnsi="Arial"/>
          <w:sz w:val="22"/>
          <w:szCs w:val="22"/>
          <w:b w:val="1"/>
          <w:bCs w:val="1"/>
          <w:i w:val="1"/>
          <w:iCs w:val="1"/>
          <w:color w:val="auto"/>
        </w:rPr>
        <w:t>Registration Statement</w:t>
      </w:r>
      <w:r>
        <w:rPr>
          <w:rFonts w:ascii="Arial" w:cs="Arial" w:eastAsia="Arial" w:hAnsi="Arial"/>
          <w:sz w:val="22"/>
          <w:szCs w:val="22"/>
          <w:color w:val="auto"/>
        </w:rPr>
        <w:t>”). This opinion is being furnished in connection with the requirements of Item 601(b)(5) of Regulation S-K under the Act, and no opinion is expressed herein as to any matter pertaining to the contents of the Registration Statement or the related prospectus, other than as expressly stated herein with respect to the issue of the Shares.</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22"/>
          <w:szCs w:val="22"/>
          <w:b w:val="1"/>
          <w:bCs w:val="1"/>
          <w:i w:val="1"/>
          <w:iCs w:val="1"/>
          <w:color w:val="auto"/>
        </w:rPr>
        <w:t>DGCL</w:t>
      </w:r>
      <w:r>
        <w:rPr>
          <w:rFonts w:ascii="Arial" w:cs="Arial" w:eastAsia="Arial" w:hAnsi="Arial"/>
          <w:sz w:val="22"/>
          <w:szCs w:val="22"/>
          <w:color w:val="auto"/>
        </w:rPr>
        <w:t>”), and we express no opinion with respect to any other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type w:val="continuous"/>
        </w:sectPr>
      </w:pPr>
    </w:p>
    <w:bookmarkStart w:id="9" w:name="page10"/>
    <w:bookmarkEnd w:id="9"/>
    <w:p>
      <w:pPr>
        <w:jc w:val="both"/>
        <w:ind w:firstLine="648"/>
        <w:spacing w:after="0" w:line="27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628015</wp:posOffset>
            </wp:positionH>
            <wp:positionV relativeFrom="page">
              <wp:posOffset>568960</wp:posOffset>
            </wp:positionV>
            <wp:extent cx="1560195"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560195" cy="102870"/>
                    </a:xfrm>
                    <a:prstGeom prst="rect">
                      <a:avLst/>
                    </a:prstGeom>
                    <a:noFill/>
                  </pic:spPr>
                </pic:pic>
              </a:graphicData>
            </a:graphic>
          </wp:anchor>
        </w:drawing>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Plans, assuming in each case that the individual issuances, grants or awards under the Plans are duly authorized by all necessary corporate action and duly issued, granted or awarded and exercised in accordance with the requirements of law and the Plans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6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0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Latham &amp;Watkins,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2" w:right="9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2014 Equity Incentive Award Plan, 2014 Employee Stock Purchase Plan and 2016 Employment Commencement Incentive Plan of Ardelyx, Inc. of our report dated March 8, 2021, with respect to the financial statements of Ardelyx, Inc. included in its Annual Report (Form 10-K) for the year ended December 31, 2020,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79E2A9E3"/>
    <w:multiLevelType w:val="hybridMultilevel"/>
    <w:lvl w:ilvl="0">
      <w:lvlJc w:val="left"/>
      <w:lvlText w:val="%1"/>
      <w:numFmt w:val="lowerLetter"/>
      <w:start w:val="1"/>
    </w:lvl>
    <w:lvl w:ilvl="1">
      <w:lvlJc w:val="left"/>
      <w:lvlText w:val="(%2)"/>
      <w:numFmt w:val="decimal"/>
      <w:start w:val="1"/>
    </w:lvl>
  </w:abstractNum>
  <w:abstractNum w:abstractNumId="7">
    <w:nsid w:val="7545E146"/>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4"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jpeg"/><Relationship Id="rId36" Type="http://schemas.openxmlformats.org/officeDocument/2006/relationships/image" Target="media/image18.png"/><Relationship Id="rId37" Type="http://schemas.openxmlformats.org/officeDocument/2006/relationships/image" Target="media/image19.jpeg"/><Relationship Id="rId38" Type="http://schemas.openxmlformats.org/officeDocument/2006/relationships/image" Target="media/image20.png"/><Relationship Id="rId39" Type="http://schemas.openxmlformats.org/officeDocument/2006/relationships/image" Target="media/image21.png"/><Relationship Id="rId19" Type="http://schemas.openxmlformats.org/officeDocument/2006/relationships/hyperlink" Target="https://www.sec.gov/Archives/edgar/data/0001437402/000119312514267896/d758186ds8.htm" TargetMode="External"/><Relationship Id="rId20" Type="http://schemas.openxmlformats.org/officeDocument/2006/relationships/hyperlink" Target="https://www.sec.gov/Archives/edgar/data/0001437402/000119312516764653/d276142ds8.htm" TargetMode="External"/><Relationship Id="rId22" Type="http://schemas.openxmlformats.org/officeDocument/2006/relationships/hyperlink" Target="https://www.sec.gov/ix?doc=/Archives/edgar/data/0001437402/000155837021002500/ardx-20201231x10k.htm" TargetMode="External"/><Relationship Id="rId23" Type="http://schemas.openxmlformats.org/officeDocument/2006/relationships/hyperlink" Target="https://www.sec.gov/Archives/edgar/data/0001437402/000119312514230441/d740908d8a12b.htm" TargetMode="External"/><Relationship Id="rId25" Type="http://schemas.openxmlformats.org/officeDocument/2006/relationships/hyperlink" Target="http://www.sec.gov/Archives/edgar/data/1437402/000119312514247380/d748616dex31.htm" TargetMode="External"/><Relationship Id="rId26" Type="http://schemas.openxmlformats.org/officeDocument/2006/relationships/hyperlink" Target="http://www.sec.gov/Archives/edgar/data/1437402/000119312514247380/d748616dex32.htm" TargetMode="External"/><Relationship Id="rId27" Type="http://schemas.openxmlformats.org/officeDocument/2006/relationships/hyperlink" Target="http://www.sec.gov/Archives/edgar/data/1437402/000119312514240520/d704770dex42.htm" TargetMode="External"/><Relationship Id="rId28" Type="http://schemas.openxmlformats.org/officeDocument/2006/relationships/hyperlink" Target="http://www.sec.gov/Archives/edgar/data/1437402/000119312514267896/d758186dex993.htm" TargetMode="External"/><Relationship Id="rId29" Type="http://schemas.openxmlformats.org/officeDocument/2006/relationships/hyperlink" Target="https://www.sec.gov/Archives/edgar/data/1437402/000119312516764653/d276142dex991.htm" TargetMode="External"/><Relationship Id="rId30" Type="http://schemas.openxmlformats.org/officeDocument/2006/relationships/hyperlink" Target="http://www.sec.gov/Archives/edgar/data/1437402/000119312514229371/d704770dex106b.htm" TargetMode="External"/><Relationship Id="rId31" Type="http://schemas.openxmlformats.org/officeDocument/2006/relationships/hyperlink" Target="http://www.sec.gov/Archives/edgar/data/1437402/000119312514229371/d704770dex106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2021-03-12T05:19:19Z</dcterms:created>
  <dcterms:modified xsi:type="dcterms:W3CDTF">2021-03-12T05:19:19Z</dcterms:modified>
</cp:coreProperties>
</file>