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473710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431800</wp:posOffset>
            </wp:positionV>
            <wp:extent cx="7117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78105</wp:posOffset>
            </wp:positionV>
            <wp:extent cx="1666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84455</wp:posOffset>
            </wp:positionV>
            <wp:extent cx="1666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24" w:lineRule="exact"/>
        <w:rPr>
          <w:sz w:val="24"/>
          <w:szCs w:val="24"/>
          <w:color w:val="auto"/>
        </w:rPr>
      </w:pPr>
    </w:p>
    <w:p>
      <w:pPr>
        <w:ind w:left="560" w:hanging="53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60" w:hanging="53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5" w:lineRule="exact"/>
        <w:rPr>
          <w:sz w:val="24"/>
          <w:szCs w:val="24"/>
          <w:color w:val="auto"/>
        </w:rPr>
      </w:pPr>
    </w:p>
    <w:tbl>
      <w:tblPr>
        <w:tblLayout w:type="fixed"/>
        <w:tblInd w:w="4080" w:type="dxa"/>
        <w:tblCellMar>
          <w:top w:w="0" w:type="dxa"/>
          <w:left w:w="0" w:type="dxa"/>
          <w:bottom w:w="0" w:type="dxa"/>
          <w:right w:w="0" w:type="dxa"/>
        </w:tblCellMar>
      </w:tblPr>
      <w:tr>
        <w:trPr>
          <w:trHeight w:val="212"/>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w w:val="70"/>
              </w:rPr>
              <w:t>to</w:t>
            </w:r>
          </w:p>
        </w:tc>
      </w:tr>
      <w:tr>
        <w:trPr>
          <w:trHeight w:val="229"/>
        </w:trPr>
        <w:tc>
          <w:tcPr>
            <w:tcW w:w="292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Commission file number: 001-36485</w:t>
            </w:r>
          </w:p>
        </w:tc>
        <w:tc>
          <w:tcPr>
            <w:tcW w:w="160" w:type="dxa"/>
            <w:vAlign w:val="bottom"/>
          </w:tcPr>
          <w:p>
            <w:pPr>
              <w:spacing w:after="0"/>
              <w:rPr>
                <w:sz w:val="19"/>
                <w:szCs w:val="19"/>
                <w:color w:val="auto"/>
              </w:rPr>
            </w:pPr>
          </w:p>
        </w:tc>
      </w:tr>
      <w:tr>
        <w:trPr>
          <w:trHeight w:val="120"/>
        </w:trPr>
        <w:tc>
          <w:tcPr>
            <w:tcW w:w="24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ARDELYX,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78740</wp:posOffset>
            </wp:positionV>
            <wp:extent cx="1666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jc w:val="center"/>
              <w:ind w:left="2202"/>
              <w:spacing w:after="0"/>
              <w:rPr>
                <w:sz w:val="20"/>
                <w:szCs w:val="20"/>
                <w:color w:val="auto"/>
              </w:rPr>
            </w:pPr>
            <w:r>
              <w:rPr>
                <w:rFonts w:ascii="Arial" w:cs="Arial" w:eastAsia="Arial" w:hAnsi="Arial"/>
                <w:sz w:val="18"/>
                <w:szCs w:val="18"/>
                <w:b w:val="1"/>
                <w:bCs w:val="1"/>
                <w:color w:val="auto"/>
                <w:w w:val="91"/>
              </w:rPr>
              <w:t>Delaware</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20" w:type="dxa"/>
            <w:vAlign w:val="bottom"/>
            <w:gridSpan w:val="2"/>
          </w:tcPr>
          <w:p>
            <w:pPr>
              <w:ind w:left="860"/>
              <w:spacing w:after="0"/>
              <w:rPr>
                <w:sz w:val="20"/>
                <w:szCs w:val="20"/>
                <w:color w:val="auto"/>
              </w:rPr>
            </w:pPr>
            <w:r>
              <w:rPr>
                <w:rFonts w:ascii="Arial" w:cs="Arial" w:eastAsia="Arial" w:hAnsi="Arial"/>
                <w:sz w:val="18"/>
                <w:szCs w:val="18"/>
                <w:b w:val="1"/>
                <w:bCs w:val="1"/>
                <w:color w:val="auto"/>
              </w:rPr>
              <w:t>26-1303944</w:t>
            </w:r>
          </w:p>
        </w:tc>
        <w:tc>
          <w:tcPr>
            <w:tcW w:w="0" w:type="dxa"/>
            <w:vAlign w:val="bottom"/>
          </w:tcPr>
          <w:p>
            <w:pPr>
              <w:spacing w:after="0"/>
              <w:rPr>
                <w:sz w:val="1"/>
                <w:szCs w:val="1"/>
                <w:color w:val="auto"/>
              </w:rPr>
            </w:pPr>
          </w:p>
        </w:tc>
      </w:tr>
      <w:tr>
        <w:trPr>
          <w:trHeight w:val="225"/>
        </w:trPr>
        <w:tc>
          <w:tcPr>
            <w:tcW w:w="7120" w:type="dxa"/>
            <w:vAlign w:val="bottom"/>
            <w:gridSpan w:val="7"/>
          </w:tcPr>
          <w:p>
            <w:pPr>
              <w:jc w:val="center"/>
              <w:ind w:right="152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74"/>
        </w:trPr>
        <w:tc>
          <w:tcPr>
            <w:tcW w:w="3320" w:type="dxa"/>
            <w:vAlign w:val="bottom"/>
          </w:tcPr>
          <w:p>
            <w:pPr>
              <w:spacing w:after="0"/>
              <w:rPr>
                <w:sz w:val="23"/>
                <w:szCs w:val="23"/>
                <w:color w:val="auto"/>
              </w:rPr>
            </w:pPr>
          </w:p>
        </w:tc>
        <w:tc>
          <w:tcPr>
            <w:tcW w:w="7920" w:type="dxa"/>
            <w:vAlign w:val="bottom"/>
            <w:gridSpan w:val="8"/>
          </w:tcPr>
          <w:p>
            <w:pPr>
              <w:jc w:val="center"/>
              <w:ind w:right="3249"/>
              <w:spacing w:after="0"/>
              <w:rPr>
                <w:sz w:val="20"/>
                <w:szCs w:val="20"/>
                <w:color w:val="auto"/>
              </w:rPr>
            </w:pPr>
            <w:r>
              <w:rPr>
                <w:rFonts w:ascii="Arial" w:cs="Arial" w:eastAsia="Arial" w:hAnsi="Arial"/>
                <w:sz w:val="18"/>
                <w:szCs w:val="18"/>
                <w:b w:val="1"/>
                <w:bCs w:val="1"/>
                <w:color w:val="auto"/>
                <w:w w:val="89"/>
              </w:rPr>
              <w:t>34175 Ardenwood Boulevard, Fremont, California 94555</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18"/>
                <w:szCs w:val="18"/>
                <w:color w:val="auto"/>
              </w:rPr>
            </w:pPr>
          </w:p>
        </w:tc>
        <w:tc>
          <w:tcPr>
            <w:tcW w:w="7920" w:type="dxa"/>
            <w:vAlign w:val="bottom"/>
            <w:gridSpan w:val="8"/>
          </w:tcPr>
          <w:p>
            <w:pPr>
              <w:jc w:val="center"/>
              <w:ind w:right="3249"/>
              <w:spacing w:after="0"/>
              <w:rPr>
                <w:sz w:val="20"/>
                <w:szCs w:val="20"/>
                <w:color w:val="auto"/>
              </w:rPr>
            </w:pPr>
            <w:r>
              <w:rPr>
                <w:rFonts w:ascii="Arial" w:cs="Arial" w:eastAsia="Arial" w:hAnsi="Arial"/>
                <w:sz w:val="18"/>
                <w:szCs w:val="18"/>
                <w:b w:val="1"/>
                <w:bCs w:val="1"/>
                <w:color w:val="auto"/>
                <w:w w:val="88"/>
              </w:rPr>
              <w:t>400 Fifth Avenue, Suite 210, Waltham, Massachusetts 02451</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80" w:type="dxa"/>
            <w:vAlign w:val="bottom"/>
            <w:gridSpan w:val="5"/>
          </w:tcPr>
          <w:p>
            <w:pPr>
              <w:jc w:val="center"/>
              <w:ind w:left="109"/>
              <w:spacing w:after="0"/>
              <w:rPr>
                <w:sz w:val="20"/>
                <w:szCs w:val="20"/>
                <w:color w:val="auto"/>
              </w:rPr>
            </w:pPr>
            <w:r>
              <w:rPr>
                <w:rFonts w:ascii="Arial" w:cs="Arial" w:eastAsia="Arial" w:hAnsi="Arial"/>
                <w:sz w:val="14"/>
                <w:szCs w:val="14"/>
                <w:color w:val="auto"/>
                <w:w w:val="93"/>
              </w:rPr>
              <w:t>(Address of Principal Executive Offices) (Zip Code)</w:t>
            </w:r>
          </w:p>
        </w:tc>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3320" w:type="dxa"/>
            <w:vAlign w:val="bottom"/>
          </w:tcPr>
          <w:p>
            <w:pPr>
              <w:spacing w:after="0"/>
              <w:rPr>
                <w:sz w:val="24"/>
                <w:szCs w:val="24"/>
                <w:color w:val="auto"/>
              </w:rPr>
            </w:pPr>
          </w:p>
        </w:tc>
        <w:tc>
          <w:tcPr>
            <w:tcW w:w="3500" w:type="dxa"/>
            <w:vAlign w:val="bottom"/>
            <w:gridSpan w:val="4"/>
          </w:tcPr>
          <w:p>
            <w:pPr>
              <w:jc w:val="center"/>
              <w:ind w:left="1032"/>
              <w:spacing w:after="0"/>
              <w:rPr>
                <w:sz w:val="20"/>
                <w:szCs w:val="20"/>
                <w:color w:val="auto"/>
              </w:rPr>
            </w:pPr>
            <w:r>
              <w:rPr>
                <w:rFonts w:ascii="Arial" w:cs="Arial" w:eastAsia="Arial" w:hAnsi="Arial"/>
                <w:sz w:val="18"/>
                <w:szCs w:val="18"/>
                <w:b w:val="1"/>
                <w:bCs w:val="1"/>
                <w:color w:val="auto"/>
                <w:w w:val="89"/>
              </w:rPr>
              <w:t>(510) 745-1700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300" w:type="dxa"/>
            <w:vAlign w:val="bottom"/>
            <w:gridSpan w:val="7"/>
          </w:tcPr>
          <w:p>
            <w:pPr>
              <w:jc w:val="center"/>
              <w:ind w:right="3849"/>
              <w:spacing w:after="0"/>
              <w:rPr>
                <w:sz w:val="20"/>
                <w:szCs w:val="20"/>
                <w:color w:val="auto"/>
              </w:rPr>
            </w:pPr>
            <w:r>
              <w:rPr>
                <w:rFonts w:ascii="Arial" w:cs="Arial" w:eastAsia="Arial" w:hAnsi="Arial"/>
                <w:sz w:val="14"/>
                <w:szCs w:val="14"/>
                <w:color w:val="auto"/>
                <w:w w:val="91"/>
              </w:rPr>
              <w:t>(Registrant’s Telephone Number, Including Area Code)</w:t>
            </w:r>
          </w:p>
        </w:tc>
        <w:tc>
          <w:tcPr>
            <w:tcW w:w="0" w:type="dxa"/>
            <w:vAlign w:val="bottom"/>
          </w:tcPr>
          <w:p>
            <w:pPr>
              <w:spacing w:after="0"/>
              <w:rPr>
                <w:sz w:val="1"/>
                <w:szCs w:val="1"/>
                <w:color w:val="auto"/>
              </w:rPr>
            </w:pPr>
          </w:p>
        </w:tc>
      </w:tr>
      <w:tr>
        <w:trPr>
          <w:trHeight w:val="24"/>
        </w:trPr>
        <w:tc>
          <w:tcPr>
            <w:tcW w:w="3320" w:type="dxa"/>
            <w:vAlign w:val="bottom"/>
            <w:vMerge w:val="restart"/>
          </w:tcPr>
          <w:p>
            <w:pPr>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3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20" w:type="dxa"/>
            <w:vAlign w:val="bottom"/>
          </w:tcPr>
          <w:p>
            <w:pPr>
              <w:jc w:val="center"/>
              <w:ind w:left="542"/>
              <w:spacing w:after="0"/>
              <w:rPr>
                <w:sz w:val="20"/>
                <w:szCs w:val="20"/>
                <w:color w:val="auto"/>
              </w:rPr>
            </w:pPr>
            <w:r>
              <w:rPr>
                <w:rFonts w:ascii="Arial" w:cs="Arial" w:eastAsia="Arial" w:hAnsi="Arial"/>
                <w:sz w:val="14"/>
                <w:szCs w:val="14"/>
                <w:b w:val="1"/>
                <w:bCs w:val="1"/>
                <w:color w:val="auto"/>
                <w:w w:val="87"/>
              </w:rPr>
              <w:t>Title of each class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Trading Symbol(s)</w:t>
            </w:r>
          </w:p>
        </w:tc>
        <w:tc>
          <w:tcPr>
            <w:tcW w:w="180" w:type="dxa"/>
            <w:vAlign w:val="bottom"/>
          </w:tcPr>
          <w:p>
            <w:pPr>
              <w:spacing w:after="0"/>
              <w:rPr>
                <w:sz w:val="17"/>
                <w:szCs w:val="17"/>
                <w:color w:val="auto"/>
              </w:rPr>
            </w:pPr>
          </w:p>
        </w:tc>
        <w:tc>
          <w:tcPr>
            <w:tcW w:w="3940" w:type="dxa"/>
            <w:vAlign w:val="bottom"/>
          </w:tcPr>
          <w:p>
            <w:pPr>
              <w:ind w:left="66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9"/>
        </w:trPr>
        <w:tc>
          <w:tcPr>
            <w:tcW w:w="3320" w:type="dxa"/>
            <w:vAlign w:val="bottom"/>
            <w:tcBorders>
              <w:top w:val="single" w:sz="8" w:color="auto"/>
            </w:tcBorders>
          </w:tcPr>
          <w:p>
            <w:pPr>
              <w:jc w:val="center"/>
              <w:ind w:left="542"/>
              <w:spacing w:after="0"/>
              <w:rPr>
                <w:sz w:val="20"/>
                <w:szCs w:val="20"/>
                <w:color w:val="auto"/>
              </w:rPr>
            </w:pPr>
            <w:r>
              <w:rPr>
                <w:rFonts w:ascii="Arial" w:cs="Arial" w:eastAsia="Arial" w:hAnsi="Arial"/>
                <w:sz w:val="14"/>
                <w:szCs w:val="14"/>
                <w:color w:val="auto"/>
                <w:w w:val="91"/>
              </w:rPr>
              <w:t>Common Stock, par value $0.0001</w:t>
            </w: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3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940" w:type="dxa"/>
            <w:vAlign w:val="bottom"/>
            <w:tcBorders>
              <w:top w:val="single" w:sz="8" w:color="auto"/>
            </w:tcBorders>
          </w:tcPr>
          <w:p>
            <w:pPr>
              <w:ind w:left="1200"/>
              <w:spacing w:after="0"/>
              <w:rPr>
                <w:sz w:val="20"/>
                <w:szCs w:val="20"/>
                <w:color w:val="auto"/>
              </w:rPr>
            </w:pPr>
            <w:r>
              <w:rPr>
                <w:rFonts w:ascii="Arial" w:cs="Arial" w:eastAsia="Arial" w:hAnsi="Arial"/>
                <w:sz w:val="14"/>
                <w:szCs w:val="14"/>
                <w:color w:val="auto"/>
              </w:rPr>
              <w:t>The Nasdaq Global Market</w:t>
            </w: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120"/>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5" w:lineRule="exact"/>
        <w:rPr>
          <w:sz w:val="24"/>
          <w:szCs w:val="24"/>
          <w:color w:val="auto"/>
        </w:rPr>
      </w:pPr>
    </w:p>
    <w:p>
      <w:pPr>
        <w:ind w:right="260"/>
        <w:spacing w:after="0" w:line="20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5" w:lineRule="exact"/>
        <w:rPr>
          <w:sz w:val="24"/>
          <w:szCs w:val="24"/>
          <w:color w:val="auto"/>
        </w:rPr>
      </w:pPr>
    </w:p>
    <w:p>
      <w:pPr>
        <w:ind w:right="480"/>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278"/>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86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9"/>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24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86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700" w:type="dxa"/>
            <w:vAlign w:val="bottom"/>
          </w:tcPr>
          <w:p>
            <w:pPr>
              <w:ind w:left="186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5" w:lineRule="exact"/>
        <w:rPr>
          <w:sz w:val="24"/>
          <w:szCs w:val="24"/>
          <w:color w:val="auto"/>
        </w:rPr>
      </w:pPr>
    </w:p>
    <w:p>
      <w:pPr>
        <w:ind w:right="200"/>
        <w:spacing w:after="0" w:line="20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6" w:lineRule="exact"/>
        <w:rPr>
          <w:sz w:val="24"/>
          <w:szCs w:val="24"/>
          <w:color w:val="auto"/>
        </w:rPr>
      </w:pPr>
    </w:p>
    <w:p>
      <w:pPr>
        <w:spacing w:after="0" w:line="196" w:lineRule="exact"/>
        <w:tabs>
          <w:tab w:leader="none" w:pos="6540" w:val="left"/>
          <w:tab w:leader="none" w:pos="70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August 10, 2021, was 103,119,010.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654050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711771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27305</wp:posOffset>
            </wp:positionV>
            <wp:extent cx="7117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Borders>
              <w:bottom w:val="single" w:sz="8" w:color="0000FF"/>
            </w:tcBorders>
            <w:gridSpan w:val="8"/>
          </w:tcPr>
          <w:p>
            <w:pPr>
              <w:jc w:val="center"/>
              <w:spacing w:after="0" w:line="17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600" w:type="dxa"/>
            <w:vAlign w:val="bottom"/>
            <w:gridSpan w:val="2"/>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457"/>
        </w:trPr>
        <w:tc>
          <w:tcPr>
            <w:tcW w:w="20" w:type="dxa"/>
            <w:vAlign w:val="bottom"/>
          </w:tcPr>
          <w:p>
            <w:pPr>
              <w:spacing w:after="0"/>
              <w:rPr>
                <w:sz w:val="24"/>
                <w:szCs w:val="24"/>
                <w:color w:val="auto"/>
              </w:rPr>
            </w:pPr>
          </w:p>
        </w:tc>
        <w:tc>
          <w:tcPr>
            <w:tcW w:w="20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Item 1. Financial Statements:</w:t>
              </w:r>
            </w:hyperlink>
          </w:p>
        </w:tc>
        <w:tc>
          <w:tcPr>
            <w:tcW w:w="812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gridSpan w:val="20"/>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Condensed Balance Sheets (unaudited)</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gridSpan w:val="20"/>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Condensed Statements of Operations and Comprehensive Loss (unaudited)</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00" w:type="dxa"/>
            <w:vAlign w:val="bottom"/>
            <w:tcBorders>
              <w:top w:val="single" w:sz="8" w:color="0000FF"/>
            </w:tcBorders>
            <w:gridSpan w:val="16"/>
          </w:tcPr>
          <w:p>
            <w:pPr>
              <w:spacing w:after="0" w:line="205"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Statements of Changes in Stockholders' Equity (unaudited)</w:t>
              </w:r>
            </w:hyperlink>
          </w:p>
        </w:tc>
        <w:tc>
          <w:tcPr>
            <w:tcW w:w="4380" w:type="dxa"/>
            <w:vAlign w:val="bottom"/>
            <w:gridSpan w:val="4"/>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0" w:type="dxa"/>
            <w:vAlign w:val="bottom"/>
            <w:tcBorders>
              <w:top w:val="single" w:sz="8" w:color="0000FF"/>
            </w:tcBorders>
            <w:gridSpan w:val="15"/>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Statements of Cash Flows (unaudited)</w:t>
              </w:r>
            </w:hyperlink>
          </w:p>
        </w:tc>
        <w:tc>
          <w:tcPr>
            <w:tcW w:w="4680" w:type="dxa"/>
            <w:vAlign w:val="bottom"/>
            <w:gridSpan w:val="5"/>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gridSpan w:val="20"/>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Financial Statements (unaudited)</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200" w:type="dxa"/>
            <w:vAlign w:val="bottom"/>
            <w:gridSpan w:val="21"/>
          </w:tcPr>
          <w:p>
            <w:pPr>
              <w:spacing w:after="0" w:line="205" w:lineRule="exact"/>
              <w:rPr>
                <w:rFonts w:ascii="Arial" w:cs="Arial" w:eastAsia="Arial" w:hAnsi="Arial"/>
                <w:sz w:val="18"/>
                <w:szCs w:val="18"/>
                <w:color w:val="0000FF"/>
              </w:rPr>
            </w:pPr>
            <w:hyperlink w:anchor="page19">
              <w:r>
                <w:rPr>
                  <w:rFonts w:ascii="Arial" w:cs="Arial" w:eastAsia="Arial" w:hAnsi="Arial"/>
                  <w:sz w:val="18"/>
                  <w:szCs w:val="18"/>
                  <w:color w:val="0000FF"/>
                </w:rPr>
                <w:t>Item 2. Management’s Discussion and Analysis of Financial Condition and Results of Operations</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880" w:type="dxa"/>
            <w:vAlign w:val="bottom"/>
            <w:tcBorders>
              <w:top w:val="single" w:sz="8" w:color="0000FF"/>
            </w:tcBorders>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3. Quantitative and Qualitative Disclosures About Market Risk</w:t>
              </w:r>
            </w:hyperlink>
          </w:p>
        </w:tc>
        <w:tc>
          <w:tcPr>
            <w:tcW w:w="3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0200" w:type="dxa"/>
            <w:vAlign w:val="bottom"/>
            <w:gridSpan w:val="2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4. 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43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Borders>
              <w:bottom w:val="single" w:sz="8" w:color="0000FF"/>
            </w:tcBorders>
            <w:gridSpan w:val="6"/>
          </w:tcPr>
          <w:p>
            <w:pPr>
              <w:jc w:val="cente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 OTHER INFORMATION</w:t>
              </w:r>
            </w:hyperlink>
          </w:p>
        </w:tc>
        <w:tc>
          <w:tcPr>
            <w:tcW w:w="374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7"/>
        </w:trPr>
        <w:tc>
          <w:tcPr>
            <w:tcW w:w="20" w:type="dxa"/>
            <w:vAlign w:val="bottom"/>
          </w:tcPr>
          <w:p>
            <w:pPr>
              <w:spacing w:after="0"/>
              <w:rPr>
                <w:sz w:val="24"/>
                <w:szCs w:val="24"/>
                <w:color w:val="auto"/>
              </w:rPr>
            </w:pPr>
          </w:p>
        </w:tc>
        <w:tc>
          <w:tcPr>
            <w:tcW w:w="186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Item 1. Legal Proceedings</w:t>
              </w:r>
            </w:hyperlink>
          </w:p>
        </w:tc>
        <w:tc>
          <w:tcPr>
            <w:tcW w:w="8340" w:type="dxa"/>
            <w:vAlign w:val="bottom"/>
            <w:gridSpan w:val="1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0200" w:type="dxa"/>
            <w:vAlign w:val="bottom"/>
            <w:gridSpan w:val="21"/>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tcBorders>
              <w:bottom w:val="single" w:sz="8" w:color="0000FF"/>
            </w:tcBorders>
            <w:gridSpan w:val="15"/>
          </w:tcPr>
          <w:p>
            <w:pPr>
              <w:spacing w:after="0" w:line="205" w:lineRule="exact"/>
              <w:rPr>
                <w:rFonts w:ascii="Arial" w:cs="Arial" w:eastAsia="Arial" w:hAnsi="Arial"/>
                <w:sz w:val="18"/>
                <w:szCs w:val="18"/>
                <w:color w:val="0000FF"/>
                <w:w w:val="88"/>
              </w:rPr>
            </w:pPr>
            <w:hyperlink w:anchor="page65">
              <w:r>
                <w:rPr>
                  <w:rFonts w:ascii="Arial" w:cs="Arial" w:eastAsia="Arial" w:hAnsi="Arial"/>
                  <w:sz w:val="18"/>
                  <w:szCs w:val="18"/>
                  <w:color w:val="0000FF"/>
                  <w:w w:val="88"/>
                </w:rPr>
                <w:t>Item 2. Unregistered Sales of Equity Securities and Use of Proceeds</w:t>
              </w:r>
            </w:hyperlink>
          </w:p>
        </w:tc>
        <w:tc>
          <w:tcPr>
            <w:tcW w:w="5380" w:type="dxa"/>
            <w:vAlign w:val="bottom"/>
            <w:gridSpan w:val="6"/>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200" w:type="dxa"/>
            <w:vAlign w:val="bottom"/>
            <w:gridSpan w:val="21"/>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Item 3. Defaults Upon Senior Securities</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820" w:type="dxa"/>
            <w:vAlign w:val="bottom"/>
            <w:tcBorders>
              <w:top w:val="single" w:sz="8" w:color="0000FF"/>
            </w:tcBorders>
            <w:gridSpan w:val="9"/>
          </w:tcPr>
          <w:p>
            <w:pPr>
              <w:spacing w:after="0" w:line="205" w:lineRule="exact"/>
              <w:rPr>
                <w:rFonts w:ascii="Arial" w:cs="Arial" w:eastAsia="Arial" w:hAnsi="Arial"/>
                <w:sz w:val="18"/>
                <w:szCs w:val="18"/>
                <w:color w:val="0000FF"/>
              </w:rPr>
            </w:pPr>
            <w:hyperlink w:anchor="page66">
              <w:r>
                <w:rPr>
                  <w:rFonts w:ascii="Arial" w:cs="Arial" w:eastAsia="Arial" w:hAnsi="Arial"/>
                  <w:sz w:val="18"/>
                  <w:szCs w:val="18"/>
                  <w:color w:val="0000FF"/>
                </w:rPr>
                <w:t>Item 4. Mine Safety Disclosures</w:t>
              </w:r>
            </w:hyperlink>
          </w:p>
        </w:tc>
        <w:tc>
          <w:tcPr>
            <w:tcW w:w="7380" w:type="dxa"/>
            <w:vAlign w:val="bottom"/>
            <w:gridSpan w:val="12"/>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840" w:type="dxa"/>
            <w:vAlign w:val="bottom"/>
            <w:tcBorders>
              <w:top w:val="single" w:sz="8" w:color="0000FF"/>
              <w:bottom w:val="single" w:sz="8" w:color="0000FF"/>
            </w:tcBorders>
            <w:gridSpan w:val="5"/>
          </w:tcPr>
          <w:p>
            <w:pPr>
              <w:spacing w:after="0" w:line="205"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Item 5. Other Information</w:t>
              </w:r>
            </w:hyperlink>
          </w:p>
        </w:tc>
        <w:tc>
          <w:tcPr>
            <w:tcW w:w="440" w:type="dxa"/>
            <w:vAlign w:val="bottom"/>
            <w:tcBorders>
              <w:top w:val="single" w:sz="8" w:color="0000FF"/>
            </w:tcBorders>
            <w:gridSpan w:val="3"/>
          </w:tcPr>
          <w:p>
            <w:pPr>
              <w:spacing w:after="0"/>
              <w:rPr>
                <w:sz w:val="17"/>
                <w:szCs w:val="17"/>
                <w:color w:val="auto"/>
              </w:rPr>
            </w:pPr>
          </w:p>
        </w:tc>
        <w:tc>
          <w:tcPr>
            <w:tcW w:w="7920" w:type="dxa"/>
            <w:vAlign w:val="bottom"/>
            <w:gridSpan w:val="13"/>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40" w:type="dxa"/>
            <w:vAlign w:val="bottom"/>
            <w:tcBorders>
              <w:bottom w:val="single" w:sz="8" w:color="0000FF"/>
            </w:tcBorders>
            <w:gridSpan w:val="3"/>
          </w:tcPr>
          <w:p>
            <w:pPr>
              <w:spacing w:after="0" w:line="205"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Item 6. Exhibits</w:t>
              </w:r>
            </w:hyperlink>
          </w:p>
        </w:tc>
        <w:tc>
          <w:tcPr>
            <w:tcW w:w="9060" w:type="dxa"/>
            <w:vAlign w:val="bottom"/>
            <w:gridSpan w:val="18"/>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200" w:type="dxa"/>
            <w:vAlign w:val="bottom"/>
            <w:gridSpan w:val="21"/>
          </w:tcPr>
          <w:p>
            <w:pPr>
              <w:spacing w:after="0" w:line="205" w:lineRule="exact"/>
              <w:rPr>
                <w:rFonts w:ascii="Arial" w:cs="Arial" w:eastAsia="Arial" w:hAnsi="Arial"/>
                <w:sz w:val="18"/>
                <w:szCs w:val="18"/>
                <w:color w:val="0000FF"/>
              </w:rPr>
            </w:pPr>
            <w:hyperlink w:anchor="page66">
              <w:r>
                <w:rPr>
                  <w:rFonts w:ascii="Arial" w:cs="Arial" w:eastAsia="Arial" w:hAnsi="Arial"/>
                  <w:sz w:val="18"/>
                  <w:szCs w:val="18"/>
                  <w:color w:val="0000FF"/>
                </w:rPr>
                <w:t>Signatures</w:t>
              </w:r>
            </w:hyperlink>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r>
      <w:tr>
        <w:trPr>
          <w:trHeight w:val="867"/>
        </w:trPr>
        <w:tc>
          <w:tcPr>
            <w:tcW w:w="20" w:type="dxa"/>
            <w:vAlign w:val="bottom"/>
          </w:tcPr>
          <w:p>
            <w:pPr>
              <w:spacing w:after="0"/>
              <w:rPr>
                <w:sz w:val="24"/>
                <w:szCs w:val="24"/>
                <w:color w:val="auto"/>
              </w:rPr>
            </w:pPr>
          </w:p>
        </w:tc>
        <w:tc>
          <w:tcPr>
            <w:tcW w:w="740" w:type="dxa"/>
            <w:vAlign w:val="bottom"/>
            <w:tcBorders>
              <w:top w:val="single" w:sz="8" w:color="0000FF"/>
            </w:tcBorders>
            <w:gridSpan w:val="2"/>
          </w:tcPr>
          <w:p>
            <w:pPr>
              <w:spacing w:after="0"/>
              <w:rPr>
                <w:sz w:val="24"/>
                <w:szCs w:val="24"/>
                <w:color w:val="auto"/>
              </w:rPr>
            </w:pPr>
          </w:p>
        </w:tc>
        <w:tc>
          <w:tcPr>
            <w:tcW w:w="5080" w:type="dxa"/>
            <w:vAlign w:val="bottom"/>
            <w:gridSpan w:val="15"/>
          </w:tcPr>
          <w:p>
            <w:pPr>
              <w:jc w:val="right"/>
              <w:ind w:right="1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140" w:type="dxa"/>
            <w:vAlign w:val="bottom"/>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3"/>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4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00" w:type="dxa"/>
            <w:vAlign w:val="bottom"/>
          </w:tcPr>
          <w:p>
            <w:pPr>
              <w:spacing w:after="0"/>
              <w:rPr>
                <w:sz w:val="24"/>
                <w:szCs w:val="24"/>
                <w:color w:val="auto"/>
              </w:rPr>
            </w:pPr>
          </w:p>
        </w:tc>
        <w:tc>
          <w:tcPr>
            <w:tcW w:w="7140" w:type="dxa"/>
            <w:vAlign w:val="bottom"/>
          </w:tcPr>
          <w:p>
            <w:pPr>
              <w:jc w:val="center"/>
              <w:ind w:left="1812"/>
              <w:spacing w:after="0"/>
              <w:rPr>
                <w:sz w:val="20"/>
                <w:szCs w:val="20"/>
                <w:color w:val="auto"/>
              </w:rPr>
            </w:pPr>
            <w:r>
              <w:rPr>
                <w:rFonts w:ascii="Arial" w:cs="Arial" w:eastAsia="Arial" w:hAnsi="Arial"/>
                <w:sz w:val="18"/>
                <w:szCs w:val="18"/>
                <w:b w:val="1"/>
                <w:bCs w:val="1"/>
                <w:color w:val="auto"/>
                <w:w w:val="99"/>
              </w:rPr>
              <w:t>ARDELYX, INC.</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7140" w:type="dxa"/>
            <w:vAlign w:val="bottom"/>
          </w:tcPr>
          <w:p>
            <w:pPr>
              <w:jc w:val="center"/>
              <w:ind w:left="1832"/>
              <w:spacing w:after="0"/>
              <w:rPr>
                <w:sz w:val="20"/>
                <w:szCs w:val="20"/>
                <w:color w:val="auto"/>
              </w:rPr>
            </w:pPr>
            <w:r>
              <w:rPr>
                <w:rFonts w:ascii="Arial" w:cs="Arial" w:eastAsia="Arial" w:hAnsi="Arial"/>
                <w:sz w:val="18"/>
                <w:szCs w:val="18"/>
                <w:b w:val="1"/>
                <w:bCs w:val="1"/>
                <w:color w:val="auto"/>
                <w:w w:val="96"/>
              </w:rPr>
              <w:t>CONDENSED BALANCE SHEETS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7140" w:type="dxa"/>
            <w:vAlign w:val="bottom"/>
          </w:tcPr>
          <w:p>
            <w:pPr>
              <w:jc w:val="center"/>
              <w:ind w:left="1812"/>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7140" w:type="dxa"/>
            <w:vAlign w:val="bottom"/>
          </w:tcPr>
          <w:p>
            <w:pPr>
              <w:jc w:val="center"/>
              <w:ind w:left="181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CCEEFF"/>
            </w:tcBorders>
          </w:tcPr>
          <w:p>
            <w:pPr>
              <w:spacing w:after="0"/>
              <w:rPr>
                <w:sz w:val="16"/>
                <w:szCs w:val="16"/>
                <w:color w:val="auto"/>
              </w:rPr>
            </w:pPr>
          </w:p>
        </w:tc>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7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00" w:type="dxa"/>
            <w:vAlign w:val="bottom"/>
          </w:tcPr>
          <w:p>
            <w:pPr>
              <w:ind w:left="20"/>
              <w:spacing w:after="0"/>
              <w:rPr>
                <w:sz w:val="20"/>
                <w:szCs w:val="20"/>
                <w:color w:val="auto"/>
              </w:rPr>
            </w:pPr>
            <w:r>
              <w:rPr>
                <w:rFonts w:ascii="Arial" w:cs="Arial" w:eastAsia="Arial" w:hAnsi="Arial"/>
                <w:sz w:val="18"/>
                <w:szCs w:val="18"/>
                <w:color w:val="auto"/>
                <w:w w:val="86"/>
              </w:rPr>
              <w:t>Current assets:</w:t>
            </w:r>
          </w:p>
        </w:tc>
        <w:tc>
          <w:tcPr>
            <w:tcW w:w="7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95,452</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1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194,686</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25"/>
        </w:trPr>
        <w:tc>
          <w:tcPr>
            <w:tcW w:w="1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7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 payable, current portion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25"/>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28,416</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Loan payable, net of current portion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46,621</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75,450</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40" w:type="dxa"/>
            <w:vAlign w:val="bottom"/>
            <w:gridSpan w:val="2"/>
            <w:shd w:val="clear" w:color="auto" w:fill="CCEEFF"/>
          </w:tcPr>
          <w:p>
            <w:pPr>
              <w:ind w:left="40"/>
              <w:spacing w:after="0" w:line="174" w:lineRule="exact"/>
              <w:rPr>
                <w:sz w:val="20"/>
                <w:szCs w:val="20"/>
                <w:color w:val="auto"/>
              </w:rPr>
            </w:pPr>
            <w:r>
              <w:rPr>
                <w:rFonts w:ascii="Arial" w:cs="Arial" w:eastAsia="Arial" w:hAnsi="Arial"/>
                <w:sz w:val="18"/>
                <w:szCs w:val="18"/>
                <w:color w:val="auto"/>
                <w:w w:val="89"/>
              </w:rPr>
              <w:t>Preferred stock, $0.0001 par value; 5,000,000 shares authorized; no shares issued and outstanding as of June 30,</w:t>
            </w:r>
          </w:p>
        </w:tc>
        <w:tc>
          <w:tcPr>
            <w:tcW w:w="3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2021 and December 31, 2020, respectively.</w:t>
            </w:r>
          </w:p>
        </w:tc>
        <w:tc>
          <w:tcPr>
            <w:tcW w:w="3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40" w:type="dxa"/>
            <w:vAlign w:val="bottom"/>
            <w:gridSpan w:val="2"/>
          </w:tcPr>
          <w:p>
            <w:pPr>
              <w:ind w:left="40"/>
              <w:spacing w:after="0" w:line="173" w:lineRule="exact"/>
              <w:rPr>
                <w:sz w:val="20"/>
                <w:szCs w:val="20"/>
                <w:color w:val="auto"/>
              </w:rPr>
            </w:pPr>
            <w:r>
              <w:rPr>
                <w:rFonts w:ascii="Arial" w:cs="Arial" w:eastAsia="Arial" w:hAnsi="Arial"/>
                <w:sz w:val="18"/>
                <w:szCs w:val="18"/>
                <w:color w:val="auto"/>
                <w:w w:val="88"/>
              </w:rPr>
              <w:t>Common stock, $0.0001 par value; 300,000,000 shares authorized; 102,967,017 and 93,599,975 shares issued and</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outstanding as of June 30, 2021 and December 31, 2020, respectively.</w:t>
            </w: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680,872</w:t>
            </w:r>
          </w:p>
        </w:tc>
        <w:tc>
          <w:tcPr>
            <w:tcW w:w="0" w:type="dxa"/>
            <w:vAlign w:val="bottom"/>
          </w:tcPr>
          <w:p>
            <w:pPr>
              <w:spacing w:after="0"/>
              <w:rPr>
                <w:sz w:val="1"/>
                <w:szCs w:val="1"/>
                <w:color w:val="auto"/>
              </w:rPr>
            </w:pPr>
          </w:p>
        </w:tc>
      </w:tr>
      <w:tr>
        <w:trPr>
          <w:trHeight w:val="225"/>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(633,109)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(554,765)</w:t>
            </w:r>
          </w:p>
        </w:tc>
        <w:tc>
          <w:tcPr>
            <w:tcW w:w="0" w:type="dxa"/>
            <w:vAlign w:val="bottom"/>
          </w:tcPr>
          <w:p>
            <w:pPr>
              <w:spacing w:after="0"/>
              <w:rPr>
                <w:sz w:val="1"/>
                <w:szCs w:val="1"/>
                <w:color w:val="auto"/>
              </w:rPr>
            </w:pPr>
          </w:p>
        </w:tc>
      </w:tr>
      <w:tr>
        <w:trPr>
          <w:trHeight w:val="226"/>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126,112</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5200" w:type="dxa"/>
            <w:vAlign w:val="bottom"/>
          </w:tcPr>
          <w:p>
            <w:pPr>
              <w:ind w:left="120"/>
              <w:spacing w:after="0"/>
              <w:rPr>
                <w:sz w:val="20"/>
                <w:szCs w:val="20"/>
                <w:color w:val="auto"/>
              </w:rPr>
            </w:pPr>
            <w:r>
              <w:rPr>
                <w:rFonts w:ascii="Arial" w:cs="Arial" w:eastAsia="Arial" w:hAnsi="Arial"/>
                <w:sz w:val="18"/>
                <w:szCs w:val="18"/>
                <w:color w:val="auto"/>
              </w:rPr>
              <w:t>Collaborative development revenue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2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supply revenue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Licensing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1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r>
      <w:tr>
        <w:trPr>
          <w:trHeight w:val="205"/>
        </w:trPr>
        <w:tc>
          <w:tcPr>
            <w:tcW w:w="52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5"/>
        </w:trPr>
        <w:tc>
          <w:tcPr>
            <w:tcW w:w="52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34,708</w:t>
            </w:r>
          </w:p>
        </w:tc>
      </w:tr>
      <w:tr>
        <w:trPr>
          <w:trHeight w:val="22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r>
      <w:tr>
        <w:trPr>
          <w:trHeight w:val="218"/>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49,025</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(45,976)</w:t>
            </w: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(2,583)</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18"/>
        </w:trPr>
        <w:tc>
          <w:tcPr>
            <w:tcW w:w="52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(47,329)</w:t>
            </w: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(78,344)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200" w:type="dxa"/>
            <w:vAlign w:val="bottom"/>
          </w:tcPr>
          <w:p>
            <w:pPr>
              <w:ind w:left="20"/>
              <w:spacing w:after="0" w:line="198" w:lineRule="exact"/>
              <w:rPr>
                <w:sz w:val="20"/>
                <w:szCs w:val="20"/>
                <w:color w:val="auto"/>
              </w:rPr>
            </w:pPr>
            <w:r>
              <w:rPr>
                <w:rFonts w:ascii="Arial" w:cs="Arial" w:eastAsia="Arial" w:hAnsi="Arial"/>
                <w:sz w:val="18"/>
                <w:szCs w:val="18"/>
                <w:color w:val="auto"/>
              </w:rPr>
              <w:t>Shares used in computing net loss per share - basic and diluted</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100,040,083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89,080,046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98,617,564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88,890,353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2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(45,189)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(24,956)</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(78,344)</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(47,329)</w:t>
            </w: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19"/>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(47,032)</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2" w:lineRule="exact"/>
        <w:rPr>
          <w:sz w:val="20"/>
          <w:szCs w:val="20"/>
          <w:color w:val="auto"/>
        </w:rPr>
      </w:pPr>
    </w:p>
    <w:p>
      <w:pPr>
        <w:ind w:left="3860" w:right="2460" w:hanging="1288"/>
        <w:spacing w:after="0" w:line="260" w:lineRule="auto"/>
        <w:rPr>
          <w:sz w:val="20"/>
          <w:szCs w:val="20"/>
          <w:color w:val="auto"/>
        </w:rPr>
      </w:pPr>
      <w:r>
        <w:rPr>
          <w:rFonts w:ascii="Arial" w:cs="Arial" w:eastAsia="Arial" w:hAnsi="Arial"/>
          <w:sz w:val="17"/>
          <w:szCs w:val="17"/>
          <w:b w:val="1"/>
          <w:bCs w:val="1"/>
          <w:color w:val="auto"/>
        </w:rPr>
        <w:t>CONDENSED STATEMENTS OF CHANGES IN STOCKHOLDERS’ EQUITY For the Three and Six Months ended June 30, 2021</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June 30, 2021</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2580" w:type="dxa"/>
            <w:vAlign w:val="bottom"/>
            <w:gridSpan w:val="5"/>
          </w:tcPr>
          <w:p>
            <w:pPr>
              <w:ind w:left="780"/>
              <w:spacing w:after="0" w:line="145" w:lineRule="exact"/>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1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restart"/>
          </w:tcPr>
          <w:p>
            <w:pPr>
              <w:jc w:val="center"/>
              <w:ind w:right="30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4"/>
                <w:szCs w:val="4"/>
                <w:color w:val="auto"/>
              </w:rPr>
            </w:pPr>
          </w:p>
        </w:tc>
        <w:tc>
          <w:tcPr>
            <w:tcW w:w="1400" w:type="dxa"/>
            <w:vAlign w:val="bottom"/>
            <w:gridSpan w:val="2"/>
            <w:vMerge w:val="restart"/>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4"/>
                <w:szCs w:val="4"/>
                <w:color w:val="auto"/>
              </w:rPr>
            </w:pPr>
          </w:p>
        </w:tc>
        <w:tc>
          <w:tcPr>
            <w:tcW w:w="1040" w:type="dxa"/>
            <w:vAlign w:val="bottom"/>
            <w:vMerge w:val="restart"/>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0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98,688,577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130,811</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rPr>
              <w:t>Issuance of common stock under</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Issuance of common stock upon exercise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194,799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options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44,684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Issuance of common stock in at-the-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4,038,957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28,174</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Unrealized gains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(45,189)</w:t>
            </w:r>
          </w:p>
        </w:tc>
        <w:tc>
          <w:tcPr>
            <w:tcW w:w="0" w:type="dxa"/>
            <w:vAlign w:val="bottom"/>
          </w:tcPr>
          <w:p>
            <w:pPr>
              <w:spacing w:after="0"/>
              <w:rPr>
                <w:sz w:val="1"/>
                <w:szCs w:val="1"/>
                <w:color w:val="auto"/>
              </w:rPr>
            </w:pPr>
          </w:p>
        </w:tc>
      </w:tr>
      <w:tr>
        <w:trPr>
          <w:trHeight w:val="244"/>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102,967,017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117,569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1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Six Months Ended June 30, 2021</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2580" w:type="dxa"/>
            <w:vAlign w:val="bottom"/>
            <w:gridSpan w:val="5"/>
          </w:tcPr>
          <w:p>
            <w:pPr>
              <w:ind w:left="780"/>
              <w:spacing w:after="0" w:line="145" w:lineRule="exact"/>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1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restart"/>
          </w:tcPr>
          <w:p>
            <w:pPr>
              <w:jc w:val="center"/>
              <w:ind w:right="30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4"/>
                <w:szCs w:val="4"/>
                <w:color w:val="auto"/>
              </w:rPr>
            </w:pPr>
          </w:p>
        </w:tc>
        <w:tc>
          <w:tcPr>
            <w:tcW w:w="1400" w:type="dxa"/>
            <w:vAlign w:val="bottom"/>
            <w:gridSpan w:val="2"/>
            <w:vMerge w:val="restart"/>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4"/>
                <w:szCs w:val="4"/>
                <w:color w:val="auto"/>
              </w:rPr>
            </w:pPr>
          </w:p>
        </w:tc>
        <w:tc>
          <w:tcPr>
            <w:tcW w:w="1040" w:type="dxa"/>
            <w:vAlign w:val="bottom"/>
            <w:vMerge w:val="restart"/>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0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93,599,975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126,112</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rPr>
              <w:t>Issuance of common stock under</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102,208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Issuance of common stock upon exercise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205,306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options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79,784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Issuance of common stock in at-the-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8,979,744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62,446</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Unrealized gains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44"/>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102,967,017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117,569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339" w:right="4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2" w:lineRule="exact"/>
        <w:rPr>
          <w:sz w:val="20"/>
          <w:szCs w:val="20"/>
          <w:color w:val="auto"/>
        </w:rPr>
      </w:pPr>
    </w:p>
    <w:p>
      <w:pPr>
        <w:ind w:left="3860" w:right="2460" w:hanging="1288"/>
        <w:spacing w:after="0" w:line="260" w:lineRule="auto"/>
        <w:rPr>
          <w:sz w:val="20"/>
          <w:szCs w:val="20"/>
          <w:color w:val="auto"/>
        </w:rPr>
      </w:pPr>
      <w:r>
        <w:rPr>
          <w:rFonts w:ascii="Arial" w:cs="Arial" w:eastAsia="Arial" w:hAnsi="Arial"/>
          <w:sz w:val="17"/>
          <w:szCs w:val="17"/>
          <w:b w:val="1"/>
          <w:bCs w:val="1"/>
          <w:color w:val="auto"/>
        </w:rPr>
        <w:t>CONDENSED STATEMENTS OF CHANGES IN STOCKHOLDERS’ EQUITY For the Three and Six Months ended June 30, 2020</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June 30, 2020</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2180" w:type="dxa"/>
            <w:vAlign w:val="bottom"/>
            <w:gridSpan w:val="3"/>
          </w:tcPr>
          <w:p>
            <w:pPr>
              <w:jc w:val="right"/>
              <w:ind w:right="398"/>
              <w:spacing w:after="0" w:line="145"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14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restart"/>
          </w:tcPr>
          <w:p>
            <w:pPr>
              <w:jc w:val="center"/>
              <w:ind w:right="30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4"/>
                <w:szCs w:val="4"/>
                <w:color w:val="auto"/>
              </w:rPr>
            </w:pPr>
          </w:p>
        </w:tc>
        <w:tc>
          <w:tcPr>
            <w:tcW w:w="1400" w:type="dxa"/>
            <w:vAlign w:val="bottom"/>
            <w:gridSpan w:val="2"/>
            <w:vMerge w:val="restart"/>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4"/>
                <w:szCs w:val="4"/>
                <w:color w:val="auto"/>
              </w:rPr>
            </w:pPr>
          </w:p>
        </w:tc>
        <w:tc>
          <w:tcPr>
            <w:tcW w:w="1040" w:type="dxa"/>
            <w:vAlign w:val="bottom"/>
            <w:vMerge w:val="restart"/>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0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30,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89,035,096</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167,757</w:t>
            </w: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180" w:type="dxa"/>
            <w:vAlign w:val="bottom"/>
          </w:tcPr>
          <w:p>
            <w:pPr>
              <w:jc w:val="right"/>
              <w:spacing w:after="0"/>
              <w:rPr>
                <w:sz w:val="20"/>
                <w:szCs w:val="20"/>
                <w:color w:val="auto"/>
              </w:rPr>
            </w:pPr>
            <w:r>
              <w:rPr>
                <w:rFonts w:ascii="Arial" w:cs="Arial" w:eastAsia="Arial" w:hAnsi="Arial"/>
                <w:sz w:val="18"/>
                <w:szCs w:val="18"/>
                <w:color w:val="auto"/>
              </w:rPr>
              <w:t>42,403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Issuance of common stock upon exercise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63,064</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options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Unrealized gains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(24,956)</w:t>
            </w:r>
          </w:p>
        </w:tc>
        <w:tc>
          <w:tcPr>
            <w:tcW w:w="0" w:type="dxa"/>
            <w:vAlign w:val="bottom"/>
          </w:tcPr>
          <w:p>
            <w:pPr>
              <w:spacing w:after="0"/>
              <w:rPr>
                <w:sz w:val="1"/>
                <w:szCs w:val="1"/>
                <w:color w:val="auto"/>
              </w:rPr>
            </w:pPr>
          </w:p>
        </w:tc>
      </w:tr>
      <w:tr>
        <w:trPr>
          <w:trHeight w:val="244"/>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89,140,563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146,350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1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Six Months Ended June 30, 2020</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2180" w:type="dxa"/>
            <w:vAlign w:val="bottom"/>
            <w:gridSpan w:val="3"/>
          </w:tcPr>
          <w:p>
            <w:pPr>
              <w:jc w:val="right"/>
              <w:ind w:right="398"/>
              <w:spacing w:after="0" w:line="145"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0"/>
                <w:szCs w:val="10"/>
                <w:color w:val="auto"/>
              </w:rPr>
            </w:pPr>
          </w:p>
        </w:tc>
        <w:tc>
          <w:tcPr>
            <w:tcW w:w="14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0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88,817,741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186,655</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rPr>
              <w:t>Issuance of common stock under</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75,804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0"/>
              </w:rPr>
              <w:t>Issuance of common stock upon exercise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204,615</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of options</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173"/>
        </w:trPr>
        <w:tc>
          <w:tcPr>
            <w:tcW w:w="3140" w:type="dxa"/>
            <w:vAlign w:val="bottom"/>
          </w:tcPr>
          <w:p>
            <w:pPr>
              <w:ind w:left="140"/>
              <w:spacing w:after="0" w:line="173" w:lineRule="exact"/>
              <w:rPr>
                <w:sz w:val="20"/>
                <w:szCs w:val="20"/>
                <w:color w:val="auto"/>
              </w:rPr>
            </w:pPr>
            <w:r>
              <w:rPr>
                <w:rFonts w:ascii="Arial" w:cs="Arial" w:eastAsia="Arial" w:hAnsi="Arial"/>
                <w:sz w:val="18"/>
                <w:szCs w:val="18"/>
                <w:color w:val="auto"/>
                <w:w w:val="98"/>
              </w:rPr>
              <w:t>Unrealized gains on available-for-sale</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4"/>
        </w:trPr>
        <w:tc>
          <w:tcPr>
            <w:tcW w:w="31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(47,329)</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89,140,563</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(507,781)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146,350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339" w:right="4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(78,344)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(47,329)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Amortization of deferred compensation for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(discount) premium on investment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Change in derivative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associated with debt discount accretion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(43,968)</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maturities and redemptions of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w:t>
            </w: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(62,960)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(37,466)</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in at-the-market offering,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under equity incentive and stock purchase plans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(80,639)</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40" w:type="dxa"/>
            <w:vAlign w:val="bottom"/>
          </w:tcPr>
          <w:p>
            <w:pPr>
              <w:ind w:left="120"/>
              <w:spacing w:after="0" w:line="198" w:lineRule="exact"/>
              <w:rPr>
                <w:sz w:val="20"/>
                <w:szCs w:val="20"/>
                <w:color w:val="auto"/>
              </w:rPr>
            </w:pPr>
            <w:r>
              <w:rPr>
                <w:rFonts w:ascii="Arial" w:cs="Arial" w:eastAsia="Arial" w:hAnsi="Arial"/>
                <w:sz w:val="18"/>
                <w:szCs w:val="18"/>
                <w:color w:val="auto"/>
              </w:rPr>
              <w:t>Cash paid for income taxes</w:t>
            </w: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Supplementary disclosure of non-cash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services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 and where otherwise noted)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Ardelyx, Inc. (the “Company,” “we,” “us” or “our”) is a biopharmaceutical company focused on the discovery, development, and commercialization of innovative first-in-class medicines to improve treatment for people with kidney and cardiorenal diseases.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operate in one business segment, which is the research, development and commercialization of biopharmaceutical products.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at June 30, 2021 and results of operations, changes in stockholders’ equity, and cash flows for the interim periods ended June 30, 2021 and 2020.</w:t>
      </w:r>
    </w:p>
    <w:p>
      <w:pPr>
        <w:spacing w:after="0" w:line="1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included in our Annual Report on Form 10-K for the year ended December 31, 2020. The results for the three and six months ended June 30, 2021 are not necessarily indicative of results to be expected for the entire year ending December 31, 2021, or for any other interim period or future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2021, we had cash, cash equivalents and marketable securities of approximately $171.8 million. We believe our current available cash, cash equivalents marketable securities will be sufficient to fund our planned expenditures and meet our obligations for at least 12 months following the filing of this Report on Form 10-Q.</w:t>
      </w:r>
    </w:p>
    <w:p>
      <w:pPr>
        <w:spacing w:after="0" w:line="201"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7"/>
          <w:szCs w:val="17"/>
          <w:color w:val="auto"/>
        </w:rPr>
        <w:t>On July 28, 2021, we received a Complete Response Letter ("CRL") from the U.S. Food and Drug Administration ("FDA") regarding our New Drug Application ("NDA") for the control of serum phosphorus in adult patients with chronic kidney disease ("CKD") on dialysis in which the FDA noted additional requirements would need to be met in order to obtain approval for tenapanor for the control of serum phosphorus in adult patients with CKD on dialysis. On July 29, 2021 we entered into a Fourth Amendment to our Term Loan Agreement which extended the period of time that we are permitted to make interest-only payments on the Term Loan to December 1, 2021, provided, however, if the FDA does not approve our NDA for tenapanor for the control of serum phosphorus in adult patients with CKD on or before October 25, 2021, then the interest-only period will expire and principal repayments will be required to begin on November 1, 2021. Further, on July 29, 2021, our Board of Directors approved, and on August 2, 2021 we began implementing, a restructuring plan to better align our workforce and anticipated commercial and development spend with our capital resources and the needs of our business following the receipt of the CRL. For additional information see Note 12, Subsequent Events.</w:t>
      </w:r>
    </w:p>
    <w:p>
      <w:pPr>
        <w:spacing w:after="0" w:line="207" w:lineRule="exact"/>
        <w:rPr>
          <w:sz w:val="20"/>
          <w:szCs w:val="20"/>
          <w:color w:val="auto"/>
        </w:rPr>
      </w:pPr>
    </w:p>
    <w:p>
      <w:pPr>
        <w:jc w:val="both"/>
        <w:ind w:right="360" w:firstLine="318"/>
        <w:spacing w:after="0" w:line="229" w:lineRule="auto"/>
        <w:rPr>
          <w:sz w:val="20"/>
          <w:szCs w:val="20"/>
          <w:color w:val="auto"/>
        </w:rPr>
      </w:pPr>
      <w:r>
        <w:rPr>
          <w:rFonts w:ascii="Arial" w:cs="Arial" w:eastAsia="Arial" w:hAnsi="Arial"/>
          <w:sz w:val="18"/>
          <w:szCs w:val="18"/>
          <w:color w:val="auto"/>
        </w:rPr>
        <w:t>Failure to raise sufficient capital when needed or generate product revenue will further impact our ability to pursue our business strategies and could require us to further delay, scale back or discontinue one or more of our product development programs, commercialization efforts, or other aspects of our business plans.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changes to the significant accounting policies disclosed in our most recent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adopted no new accounting pronouncements other than those disclosed in our most recent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0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w:t>
      </w:r>
      <w:r>
        <w:rPr>
          <w:rFonts w:ascii="Arial" w:cs="Arial" w:eastAsia="Arial" w:hAnsi="Arial"/>
          <w:sz w:val="15"/>
          <w:szCs w:val="15"/>
          <w:color w:val="auto"/>
        </w:rPr>
        <w:t>, an amendment which modifies the measurement and recognition of credit losses for most financial assets and certain other instruments. The</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For smaller reporting companies the guidance is effective for fiscal years beginning after December 15, 2022, including interim periods within those fiscal years. On June 30, 2021, our public float exceeded $700 million and therefore, on December</w:t>
      </w:r>
    </w:p>
    <w:p>
      <w:pPr>
        <w:jc w:val="both"/>
        <w:spacing w:after="0" w:line="328" w:lineRule="auto"/>
        <w:rPr>
          <w:sz w:val="20"/>
          <w:szCs w:val="20"/>
          <w:color w:val="auto"/>
        </w:rPr>
      </w:pPr>
      <w:r>
        <w:rPr>
          <w:rFonts w:ascii="Arial" w:cs="Arial" w:eastAsia="Arial" w:hAnsi="Arial"/>
          <w:sz w:val="15"/>
          <w:szCs w:val="15"/>
          <w:color w:val="auto"/>
        </w:rPr>
        <w:t>31, 2021, we will no longer qualify as a “smaller reporting company” and will instead be considered a large accelerated filer. We expect to adopt Topic 326 in the fourth quarter of 2021. We do not expect the adoption of ASU 2016-13 to have a material impact on our financial statements and related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Securities classified as cash, cash equivalents and investments as of June 30, 2021 and December 31, 2020 are summarized below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8"/>
                <w:szCs w:val="18"/>
                <w:b w:val="1"/>
                <w:bCs w:val="1"/>
                <w:color w:val="auto"/>
              </w:rPr>
              <w:t>June 30, 2021</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Losses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05"/>
        </w:trPr>
        <w:tc>
          <w:tcPr>
            <w:tcW w:w="51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5180" w:type="dxa"/>
            <w:vAlign w:val="bottom"/>
          </w:tcPr>
          <w:p>
            <w:pPr>
              <w:ind w:left="12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9"/>
                <w:szCs w:val="19"/>
                <w:color w:val="auto"/>
              </w:rPr>
            </w:pPr>
          </w:p>
        </w:tc>
      </w:tr>
      <w:tr>
        <w:trPr>
          <w:trHeight w:val="22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20" w:type="dxa"/>
            <w:vAlign w:val="bottom"/>
          </w:tcPr>
          <w:p>
            <w:pPr>
              <w:spacing w:after="0"/>
              <w:rPr>
                <w:sz w:val="19"/>
                <w:szCs w:val="19"/>
                <w:color w:val="auto"/>
              </w:rPr>
            </w:pPr>
          </w:p>
        </w:tc>
      </w:tr>
      <w:tr>
        <w:trPr>
          <w:trHeight w:val="225"/>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9"/>
                <w:szCs w:val="19"/>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86,745</w:t>
            </w:r>
          </w:p>
        </w:tc>
        <w:tc>
          <w:tcPr>
            <w:tcW w:w="20" w:type="dxa"/>
            <w:vAlign w:val="bottom"/>
          </w:tcPr>
          <w:p>
            <w:pPr>
              <w:spacing w:after="0"/>
              <w:rPr>
                <w:sz w:val="19"/>
                <w:szCs w:val="19"/>
                <w:color w:val="auto"/>
              </w:rPr>
            </w:pPr>
          </w:p>
        </w:tc>
      </w:tr>
      <w:tr>
        <w:trPr>
          <w:trHeight w:val="205"/>
        </w:trPr>
        <w:tc>
          <w:tcPr>
            <w:tcW w:w="5180" w:type="dxa"/>
            <w:vAlign w:val="bottom"/>
          </w:tcPr>
          <w:p>
            <w:pPr>
              <w:ind w:left="20"/>
              <w:spacing w:after="0" w:line="204"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62,725</w:t>
            </w:r>
          </w:p>
        </w:tc>
        <w:tc>
          <w:tcPr>
            <w:tcW w:w="20" w:type="dxa"/>
            <w:vAlign w:val="bottom"/>
          </w:tcPr>
          <w:p>
            <w:pPr>
              <w:spacing w:after="0"/>
              <w:rPr>
                <w:sz w:val="19"/>
                <w:szCs w:val="19"/>
                <w:color w:val="auto"/>
              </w:rPr>
            </w:pPr>
          </w:p>
        </w:tc>
      </w:tr>
      <w:tr>
        <w:trPr>
          <w:trHeight w:val="225"/>
        </w:trPr>
        <w:tc>
          <w:tcPr>
            <w:tcW w:w="51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16,964</w:t>
            </w:r>
          </w:p>
        </w:tc>
        <w:tc>
          <w:tcPr>
            <w:tcW w:w="20" w:type="dxa"/>
            <w:vAlign w:val="bottom"/>
          </w:tcPr>
          <w:p>
            <w:pPr>
              <w:spacing w:after="0"/>
              <w:rPr>
                <w:sz w:val="19"/>
                <w:szCs w:val="19"/>
                <w:color w:val="auto"/>
              </w:rPr>
            </w:pPr>
          </w:p>
        </w:tc>
      </w:tr>
      <w:tr>
        <w:trPr>
          <w:trHeight w:val="22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20" w:type="dxa"/>
            <w:vAlign w:val="bottom"/>
          </w:tcPr>
          <w:p>
            <w:pPr>
              <w:spacing w:after="0"/>
              <w:rPr>
                <w:sz w:val="19"/>
                <w:szCs w:val="19"/>
                <w:color w:val="auto"/>
              </w:rPr>
            </w:pPr>
          </w:p>
        </w:tc>
      </w:tr>
      <w:tr>
        <w:trPr>
          <w:trHeight w:val="21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85,064</w:t>
            </w:r>
          </w:p>
        </w:tc>
        <w:tc>
          <w:tcPr>
            <w:tcW w:w="20" w:type="dxa"/>
            <w:vAlign w:val="bottom"/>
          </w:tcPr>
          <w:p>
            <w:pPr>
              <w:spacing w:after="0"/>
              <w:rPr>
                <w:sz w:val="18"/>
                <w:szCs w:val="18"/>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171,809</w:t>
            </w:r>
          </w:p>
        </w:tc>
        <w:tc>
          <w:tcPr>
            <w:tcW w:w="20" w:type="dxa"/>
            <w:vAlign w:val="bottom"/>
          </w:tcPr>
          <w:p>
            <w:pPr>
              <w:spacing w:after="0"/>
              <w:rPr>
                <w:sz w:val="20"/>
                <w:szCs w:val="20"/>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0"/>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8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5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4"/>
        </w:trPr>
        <w:tc>
          <w:tcPr>
            <w:tcW w:w="1260" w:type="dxa"/>
            <w:vAlign w:val="bottom"/>
            <w:tcBorders>
              <w:top w:val="single" w:sz="8" w:color="0000FF"/>
            </w:tcBorders>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b w:val="1"/>
                <w:bCs w:val="1"/>
                <w:color w:val="auto"/>
              </w:rPr>
              <w:t>December 31, 2020</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19"/>
        </w:trPr>
        <w:tc>
          <w:tcPr>
            <w:tcW w:w="12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rPr>
              <w:t>Gross Unrealized</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8"/>
        </w:trPr>
        <w:tc>
          <w:tcPr>
            <w:tcW w:w="12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Fair Value</w:t>
            </w:r>
          </w:p>
        </w:tc>
      </w:tr>
      <w:tr>
        <w:trPr>
          <w:trHeight w:val="205"/>
        </w:trPr>
        <w:tc>
          <w:tcPr>
            <w:tcW w:w="518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26"/>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88,151</w:t>
            </w:r>
          </w:p>
        </w:tc>
      </w:tr>
      <w:tr>
        <w:trPr>
          <w:trHeight w:val="225"/>
        </w:trPr>
        <w:tc>
          <w:tcPr>
            <w:tcW w:w="5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r>
      <w:tr>
        <w:trPr>
          <w:trHeight w:val="21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91,032</w:t>
            </w:r>
          </w:p>
        </w:tc>
      </w:tr>
      <w:tr>
        <w:trPr>
          <w:trHeight w:val="205"/>
        </w:trPr>
        <w:tc>
          <w:tcPr>
            <w:tcW w:w="5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26"/>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60,629</w:t>
            </w:r>
          </w:p>
        </w:tc>
      </w:tr>
      <w:tr>
        <w:trPr>
          <w:trHeight w:val="225"/>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24,544</w:t>
            </w:r>
          </w:p>
        </w:tc>
      </w:tr>
      <w:tr>
        <w:trPr>
          <w:trHeight w:val="226"/>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government-sponsored agency bonds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r>
      <w:tr>
        <w:trPr>
          <w:trHeight w:val="225"/>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U.S. treasury notes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9"/>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95,452</w:t>
            </w:r>
          </w:p>
        </w:tc>
      </w:tr>
      <w:tr>
        <w:trPr>
          <w:trHeight w:val="205"/>
        </w:trPr>
        <w:tc>
          <w:tcPr>
            <w:tcW w:w="5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Long-term investments: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1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188,598</w:t>
            </w:r>
          </w:p>
        </w:tc>
      </w:tr>
      <w:tr>
        <w:trPr>
          <w:trHeight w:val="20"/>
        </w:trPr>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We invest excess cash in marketable securities with high credit ratings. These securities consist primarily of money market funds, commercial paper, corporate bonds, asset-backed securities, and U.S. treasury and agency securities and are classified as “available-for-sale.”</w:t>
      </w:r>
    </w:p>
    <w:p>
      <w:pPr>
        <w:spacing w:after="0" w:line="15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All available-for-sale securities held as of June 30, 2021 had contractual maturities of less than one year. Our available-for-sale securities are subject to a periodic impairment review. We consider a debt security to be impaired when the fair value of that security is less than its carrying cost, in which case we would further evaluate the investment to determine whether the security is other-than-temporarily impaired. When we evaluate an investment for other-than-temporary impairment, we review factors such as the length of time and extent to which fair value has been below cost basis, the financial condition or creditworthiness of the issuer and any changes thereto, intent to sell, and whether it is more likely than not we will be required to sell the investment before the recovery of its cost basis. If an investment is other-than-temporarily impaired, we write the investment down through the statement of operations to its fair value and establishes that value as the new cost basis for the investment. Management has determined that none of our available-for-sale securities were other-than-temporarily impaired in any of the periods presented, and as of June 30, 2021, no investment was in a continuous unrealized loss position for more than one year. As such, we believe that it is more likely than not that investments in a loss position will be held until maturity or a forecasted recovery of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124" w:lineRule="exact"/>
        <w:rPr>
          <w:sz w:val="20"/>
          <w:szCs w:val="20"/>
          <w:color w:val="auto"/>
        </w:rPr>
      </w:pPr>
    </w:p>
    <w:p>
      <w:pPr>
        <w:jc w:val="both"/>
        <w:ind w:left="1460" w:right="40" w:hanging="1112"/>
        <w:spacing w:after="0" w:line="219" w:lineRule="auto"/>
        <w:tabs>
          <w:tab w:leader="none" w:pos="144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are based on quoted prices in active markets for identical assets or liabilities and readily accessible by us at the reporting date. Examples of assets and liabilities utilizing Level 1 inputs are certain money market funds, U.S. treasuries and trading securities with quoted prices on active markets.</w:t>
      </w:r>
    </w:p>
    <w:p>
      <w:pPr>
        <w:spacing w:after="0" w:line="56" w:lineRule="exact"/>
        <w:rPr>
          <w:sz w:val="20"/>
          <w:szCs w:val="20"/>
          <w:color w:val="auto"/>
        </w:rPr>
      </w:pPr>
    </w:p>
    <w:p>
      <w:pPr>
        <w:jc w:val="both"/>
        <w:ind w:left="1460" w:right="40" w:hanging="1112"/>
        <w:spacing w:after="0" w:line="227" w:lineRule="auto"/>
        <w:tabs>
          <w:tab w:leader="none" w:pos="144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7"/>
          <w:szCs w:val="17"/>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1 inputs are certain money market funds, U.S. treasuries and trading securities with quoted prices on active markets.</w:t>
      </w:r>
    </w:p>
    <w:p>
      <w:pPr>
        <w:spacing w:after="0" w:line="55"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5"/>
          <w:szCs w:val="15"/>
          <w:color w:val="auto"/>
        </w:rPr>
        <w:t>Valuations based on unobservable inputs for which there is little or no market data, which require us to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The following table sets forth the fair value of our financial assets and liabilities that are measured or disclosed on a recurring basis by level within the fair value hierarchy (in thousands):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 2021</w:t>
            </w: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360"/>
              <w:spacing w:after="0" w:line="166" w:lineRule="exact"/>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Level 1</w:t>
            </w:r>
          </w:p>
        </w:tc>
        <w:tc>
          <w:tcPr>
            <w:tcW w:w="66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14"/>
                <w:szCs w:val="14"/>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5"/>
        </w:trPr>
        <w:tc>
          <w:tcPr>
            <w:tcW w:w="4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20" w:type="dxa"/>
            <w:vAlign w:val="bottom"/>
            <w:tcBorders>
              <w:top w:val="single" w:sz="8" w:color="CCEEFF"/>
            </w:tcBorders>
            <w:shd w:val="clear" w:color="auto" w:fill="CCEEFF"/>
          </w:tcPr>
          <w:p>
            <w:pPr>
              <w:ind w:left="340"/>
              <w:spacing w:after="0" w:line="204" w:lineRule="exact"/>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2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84,650</w:t>
            </w:r>
          </w:p>
        </w:tc>
        <w:tc>
          <w:tcPr>
            <w:tcW w:w="1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84,650</w:t>
            </w:r>
          </w:p>
        </w:tc>
        <w:tc>
          <w:tcPr>
            <w:tcW w:w="10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Asset-backed securities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20" w:type="dxa"/>
            <w:vAlign w:val="bottom"/>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170,964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84,650</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86,314</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2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liability for Exit Fee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9"/>
        </w:trPr>
        <w:tc>
          <w:tcPr>
            <w:tcW w:w="4320" w:type="dxa"/>
            <w:vAlign w:val="bottom"/>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6"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4"/>
                <w:szCs w:val="14"/>
                <w:color w:val="auto"/>
              </w:rPr>
            </w:pPr>
          </w:p>
        </w:tc>
        <w:tc>
          <w:tcPr>
            <w:tcW w:w="114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5"/>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6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government-sponsored agency bonds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6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Derivative liability for Exit Fee</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asset-backed securities and foreign currency derivative contracts as Level 2. In certain cases, where there is limited activity or less transparency around inputs to valuation, securities or derivative liabilities such as the Exit Fee, as defined and discussed in Note 6, are classified as Level 3.</w:t>
      </w:r>
    </w:p>
    <w:p>
      <w:pPr>
        <w:spacing w:after="0" w:line="181" w:lineRule="exact"/>
        <w:rPr>
          <w:sz w:val="20"/>
          <w:szCs w:val="20"/>
          <w:color w:val="auto"/>
        </w:rPr>
      </w:pPr>
    </w:p>
    <w:p>
      <w:pPr>
        <w:jc w:val="both"/>
        <w:ind w:right="120" w:firstLine="318"/>
        <w:spacing w:after="0" w:line="365" w:lineRule="auto"/>
        <w:rPr>
          <w:sz w:val="20"/>
          <w:szCs w:val="20"/>
          <w:color w:val="auto"/>
        </w:rPr>
      </w:pPr>
      <w:r>
        <w:rPr>
          <w:rFonts w:ascii="Arial" w:cs="Arial" w:eastAsia="Arial" w:hAnsi="Arial"/>
          <w:sz w:val="15"/>
          <w:szCs w:val="15"/>
          <w:color w:val="auto"/>
        </w:rPr>
        <w:t>The carrying amounts reflected in the balance sheets for cash equivalents, short-term investments, accounts receivable, prepaid expenses and other current assets, accounts payable and accrued expenses approximate their fair values at both June 30, 2021 and December 31, 2020, due to their short-term nature.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1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interest rate of our term loan facility approximates the rate at which we could obtain alternative financing. Therefore, the carrying amount of the term loan facility approximated its fair value at June 30, 2021 and December 31, 2020.</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39"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 AND LICENSING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(“KKC”)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KKC Agreement</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November 2019, we entered into a research collaboration and option agreement with KKC (the “2019 KKC Agreement”) for research associated with identifying two preclinical compounds that are ready for designation as development compounds (“DCs”), with one compound inhibiting the first undisclosed target (“Program 1”), and a second inhibiting the second undisclosed target (“Program 2”). Pursuant to the 2019 KKC Agreement, upon completion of the research and designation by the research steering committee of one or more DCs, KKC has the right to execute one or more separate collaborative agreements relating to the development and commercialization of one or both DCs in certain specified territories.</w:t>
      </w:r>
    </w:p>
    <w:p>
      <w:pPr>
        <w:spacing w:after="0" w:line="18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Under the terms of the 2019 KKC Agreement, KKC paid us a non-refundable, non-creditable upfront fee of $10.0 million in two installments as follows: the first installment of $5.0 million within 30 days of November 11, 2019 (the “Effective Date”), and the second installment of $5.0 million on the first anniversary of the Effective Date. The term of the 2019 KKC Agreement commenced on the Effective Date and ends on the earliest of: (i) 2 years following the Effective Date, (ii) the nomination of a program DC for both programs, (iii) the nomination of one program DC and the decision by the parties to cease research for the other program, or (iv) the decision by the parties to cease research for both programs.</w:t>
      </w:r>
    </w:p>
    <w:p>
      <w:pPr>
        <w:spacing w:after="0" w:line="18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During the three and six months ended June 30, 2021, we recognized $1.3 million and $2.8 million, respectively, as collaborative development revenue under the 2019 KKC Agreement in the accompanying condensed statement of operations and comprehensive loss. During the three and six months ended June 30, 2020, we recognized $1.1 million and $2.3 million, respectively, as collaborative development revenue under the 2019 KKC Agreement in the accompanying condensed statement of operations and comprehensive loss. The aggregate amount of the transaction price allocated to our partially unsatisfied performance obligations as of June 30, 2021 and December 31, 2020 was $1.4 million and $4.2 million, respectively, which is presented in the accompanying condensed balance sheet as deferred revenue. As of June 30, 2021, we expect to recognize the remaining transaction price allocated to our partially unsatisfied performance obligations over the remaining research terms, which is currently expected to extend through the end of 2021. There were no significant changes in estimates associated with the 2019 KKC Agreement during the six months ended June 30,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KKC Agreement</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November 2017, we entered into an exclusive license agreement with KKC (the “2017 KKC Agreement”), for the development, commercialization, and distribution of tenapanor in Japan for cardiorenal indications. We granted KKC an exclusive license to develop and commercialize certain sodium hydrogen exchanger 3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all licensed indications in Japan.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We assessed these arrangements in accordance with Accounting Standards Update (“ASU”) No. 2014-09, </w:t>
      </w:r>
      <w:r>
        <w:rPr>
          <w:rFonts w:ascii="Arial" w:cs="Arial" w:eastAsia="Arial" w:hAnsi="Arial"/>
          <w:sz w:val="15"/>
          <w:szCs w:val="15"/>
          <w:i w:val="1"/>
          <w:iCs w:val="1"/>
          <w:color w:val="auto"/>
        </w:rPr>
        <w:t>Revenue from Contracts with Customers (Topic</w:t>
      </w:r>
    </w:p>
    <w:p>
      <w:pPr>
        <w:spacing w:after="0" w:line="51" w:lineRule="exact"/>
        <w:rPr>
          <w:sz w:val="20"/>
          <w:szCs w:val="20"/>
          <w:color w:val="auto"/>
        </w:rPr>
      </w:pPr>
    </w:p>
    <w:p>
      <w:pPr>
        <w:jc w:val="both"/>
        <w:ind w:firstLine="6"/>
        <w:spacing w:after="0" w:line="247" w:lineRule="auto"/>
        <w:tabs>
          <w:tab w:leader="none" w:pos="37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related amendments (“ASC 606”) </w:t>
      </w:r>
      <w:r>
        <w:rPr>
          <w:rFonts w:ascii="Arial" w:cs="Arial" w:eastAsia="Arial" w:hAnsi="Arial"/>
          <w:sz w:val="18"/>
          <w:szCs w:val="18"/>
          <w:color w:val="auto"/>
        </w:rPr>
        <w:t>and concluded that the contract counterparty, KKC, is a customer. Under the terms of the 2017 KKC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KKC Agreement, and as such, each of the performance obligations is distinct.</w:t>
      </w:r>
    </w:p>
    <w:p>
      <w:pPr>
        <w:spacing w:after="0" w:line="19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addition to the up-front license fee received of $30.0 million, we may be entitled to receive up to $55.0 million in total development milestones, of which $10.0 million has been received and recognized as revenue as of June 30, 2021, and approximately ¥8.5 billion for commercialization milestones, or approximately $76.5 million at the currency exchange rate on June 30, 2021, as well as reimbursement of costs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June 30, 2021.</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three and six months ended June 30, 2021 we recognized zero and $5.0 million, respectively, as licensing revenue upon the achievement of development milestones. During the three and six months ended June 30, 2020, we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recognized no licensing revenue upon the achievement of development milestones. The $5.0 million development milestone recognized during the three months ended March 31, 2021 related to the initiation by KKC of phase 3 clinical studies in Japan to evaluate tenapanor for hyperphosphatemia. During the three and six months ended June 30, 2021, we recognized zero and $0.1 million as product supply revenue related to the manufacturing supply of tenapanor and other materials to KKC pursuant to the 2017 KKC Agreement. During the three and six months ended June 30, 2020, we recognized $5.0 thousand and $43.0 thousand as product supply revenue.</w:t>
      </w:r>
    </w:p>
    <w:p>
      <w:pPr>
        <w:spacing w:after="0" w:line="1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and six months ended June 30, 2021 we received a $2.9 million prepayment from KKC for the manufacturing of tenapanor drug substance. The prepayment is reflected within prepaid and other current assets and deferred revenue, non-current on our condensed balance sheet as of June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December 2017, we entered into an exclusive license agreement with Fosun Pharma (the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management’s assessment, we determined that the license and the manufacturing supply services represented the material performance obligations at the inception of the agreement, and as such, each of the performance obligations is distinct.</w:t>
      </w:r>
    </w:p>
    <w:p>
      <w:pPr>
        <w:spacing w:after="0" w:line="19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June 30, 2021.</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recorded no revenue during the three and six months ended June 30, 2021 related to the Fosun Agreement.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March 2018, we entered into an exclusive license agreement with Knight (the “Knight Agreement”) for the development, commercialization and distribution of tenapanor in Canada for hyperphosphatemia and IBS-C. We assessed this arrangement in accordance with ASC 606 and concluded that the contract counterparty, Knight, is a customer. Based on management’s assessment, we determined that the license and the manufacturing supply services represented the material performance obligations at the inception of the agreement, and as such, each of the performance obligations is distinct. Under the terms of the agreement, we received a $2.3 million nonrefundable, one-time upfront payment in March 2018 and are eligible to receive additional development and commercialization milestone payments worth up to $17.9 million.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June 2015, we entered into a termination agreement with AstraZeneca (the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As of June 30, 2021, to date in aggregate, we have recognized $11.6 million of the $75.0 million, which has been recorded as cost of revenue, and have paid AstraZeneca $10.6 million. For the three and six months ended June 30, 2021 we recognized and recorded as cost of revenue zero and $1.0 million related to the AstraZeneca Termination Agreement. For the three and six months ended June 30, 2020 we recognized $0.1 million cost of revenue related to the AstraZeneca Termination Agreement.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present changes in our current and non-current deferred revenue balances during the reporting period. The current deferred revenue balance is attributable entirely to the 2019 KKC Agreement and the non-current deferred revenue balance is attributable entirely to the 2017 KKC Agreement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Deferred revenue -</w:t>
            </w:r>
          </w:p>
        </w:tc>
      </w:tr>
      <w:tr>
        <w:trPr>
          <w:trHeight w:val="225"/>
        </w:trPr>
        <w:tc>
          <w:tcPr>
            <w:tcW w:w="9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0"/>
              </w:rPr>
              <w:t>current</w:t>
            </w:r>
          </w:p>
        </w:tc>
      </w:tr>
      <w:tr>
        <w:trPr>
          <w:trHeight w:val="218"/>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center"/>
              <w:ind w:left="1152"/>
              <w:spacing w:after="0"/>
              <w:rPr>
                <w:sz w:val="20"/>
                <w:szCs w:val="20"/>
                <w:color w:val="auto"/>
              </w:rPr>
            </w:pPr>
            <w:r>
              <w:rPr>
                <w:rFonts w:ascii="Arial" w:cs="Arial" w:eastAsia="Arial" w:hAnsi="Arial"/>
                <w:sz w:val="18"/>
                <w:szCs w:val="18"/>
                <w:color w:val="auto"/>
                <w:w w:val="88"/>
              </w:rPr>
              <w:t>4,177</w:t>
            </w:r>
          </w:p>
        </w:tc>
      </w:tr>
      <w:tr>
        <w:trPr>
          <w:trHeight w:val="225"/>
        </w:trPr>
        <w:tc>
          <w:tcPr>
            <w:tcW w:w="9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been received</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112"/>
              <w:spacing w:after="0"/>
              <w:rPr>
                <w:sz w:val="20"/>
                <w:szCs w:val="20"/>
                <w:color w:val="auto"/>
              </w:rPr>
            </w:pPr>
            <w:r>
              <w:rPr>
                <w:rFonts w:ascii="Arial" w:cs="Arial" w:eastAsia="Arial" w:hAnsi="Arial"/>
                <w:sz w:val="18"/>
                <w:szCs w:val="18"/>
                <w:color w:val="auto"/>
                <w:w w:val="91"/>
              </w:rPr>
              <w:t>(2,765)</w:t>
            </w:r>
          </w:p>
        </w:tc>
      </w:tr>
      <w:tr>
        <w:trPr>
          <w:trHeight w:val="244"/>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center"/>
              <w:ind w:left="1152"/>
              <w:spacing w:after="0"/>
              <w:rPr>
                <w:sz w:val="20"/>
                <w:szCs w:val="20"/>
                <w:color w:val="auto"/>
              </w:rPr>
            </w:pPr>
            <w:r>
              <w:rPr>
                <w:rFonts w:ascii="Arial" w:cs="Arial" w:eastAsia="Arial" w:hAnsi="Arial"/>
                <w:sz w:val="18"/>
                <w:szCs w:val="18"/>
                <w:color w:val="auto"/>
                <w:w w:val="88"/>
              </w:rPr>
              <w:t>1,412</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Deferred revenue - non-</w:t>
            </w:r>
          </w:p>
        </w:tc>
      </w:tr>
      <w:tr>
        <w:trPr>
          <w:trHeight w:val="225"/>
        </w:trPr>
        <w:tc>
          <w:tcPr>
            <w:tcW w:w="9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current</w:t>
            </w:r>
          </w:p>
        </w:tc>
      </w:tr>
      <w:tr>
        <w:trPr>
          <w:trHeight w:val="218"/>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Increases to amounts invoiced for which cash has been received</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r>
      <w:tr>
        <w:trPr>
          <w:trHeight w:val="244"/>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May 16, 2018, we entered into a loan and security agreement (the “Loan Agreement”), with Solar Capital Ltd. and Western Alliance Bank (collectively the “Lenders”). The Loan Agreement provides for a $50.0 million term loan facility with a maturity date of November 1, 2022 (the “Term Loan”).</w:t>
      </w:r>
    </w:p>
    <w:p>
      <w:pPr>
        <w:spacing w:after="0" w:line="18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October 9, 2020, we and the Lenders entered into an amendment to the Loan Agreement (“the 2020 Amendment”) to extend the date through which we are permitted to make interest-only payments on the Term Loan by twelve months to December 1, 2021. The 2020 amendment also required that if either the FDA does not approve our NDA for tenapanor for the control of serum phosphorus in adult patients with CKD on dialysis on or before May 31, 2021 or the FDA issues a CRL with respect to our NDA Number 213931, then we are to begin principal payments on the earlier of June 1, 2021 or the first day of the month immediately following the date that the FDA issues us a CRL. On April 29, 2021, the FDA extended the Prescription Drug User Fee Act ("PDUFA") date for tenapanor for the control of serum phosphorus in adult patients with CKD on dialysis by three months to July 29, 2021, making it unlikely that the FDA would approve our NDA for tenapanor for the control of serum phosphorus in adult patients with CKD on dialysis on or before May 31, 2021.</w:t>
      </w:r>
    </w:p>
    <w:p>
      <w:pPr>
        <w:spacing w:after="0" w:line="143" w:lineRule="exact"/>
        <w:rPr>
          <w:sz w:val="20"/>
          <w:szCs w:val="20"/>
          <w:color w:val="auto"/>
        </w:rPr>
      </w:pPr>
    </w:p>
    <w:p>
      <w:pPr>
        <w:jc w:val="both"/>
        <w:ind w:firstLine="318"/>
        <w:spacing w:after="0" w:line="221" w:lineRule="auto"/>
        <w:rPr>
          <w:sz w:val="20"/>
          <w:szCs w:val="20"/>
          <w:color w:val="auto"/>
        </w:rPr>
      </w:pPr>
      <w:r>
        <w:rPr>
          <w:rFonts w:ascii="Arial" w:cs="Arial" w:eastAsia="Arial" w:hAnsi="Arial"/>
          <w:sz w:val="18"/>
          <w:szCs w:val="18"/>
          <w:color w:val="auto"/>
        </w:rPr>
        <w:t>In May and July 2021, we and the Lenders entered into additional amendments to the Loan Agreement (“the 2021 Amendments”) which together extended the period of time that we are permitted to make interest-only payments on the Term Loan to December 1, 2021; provided that if we have not received FDA approval for our NDA for tenapanor for the control of serum phosphorus in adult patients with CDK on dialysis on or before October 25, 2021, the interest-only period will expire and principal repayments shall be required to begin on November 1, 2021. If principal repayments are required to begin prior to December 1, 2021 under the 2021 Amendments, then the first such repayment shall include all payments that would have been due if monthly principal repayment had begun on June 1, 2021. As of June 30, 2021, we have classified our loan payable, current to include all principal payments that would have been due beginning on June 1, 2021.</w:t>
      </w:r>
    </w:p>
    <w:p>
      <w:pPr>
        <w:spacing w:after="0" w:line="176" w:lineRule="exact"/>
        <w:rPr>
          <w:sz w:val="20"/>
          <w:szCs w:val="20"/>
          <w:color w:val="auto"/>
        </w:rPr>
      </w:pPr>
    </w:p>
    <w:p>
      <w:pPr>
        <w:jc w:val="both"/>
        <w:ind w:firstLine="318"/>
        <w:spacing w:after="0" w:line="219" w:lineRule="auto"/>
        <w:rPr>
          <w:sz w:val="20"/>
          <w:szCs w:val="20"/>
          <w:color w:val="auto"/>
        </w:rPr>
      </w:pPr>
      <w:r>
        <w:rPr>
          <w:rFonts w:ascii="Arial" w:cs="Arial" w:eastAsia="Arial" w:hAnsi="Arial"/>
          <w:sz w:val="18"/>
          <w:szCs w:val="18"/>
          <w:color w:val="auto"/>
        </w:rPr>
        <w:t>We paid a closing fee of 1% of the Term Loan, or $0.5 million, upon the closing of the Term Loan, $0.1 million upon closing of the 2020 Amendment and $0.1 million upon closing of the 2021 Amendments. Under the Term Loan, we are also obligated to pay a final fee equal to 4.95% of the Term Loan upon the earliest to occur of the maturity date, the acceleration of the Term Loan, the prepayment or repayment of the Term Loan or the termination of the Loan Agreement. We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our assets, except for our intellectual property and certain other customary exclusions. Additionally, in connection with the Term Loan, we entered into the Exit Fee Agreement, as discussed in Note 6.</w:t>
      </w:r>
    </w:p>
    <w:p>
      <w:pPr>
        <w:spacing w:after="0" w:line="19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Loan Agreement also contains customary events of default that entitle the Lender to cause us indebtedness under the Loan Agreement to become immediately due and payable, and to exercise remedies against us and the collateral securing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 Loan, including our cash. Upon the occurrence and for the duration of an event of default, an additional default interest rate equal to 4% per annum will apply to all amounts owed under the Loan Agreement. As of June 30, 2021, to our knowledge, there were no facts or circumstances in existence that would give rise to an event of default.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June 30, 2021, our future payment obligations related to the Term Loan, excluding interest payments and the Exit Fee,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repayment obligations</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52,475</w:t>
            </w:r>
          </w:p>
        </w:tc>
      </w:tr>
      <w:tr>
        <w:trPr>
          <w:trHeight w:val="225"/>
        </w:trPr>
        <w:tc>
          <w:tcPr>
            <w:tcW w:w="9780" w:type="dxa"/>
            <w:vAlign w:val="bottom"/>
          </w:tcPr>
          <w:p>
            <w:pPr>
              <w:ind w:left="120"/>
              <w:spacing w:after="0"/>
              <w:rPr>
                <w:sz w:val="20"/>
                <w:szCs w:val="20"/>
                <w:color w:val="auto"/>
              </w:rPr>
            </w:pPr>
            <w:r>
              <w:rPr>
                <w:rFonts w:ascii="Arial" w:cs="Arial" w:eastAsia="Arial" w:hAnsi="Arial"/>
                <w:sz w:val="18"/>
                <w:szCs w:val="18"/>
                <w:color w:val="auto"/>
              </w:rPr>
              <w:t>Less: Unamortized discount and debt issuance costs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26"/>
        </w:trPr>
        <w:tc>
          <w:tcPr>
            <w:tcW w:w="9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Unaccreted value of final fee</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18"/>
        </w:trPr>
        <w:tc>
          <w:tcPr>
            <w:tcW w:w="9780" w:type="dxa"/>
            <w:vAlign w:val="bottom"/>
          </w:tcPr>
          <w:p>
            <w:pPr>
              <w:ind w:left="20"/>
              <w:spacing w:after="0" w:line="204" w:lineRule="exact"/>
              <w:rPr>
                <w:sz w:val="20"/>
                <w:szCs w:val="20"/>
                <w:color w:val="auto"/>
              </w:rPr>
            </w:pPr>
            <w:r>
              <w:rPr>
                <w:rFonts w:ascii="Arial" w:cs="Arial" w:eastAsia="Arial" w:hAnsi="Arial"/>
                <w:sz w:val="18"/>
                <w:szCs w:val="18"/>
                <w:color w:val="auto"/>
              </w:rPr>
              <w:t>Loan payable</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51,244</w:t>
            </w:r>
          </w:p>
        </w:tc>
      </w:tr>
      <w:tr>
        <w:trPr>
          <w:trHeight w:val="226"/>
        </w:trPr>
        <w:tc>
          <w:tcPr>
            <w:tcW w:w="9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Loan payable,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(36,111)</w:t>
            </w:r>
          </w:p>
        </w:tc>
      </w:tr>
      <w:tr>
        <w:trPr>
          <w:trHeight w:val="218"/>
        </w:trPr>
        <w:tc>
          <w:tcPr>
            <w:tcW w:w="9780" w:type="dxa"/>
            <w:vAlign w:val="bottom"/>
          </w:tcPr>
          <w:p>
            <w:pPr>
              <w:ind w:left="20"/>
              <w:spacing w:after="0"/>
              <w:rPr>
                <w:sz w:val="20"/>
                <w:szCs w:val="20"/>
                <w:color w:val="auto"/>
              </w:rPr>
            </w:pPr>
            <w:r>
              <w:rPr>
                <w:rFonts w:ascii="Arial" w:cs="Arial" w:eastAsia="Arial" w:hAnsi="Arial"/>
                <w:sz w:val="18"/>
                <w:szCs w:val="18"/>
                <w:color w:val="auto"/>
              </w:rPr>
              <w:t>Loan payable, net of current portion</w:t>
            </w: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15,133</w:t>
            </w:r>
          </w:p>
        </w:tc>
      </w:tr>
      <w:tr>
        <w:trPr>
          <w:trHeight w:val="20"/>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LIABILITY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Fee</w:t>
      </w:r>
    </w:p>
    <w:p>
      <w:pPr>
        <w:spacing w:after="0" w:line="2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May 2018, in connection with entering into the Loan Agreement, as defined and discussed in Note 5, we entered into an agreement pursuant to which we agreed to pay $1.5 million in cash (the “Exit Fee”) upon any change of control transaction in respect of the Company or if we obtain both (i) FDA approval of tenapanor for the control of serum phosphorus in adult patients with CKD on dialysis and (ii) FDA approval of tenapanor for the treatment of patients with irritable bowel syndrome with constipation (“IBS-C”), which was obtained on September 12, 2019 when the FDA approved IBSRELA® (tenapanor), a 50 milligram, twice daily oral pill for the treatment of IBS-C in adults (the “Exit Fee Agreement”). Notwithstanding the prepayment or termination of the Term Loan, as defined and discussed in Note 5, our obligation to pay the Exit Fee will expire on May 16, 2028. We concluded that the Exit Fee is a freestanding derivative which should be accounted for at fair value on a recurring basis. The estimated fair value of the Exit Fee is recorded as a derivative liability and included in accrued expenses and other current liabilities on the accompanying condensed balance sheets.</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derivative liability include: (i) our estimates of both the probability and timing of a potential $1.5 million payment to Solar Capital Ltd. and Western Alliance Bank as a result of the FDA approvals and (ii) a discount rate which was derived from our estimated cost of debt, adjusted with current LIBOR (or a comparable successor rate if LIBOR no longer exists). Generally, increases or decreases in the probability of occurrence would result in a directionally similar impact in the fair value measurement of the derivative liability and it is estimated that a 10% increase (decrease), not to exceed 100%, in the probability of occurrence would result in a fair value fluctuation of no more than $0.1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Changes in the fair value of recurring measurements included in Level 3 of the fair value hierarchy are presented as other income, net in our statements of</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operations</w:t>
            </w:r>
          </w:p>
        </w:tc>
        <w:tc>
          <w:tcPr>
            <w:tcW w:w="580" w:type="dxa"/>
            <w:vAlign w:val="bottom"/>
          </w:tcPr>
          <w:p>
            <w:pPr>
              <w:ind w:left="160"/>
              <w:spacing w:after="0"/>
              <w:rPr>
                <w:sz w:val="20"/>
                <w:szCs w:val="20"/>
                <w:color w:val="auto"/>
              </w:rPr>
            </w:pPr>
            <w:r>
              <w:rPr>
                <w:rFonts w:ascii="Arial" w:cs="Arial" w:eastAsia="Arial" w:hAnsi="Arial"/>
                <w:sz w:val="18"/>
                <w:szCs w:val="18"/>
                <w:color w:val="auto"/>
              </w:rPr>
              <w:t>and</w:t>
            </w:r>
          </w:p>
        </w:tc>
        <w:tc>
          <w:tcPr>
            <w:tcW w:w="660" w:type="dxa"/>
            <w:vAlign w:val="bottom"/>
          </w:tcPr>
          <w:p>
            <w:pPr>
              <w:ind w:left="160"/>
              <w:spacing w:after="0"/>
              <w:rPr>
                <w:sz w:val="20"/>
                <w:szCs w:val="20"/>
                <w:color w:val="auto"/>
              </w:rPr>
            </w:pPr>
            <w:r>
              <w:rPr>
                <w:rFonts w:ascii="Arial" w:cs="Arial" w:eastAsia="Arial" w:hAnsi="Arial"/>
                <w:sz w:val="18"/>
                <w:szCs w:val="18"/>
                <w:color w:val="auto"/>
              </w:rPr>
              <w:t>were</w:t>
            </w:r>
          </w:p>
        </w:tc>
        <w:tc>
          <w:tcPr>
            <w:tcW w:w="460" w:type="dxa"/>
            <w:vAlign w:val="bottom"/>
          </w:tcPr>
          <w:p>
            <w:pPr>
              <w:ind w:left="160"/>
              <w:spacing w:after="0"/>
              <w:rPr>
                <w:sz w:val="20"/>
                <w:szCs w:val="20"/>
                <w:color w:val="auto"/>
              </w:rPr>
            </w:pPr>
            <w:r>
              <w:rPr>
                <w:rFonts w:ascii="Arial" w:cs="Arial" w:eastAsia="Arial" w:hAnsi="Arial"/>
                <w:sz w:val="18"/>
                <w:szCs w:val="18"/>
                <w:color w:val="auto"/>
              </w:rPr>
              <w:t>as</w:t>
            </w:r>
          </w:p>
        </w:tc>
        <w:tc>
          <w:tcPr>
            <w:tcW w:w="860" w:type="dxa"/>
            <w:vAlign w:val="bottom"/>
          </w:tcPr>
          <w:p>
            <w:pPr>
              <w:ind w:left="160"/>
              <w:spacing w:after="0"/>
              <w:rPr>
                <w:sz w:val="20"/>
                <w:szCs w:val="20"/>
                <w:color w:val="auto"/>
              </w:rPr>
            </w:pPr>
            <w:r>
              <w:rPr>
                <w:rFonts w:ascii="Arial" w:cs="Arial" w:eastAsia="Arial" w:hAnsi="Arial"/>
                <w:sz w:val="18"/>
                <w:szCs w:val="18"/>
                <w:color w:val="auto"/>
              </w:rPr>
              <w:t>follows</w:t>
            </w:r>
          </w:p>
        </w:tc>
        <w:tc>
          <w:tcPr>
            <w:tcW w:w="680" w:type="dxa"/>
            <w:vAlign w:val="bottom"/>
          </w:tcPr>
          <w:p>
            <w:pPr>
              <w:ind w:left="160"/>
              <w:spacing w:after="0"/>
              <w:rPr>
                <w:sz w:val="20"/>
                <w:szCs w:val="20"/>
                <w:color w:val="auto"/>
              </w:rPr>
            </w:pPr>
            <w:r>
              <w:rPr>
                <w:rFonts w:ascii="Arial" w:cs="Arial" w:eastAsia="Arial" w:hAnsi="Arial"/>
                <w:sz w:val="18"/>
                <w:szCs w:val="18"/>
                <w:color w:val="auto"/>
              </w:rPr>
              <w:t>for</w:t>
            </w:r>
          </w:p>
        </w:tc>
        <w:tc>
          <w:tcPr>
            <w:tcW w:w="380" w:type="dxa"/>
            <w:vAlign w:val="bottom"/>
          </w:tcPr>
          <w:p>
            <w:pPr>
              <w:spacing w:after="0"/>
              <w:rPr>
                <w:sz w:val="20"/>
                <w:szCs w:val="20"/>
                <w:color w:val="auto"/>
              </w:rPr>
            </w:pPr>
            <w:r>
              <w:rPr>
                <w:rFonts w:ascii="Arial" w:cs="Arial" w:eastAsia="Arial" w:hAnsi="Arial"/>
                <w:sz w:val="18"/>
                <w:szCs w:val="18"/>
                <w:color w:val="auto"/>
              </w:rPr>
              <w:t>the</w:t>
            </w:r>
          </w:p>
        </w:tc>
        <w:tc>
          <w:tcPr>
            <w:tcW w:w="540" w:type="dxa"/>
            <w:vAlign w:val="bottom"/>
          </w:tcPr>
          <w:p>
            <w:pPr>
              <w:ind w:left="160"/>
              <w:spacing w:after="0"/>
              <w:rPr>
                <w:sz w:val="20"/>
                <w:szCs w:val="20"/>
                <w:color w:val="auto"/>
              </w:rPr>
            </w:pPr>
            <w:r>
              <w:rPr>
                <w:rFonts w:ascii="Arial" w:cs="Arial" w:eastAsia="Arial" w:hAnsi="Arial"/>
                <w:sz w:val="18"/>
                <w:szCs w:val="18"/>
                <w:color w:val="auto"/>
              </w:rPr>
              <w:t>six</w:t>
            </w:r>
          </w:p>
        </w:tc>
        <w:tc>
          <w:tcPr>
            <w:tcW w:w="840" w:type="dxa"/>
            <w:vAlign w:val="bottom"/>
          </w:tcPr>
          <w:p>
            <w:pPr>
              <w:ind w:left="160"/>
              <w:spacing w:after="0"/>
              <w:rPr>
                <w:sz w:val="20"/>
                <w:szCs w:val="20"/>
                <w:color w:val="auto"/>
              </w:rPr>
            </w:pPr>
            <w:r>
              <w:rPr>
                <w:rFonts w:ascii="Arial" w:cs="Arial" w:eastAsia="Arial" w:hAnsi="Arial"/>
                <w:sz w:val="18"/>
                <w:szCs w:val="18"/>
                <w:color w:val="auto"/>
              </w:rPr>
              <w:t>months</w:t>
            </w:r>
          </w:p>
        </w:tc>
        <w:tc>
          <w:tcPr>
            <w:tcW w:w="740" w:type="dxa"/>
            <w:vAlign w:val="bottom"/>
          </w:tcPr>
          <w:p>
            <w:pPr>
              <w:ind w:left="160"/>
              <w:spacing w:after="0"/>
              <w:rPr>
                <w:sz w:val="20"/>
                <w:szCs w:val="20"/>
                <w:color w:val="auto"/>
              </w:rPr>
            </w:pPr>
            <w:r>
              <w:rPr>
                <w:rFonts w:ascii="Arial" w:cs="Arial" w:eastAsia="Arial" w:hAnsi="Arial"/>
                <w:sz w:val="18"/>
                <w:szCs w:val="18"/>
                <w:color w:val="auto"/>
              </w:rPr>
              <w:t>ended</w:t>
            </w:r>
          </w:p>
        </w:tc>
        <w:tc>
          <w:tcPr>
            <w:tcW w:w="640" w:type="dxa"/>
            <w:vAlign w:val="bottom"/>
          </w:tcPr>
          <w:p>
            <w:pPr>
              <w:ind w:left="160"/>
              <w:spacing w:after="0"/>
              <w:rPr>
                <w:sz w:val="20"/>
                <w:szCs w:val="20"/>
                <w:color w:val="auto"/>
              </w:rPr>
            </w:pPr>
            <w:r>
              <w:rPr>
                <w:rFonts w:ascii="Arial" w:cs="Arial" w:eastAsia="Arial" w:hAnsi="Arial"/>
                <w:sz w:val="18"/>
                <w:szCs w:val="18"/>
                <w:color w:val="auto"/>
              </w:rPr>
              <w:t>June</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2021</w:t>
            </w:r>
          </w:p>
        </w:tc>
        <w:tc>
          <w:tcPr>
            <w:tcW w:w="480" w:type="dxa"/>
            <w:vAlign w:val="bottom"/>
          </w:tcPr>
          <w:p>
            <w:pPr>
              <w:jc w:val="right"/>
              <w:spacing w:after="0"/>
              <w:rPr>
                <w:sz w:val="20"/>
                <w:szCs w:val="20"/>
                <w:color w:val="auto"/>
              </w:rPr>
            </w:pPr>
            <w:r>
              <w:rPr>
                <w:rFonts w:ascii="Arial" w:cs="Arial" w:eastAsia="Arial" w:hAnsi="Arial"/>
                <w:sz w:val="18"/>
                <w:szCs w:val="18"/>
                <w:color w:val="auto"/>
              </w:rPr>
              <w:t>and</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2020</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w w:val="85"/>
              </w:rPr>
              <w:t>thousands):</w:t>
            </w:r>
          </w:p>
        </w:tc>
      </w:tr>
      <w:tr>
        <w:trPr>
          <w:trHeight w:val="241"/>
        </w:trPr>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0" w:type="dxa"/>
            <w:vAlign w:val="bottom"/>
            <w:gridSpan w:val="7"/>
          </w:tcPr>
          <w:p>
            <w:pPr>
              <w:ind w:left="140"/>
              <w:spacing w:after="0"/>
              <w:rPr>
                <w:sz w:val="20"/>
                <w:szCs w:val="20"/>
                <w:color w:val="auto"/>
              </w:rPr>
            </w:pPr>
            <w:r>
              <w:rPr>
                <w:rFonts w:ascii="Arial" w:cs="Arial" w:eastAsia="Arial" w:hAnsi="Arial"/>
                <w:sz w:val="18"/>
                <w:szCs w:val="18"/>
                <w:b w:val="1"/>
                <w:bCs w:val="1"/>
                <w:color w:val="auto"/>
              </w:rPr>
              <w:t>Six Months Ended June 30,</w:t>
            </w:r>
          </w:p>
        </w:tc>
      </w:tr>
      <w:tr>
        <w:trPr>
          <w:trHeight w:val="219"/>
        </w:trPr>
        <w:tc>
          <w:tcPr>
            <w:tcW w:w="9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18"/>
        </w:trPr>
        <w:tc>
          <w:tcPr>
            <w:tcW w:w="414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1"/>
              </w:rPr>
              <w:t>Fair value of Exit Fee derivative liability at January 1</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9"/>
                <w:szCs w:val="19"/>
                <w:color w:val="auto"/>
              </w:rPr>
            </w:pPr>
          </w:p>
        </w:tc>
      </w:tr>
      <w:tr>
        <w:trPr>
          <w:trHeight w:val="225"/>
        </w:trPr>
        <w:tc>
          <w:tcPr>
            <w:tcW w:w="4140" w:type="dxa"/>
            <w:vAlign w:val="bottom"/>
            <w:tcBorders>
              <w:bottom w:val="single" w:sz="8" w:color="CCEEFF"/>
            </w:tcBorders>
            <w:gridSpan w:val="6"/>
          </w:tcPr>
          <w:p>
            <w:pPr>
              <w:ind w:left="440"/>
              <w:spacing w:after="0"/>
              <w:rPr>
                <w:sz w:val="20"/>
                <w:szCs w:val="20"/>
                <w:color w:val="auto"/>
              </w:rPr>
            </w:pPr>
            <w:r>
              <w:rPr>
                <w:rFonts w:ascii="Arial" w:cs="Arial" w:eastAsia="Arial" w:hAnsi="Arial"/>
                <w:sz w:val="18"/>
                <w:szCs w:val="18"/>
                <w:color w:val="auto"/>
                <w:w w:val="91"/>
              </w:rPr>
              <w:t>Change in estimated fair value of derivative liability</w:t>
            </w:r>
          </w:p>
        </w:tc>
        <w:tc>
          <w:tcPr>
            <w:tcW w:w="3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r>
      <w:tr>
        <w:trPr>
          <w:trHeight w:val="244"/>
        </w:trPr>
        <w:tc>
          <w:tcPr>
            <w:tcW w:w="414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w w:val="94"/>
              </w:rPr>
              <w:t>Fair value of Exit Fee derivative liability at June 30</w:t>
            </w:r>
          </w:p>
        </w:tc>
        <w:tc>
          <w:tcPr>
            <w:tcW w:w="3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20"/>
                <w:szCs w:val="20"/>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0" w:firstLine="318"/>
        <w:spacing w:after="0" w:line="237" w:lineRule="auto"/>
        <w:rPr>
          <w:sz w:val="20"/>
          <w:szCs w:val="20"/>
          <w:color w:val="auto"/>
        </w:rPr>
      </w:pPr>
      <w:r>
        <w:rPr>
          <w:rFonts w:ascii="Arial" w:cs="Arial" w:eastAsia="Arial" w:hAnsi="Arial"/>
          <w:sz w:val="18"/>
          <w:szCs w:val="18"/>
          <w:color w:val="auto"/>
        </w:rPr>
        <w:t>During the three months ended June 30, 2021 we reduced the value of the derivative liability due the receipt of the CRL from the FDA regarding our NDA for the control of serum phosphorus in adult patients with CKD on dialysis.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18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During the six months ended June 30, 2021, we entered into an amendment to the lease for our Fremont, California facility that extended the term of the lease to March 2025. The office space consists of 72,500 square feet with the lease terminating in September 2025. We increased the right-of-use asset and lease liability by $11.9 million for the Fremont lease upon commencement of the amendment.</w:t>
      </w:r>
    </w:p>
    <w:p>
      <w:pPr>
        <w:spacing w:after="0" w:line="188"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During the six months ended June 30, 2021, we recorded a right-of-use operating lease asset for a new facility in Waltham, Massachusetts under a lease agreement entered into during December 2020 with lease commencement dates during April and May 2021. The office space consists of 12,864 square feet with the lease terminating in June 2026. We have an option to extend the lease term for one additional five year period. This option to extend the lease term has not been included in the calculation since currently the exercise of the option is uncertain and therefore deemed not probable. We recorded a $1.6 million right-of-use asset and lease liability for the Waltham lease upon commencement of the lease.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additional details of our facility leases presented in the condensed balance sheet as of June 30, 2021 (dollars in thousands):</w:t>
      </w:r>
    </w:p>
    <w:p>
      <w:pPr>
        <w:spacing w:after="0" w:line="29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902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Facilities</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9020" w:type="dxa"/>
            <w:vAlign w:val="bottom"/>
          </w:tcPr>
          <w:p>
            <w:pPr>
              <w:ind w:left="540"/>
              <w:spacing w:after="0"/>
              <w:rPr>
                <w:sz w:val="20"/>
                <w:szCs w:val="20"/>
                <w:color w:val="auto"/>
              </w:rPr>
            </w:pPr>
            <w:r>
              <w:rPr>
                <w:rFonts w:ascii="Arial" w:cs="Arial" w:eastAsia="Arial" w:hAnsi="Arial"/>
                <w:sz w:val="18"/>
                <w:szCs w:val="18"/>
                <w:color w:val="auto"/>
              </w:rPr>
              <w:t>Right-of-use assets</w:t>
            </w:r>
          </w:p>
        </w:tc>
        <w:tc>
          <w:tcPr>
            <w:tcW w:w="9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52"/>
        </w:trPr>
        <w:tc>
          <w:tcPr>
            <w:tcW w:w="90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5"/>
        </w:trPr>
        <w:tc>
          <w:tcPr>
            <w:tcW w:w="9020" w:type="dxa"/>
            <w:vAlign w:val="bottom"/>
          </w:tcPr>
          <w:p>
            <w:pPr>
              <w:ind w:left="540"/>
              <w:spacing w:after="0"/>
              <w:rPr>
                <w:sz w:val="20"/>
                <w:szCs w:val="20"/>
                <w:color w:val="auto"/>
              </w:rPr>
            </w:pPr>
            <w:r>
              <w:rPr>
                <w:rFonts w:ascii="Arial" w:cs="Arial" w:eastAsia="Arial" w:hAnsi="Arial"/>
                <w:sz w:val="18"/>
                <w:szCs w:val="18"/>
                <w:color w:val="auto"/>
              </w:rPr>
              <w:t>Current portion of lease liabilities</w:t>
            </w:r>
          </w:p>
        </w:tc>
        <w:tc>
          <w:tcPr>
            <w:tcW w:w="9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6"/>
        </w:trPr>
        <w:tc>
          <w:tcPr>
            <w:tcW w:w="9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lease liability, net of current portion</w:t>
            </w:r>
          </w:p>
        </w:tc>
        <w:tc>
          <w:tcPr>
            <w:tcW w:w="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18"/>
        </w:trPr>
        <w:tc>
          <w:tcPr>
            <w:tcW w:w="9020" w:type="dxa"/>
            <w:vAlign w:val="bottom"/>
          </w:tcPr>
          <w:p>
            <w:pPr>
              <w:ind w:left="6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9"/>
        </w:trPr>
        <w:tc>
          <w:tcPr>
            <w:tcW w:w="90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9020" w:type="dxa"/>
            <w:vAlign w:val="bottom"/>
          </w:tcPr>
          <w:p>
            <w:pPr>
              <w:ind w:left="340"/>
              <w:spacing w:after="0"/>
              <w:rPr>
                <w:sz w:val="20"/>
                <w:szCs w:val="20"/>
                <w:color w:val="auto"/>
              </w:rPr>
            </w:pPr>
            <w:r>
              <w:rPr>
                <w:rFonts w:ascii="Arial" w:cs="Arial" w:eastAsia="Arial" w:hAnsi="Arial"/>
                <w:sz w:val="18"/>
                <w:szCs w:val="18"/>
                <w:color w:val="auto"/>
              </w:rPr>
              <w:t>Weighted-average remaining life (years)</w:t>
            </w:r>
          </w:p>
        </w:tc>
        <w:tc>
          <w:tcPr>
            <w:tcW w:w="9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discount rate</w:t>
            </w: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6.87</w:t>
            </w: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costs, which are included in operating expenses in our statements of operations, were as follows (in thousands):</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8"/>
                <w:szCs w:val="18"/>
                <w:b w:val="1"/>
                <w:bCs w:val="1"/>
                <w:color w:val="auto"/>
              </w:rPr>
              <w:t>Six Months Ended June 30,</w:t>
            </w:r>
          </w:p>
        </w:tc>
      </w:tr>
      <w:tr>
        <w:trPr>
          <w:trHeight w:val="219"/>
        </w:trPr>
        <w:tc>
          <w:tcPr>
            <w:tcW w:w="50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r>
      <w:tr>
        <w:trPr>
          <w:trHeight w:val="219"/>
        </w:trPr>
        <w:tc>
          <w:tcPr>
            <w:tcW w:w="5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lease expense</w:t>
            </w:r>
          </w:p>
        </w:tc>
        <w:tc>
          <w:tcPr>
            <w:tcW w:w="108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79"/>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24"/>
        </w:trPr>
        <w:tc>
          <w:tcPr>
            <w:tcW w:w="500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1040" w:type="dxa"/>
            <w:vAlign w:val="bottom"/>
          </w:tcPr>
          <w:p>
            <w:pPr>
              <w:jc w:val="right"/>
              <w:ind w:right="879"/>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761</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1,554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1,521</w:t>
            </w:r>
          </w:p>
        </w:tc>
      </w:tr>
    </w:tbl>
    <w:p>
      <w:pPr>
        <w:spacing w:after="0" w:line="2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undiscounted cash payment obligations for our operating lease liabilities as of June 30, 2021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5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2022</w:t>
            </w:r>
          </w:p>
        </w:tc>
        <w:tc>
          <w:tcPr>
            <w:tcW w:w="5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2024</w:t>
            </w:r>
          </w:p>
        </w:tc>
        <w:tc>
          <w:tcPr>
            <w:tcW w:w="5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5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 expenses</w:t>
            </w:r>
          </w:p>
        </w:tc>
        <w:tc>
          <w:tcPr>
            <w:tcW w:w="5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5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Current portion of operating lease liability</w:t>
            </w:r>
          </w:p>
        </w:tc>
        <w:tc>
          <w:tcPr>
            <w:tcW w:w="5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 net of current portion</w:t>
            </w:r>
          </w:p>
        </w:tc>
        <w:tc>
          <w:tcPr>
            <w:tcW w:w="5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jc w:val="right"/>
              <w:ind w:right="3972"/>
              <w:spacing w:after="0"/>
              <w:rPr>
                <w:sz w:val="20"/>
                <w:szCs w:val="20"/>
                <w:color w:val="auto"/>
              </w:rPr>
            </w:pPr>
            <w:r>
              <w:rPr>
                <w:rFonts w:ascii="Arial" w:cs="Arial" w:eastAsia="Arial" w:hAnsi="Arial"/>
                <w:sz w:val="18"/>
                <w:szCs w:val="18"/>
                <w:color w:val="auto"/>
              </w:rPr>
              <w:t>15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64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4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39"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Offerings Agreement</w:t>
      </w:r>
    </w:p>
    <w:p>
      <w:pPr>
        <w:spacing w:after="0" w:line="217" w:lineRule="exact"/>
        <w:rPr>
          <w:sz w:val="20"/>
          <w:szCs w:val="20"/>
          <w:color w:val="auto"/>
        </w:rPr>
      </w:pPr>
    </w:p>
    <w:p>
      <w:pPr>
        <w:jc w:val="both"/>
        <w:ind w:right="100" w:firstLine="318"/>
        <w:spacing w:after="0" w:line="303" w:lineRule="auto"/>
        <w:rPr>
          <w:sz w:val="20"/>
          <w:szCs w:val="20"/>
          <w:color w:val="auto"/>
        </w:rPr>
      </w:pPr>
      <w:r>
        <w:rPr>
          <w:rFonts w:ascii="Arial" w:cs="Arial" w:eastAsia="Arial" w:hAnsi="Arial"/>
          <w:sz w:val="15"/>
          <w:szCs w:val="15"/>
          <w:color w:val="auto"/>
        </w:rPr>
        <w:t>In July 2020, we filed a Form S-3 registration statement, which became effective in August 2020,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deemed to be “at the market offerings.” During the six months ended June 30, 2021 we sold 9.0 million shares of our common stock for aggregate gross proceeds of $63.8 million at a weighted average price of $7.10 per share under the Open Market Sales Agreement. We sold 8.2 million shares of our common stock between the dates of November 13, 2020 through February 19, 2021 and 4.0 million shares between the dates of May 11, 2021 through June 18, 2021 for a cumulative total of 12.2 million shares and gross proceeds of $85.4 million at a weighted average sales price of approximately $6.98 per share during the life of the Open Market Sales Agreement. Pursuant to the Open Market Sales Agreement, Jefferies, as our sales agent, receives a commission of up to 3.0% of the gross sales price for shares of common stock sold under the Open Market Sales Agreement.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Stock-based compensation expense recognized for stock options, restricted stock units ("RSUs"), performance-based restricted stock units ("PRSUs") and our employee stock purchase program (the "ESPP") are recorded as operating expenses in our condensed statements of operations and comprehensive loss, as follows (in thousands):</w:t>
      </w: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3520" w:type="dxa"/>
            <w:vAlign w:val="bottom"/>
            <w:gridSpan w:val="6"/>
          </w:tcPr>
          <w:p>
            <w:pPr>
              <w:ind w:left="740"/>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Pr>
          <w:p>
            <w:pPr>
              <w:spacing w:after="0"/>
              <w:rPr>
                <w:sz w:val="19"/>
                <w:szCs w:val="19"/>
                <w:color w:val="auto"/>
              </w:rPr>
            </w:pPr>
          </w:p>
        </w:tc>
        <w:tc>
          <w:tcPr>
            <w:tcW w:w="278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9"/>
        </w:trPr>
        <w:tc>
          <w:tcPr>
            <w:tcW w:w="40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r>
      <w:tr>
        <w:trPr>
          <w:trHeight w:val="218"/>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2,132</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r>
      <w:tr>
        <w:trPr>
          <w:trHeight w:val="244"/>
        </w:trPr>
        <w:tc>
          <w:tcPr>
            <w:tcW w:w="4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3,219</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As of June 30, 2021, our total unrecognized stock-based compensation expense, net of estimated forfeitures, and average remaining vesting period, included the following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Unrecognized</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Average Remaining</w:t>
            </w:r>
          </w:p>
        </w:tc>
        <w:tc>
          <w:tcPr>
            <w:tcW w:w="0" w:type="dxa"/>
            <w:vAlign w:val="bottom"/>
          </w:tcPr>
          <w:p>
            <w:pPr>
              <w:spacing w:after="0"/>
              <w:rPr>
                <w:sz w:val="1"/>
                <w:szCs w:val="1"/>
                <w:color w:val="auto"/>
              </w:rPr>
            </w:pPr>
          </w:p>
        </w:tc>
      </w:tr>
      <w:tr>
        <w:trPr>
          <w:trHeight w:val="172"/>
        </w:trPr>
        <w:tc>
          <w:tcPr>
            <w:tcW w:w="7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340"/>
              <w:spacing w:after="0" w:line="172" w:lineRule="exact"/>
              <w:rPr>
                <w:sz w:val="20"/>
                <w:szCs w:val="20"/>
                <w:color w:val="auto"/>
              </w:rPr>
            </w:pPr>
            <w:r>
              <w:rPr>
                <w:rFonts w:ascii="Arial" w:cs="Arial" w:eastAsia="Arial" w:hAnsi="Arial"/>
                <w:sz w:val="18"/>
                <w:szCs w:val="18"/>
                <w:b w:val="1"/>
                <w:bCs w:val="1"/>
                <w:color w:val="auto"/>
                <w:w w:val="86"/>
              </w:rPr>
              <w:t>Compensation</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Expense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7"/>
              </w:rPr>
              <w:t>Vesting Period (Years)</w:t>
            </w:r>
          </w:p>
        </w:tc>
        <w:tc>
          <w:tcPr>
            <w:tcW w:w="0" w:type="dxa"/>
            <w:vAlign w:val="bottom"/>
          </w:tcPr>
          <w:p>
            <w:pPr>
              <w:spacing w:after="0"/>
              <w:rPr>
                <w:sz w:val="1"/>
                <w:szCs w:val="1"/>
                <w:color w:val="auto"/>
              </w:rPr>
            </w:pPr>
          </w:p>
        </w:tc>
      </w:tr>
      <w:tr>
        <w:trPr>
          <w:trHeight w:val="218"/>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25,267</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RSUs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6,978</w:t>
            </w:r>
          </w:p>
        </w:tc>
        <w:tc>
          <w:tcPr>
            <w:tcW w:w="12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 summary of our stock option activity and related information for the six months ended June 30, 2021 is as follows (in thousands, except dollar amounts):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7020" w:type="dxa"/>
            <w:vAlign w:val="bottom"/>
          </w:tcPr>
          <w:p>
            <w:pPr>
              <w:spacing w:after="0"/>
              <w:rPr>
                <w:sz w:val="18"/>
                <w:szCs w:val="18"/>
                <w:color w:val="auto"/>
              </w:rPr>
            </w:pPr>
          </w:p>
        </w:tc>
        <w:tc>
          <w:tcPr>
            <w:tcW w:w="1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Number of Shares</w:t>
            </w:r>
          </w:p>
        </w:tc>
        <w:tc>
          <w:tcPr>
            <w:tcW w:w="540" w:type="dxa"/>
            <w:vAlign w:val="bottom"/>
          </w:tcPr>
          <w:p>
            <w:pPr>
              <w:spacing w:after="0"/>
              <w:rPr>
                <w:sz w:val="18"/>
                <w:szCs w:val="18"/>
                <w:color w:val="auto"/>
              </w:rPr>
            </w:pPr>
          </w:p>
        </w:tc>
        <w:tc>
          <w:tcPr>
            <w:tcW w:w="1600" w:type="dxa"/>
            <w:vAlign w:val="bottom"/>
          </w:tcPr>
          <w:p>
            <w:pPr>
              <w:ind w:left="120"/>
              <w:spacing w:after="0"/>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balance at December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70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balance at June 30,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20" w:type="dxa"/>
            <w:vAlign w:val="bottom"/>
          </w:tcPr>
          <w:p>
            <w:pPr>
              <w:ind w:left="340"/>
              <w:spacing w:after="0" w:line="198" w:lineRule="exact"/>
              <w:rPr>
                <w:sz w:val="20"/>
                <w:szCs w:val="20"/>
                <w:color w:val="auto"/>
              </w:rPr>
            </w:pPr>
            <w:r>
              <w:rPr>
                <w:rFonts w:ascii="Arial" w:cs="Arial" w:eastAsia="Arial" w:hAnsi="Arial"/>
                <w:sz w:val="18"/>
                <w:szCs w:val="18"/>
                <w:color w:val="auto"/>
              </w:rPr>
              <w:t>Exercisable at June 30, 2021</w:t>
            </w:r>
          </w:p>
        </w:tc>
        <w:tc>
          <w:tcPr>
            <w:tcW w:w="17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6,043</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339"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9"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summary of our RSUs activity and related information for the six months ended June 30, 2021 is as follows (in thousands, except dollar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780" w:type="dxa"/>
            <w:vAlign w:val="bottom"/>
            <w:vMerge w:val="restart"/>
          </w:tcPr>
          <w:p>
            <w:pPr>
              <w:ind w:left="480"/>
              <w:spacing w:after="0"/>
              <w:rPr>
                <w:sz w:val="20"/>
                <w:szCs w:val="20"/>
                <w:color w:val="auto"/>
              </w:rPr>
            </w:pPr>
            <w:r>
              <w:rPr>
                <w:rFonts w:ascii="Arial" w:cs="Arial" w:eastAsia="Arial" w:hAnsi="Arial"/>
                <w:sz w:val="18"/>
                <w:szCs w:val="18"/>
                <w:b w:val="1"/>
                <w:bCs w:val="1"/>
                <w:color w:val="auto"/>
                <w:w w:val="89"/>
              </w:rPr>
              <w:t>Number of RSUs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Weighted Average Value</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at Grant</w:t>
            </w:r>
          </w:p>
        </w:tc>
        <w:tc>
          <w:tcPr>
            <w:tcW w:w="0" w:type="dxa"/>
            <w:vAlign w:val="bottom"/>
          </w:tcPr>
          <w:p>
            <w:pPr>
              <w:spacing w:after="0"/>
              <w:rPr>
                <w:sz w:val="1"/>
                <w:szCs w:val="1"/>
                <w:color w:val="auto"/>
              </w:rPr>
            </w:pPr>
          </w:p>
        </w:tc>
      </w:tr>
      <w:tr>
        <w:trPr>
          <w:trHeight w:val="218"/>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at December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5"/>
        </w:trPr>
        <w:tc>
          <w:tcPr>
            <w:tcW w:w="864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1,088</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6"/>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June 30, 2021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issued no PRSUs during the six months ended June 30, 2021 and we have no PRSUs outstanding as of June 30,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In February 2021, we sold approximately 0.2 million shares of our common stock under the ESPP. The shares were purchased by employees at a purchase price of $5.84 per share resulting in proceeds to us of approximately $1.4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Our Amended and Restated Non-Employee Director Compensation Program, members of our board of directors may elect to receive shares of our stock in lieu of their cash fees. During the six months ended June 30, 2021, we issued no shares of our common stock to members of the board of directors in accordance with the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three and six months ended June 30, 2021 and 2020, all potential common shares were determined to be anti-dilutive. The following table sets forth the computation of net loss per common share (in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19"/>
                <w:szCs w:val="19"/>
                <w:color w:val="auto"/>
              </w:rPr>
            </w:pPr>
          </w:p>
        </w:tc>
        <w:tc>
          <w:tcPr>
            <w:tcW w:w="268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19"/>
        </w:trPr>
        <w:tc>
          <w:tcPr>
            <w:tcW w:w="5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r>
      <w:tr>
        <w:trPr>
          <w:trHeight w:val="205"/>
        </w:trPr>
        <w:tc>
          <w:tcPr>
            <w:tcW w:w="5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200" w:type="dxa"/>
            <w:vAlign w:val="bottom"/>
            <w:shd w:val="clear" w:color="auto" w:fill="CCEEFF"/>
          </w:tcPr>
          <w:p>
            <w:pPr>
              <w:ind w:left="40"/>
              <w:spacing w:after="0" w:line="192" w:lineRule="exact"/>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5"/>
              </w:rPr>
              <w:t>Weighted average common shares outstanding - basic and diluted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88,890</w:t>
            </w:r>
          </w:p>
        </w:tc>
      </w:tr>
      <w:tr>
        <w:trPr>
          <w:trHeight w:val="244"/>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and six months ended June 30, 2021, the total number of securities that could potentially dilute basic net loss per share in the future that were not included in the computation of diluted net loss per share because the effect would have been antidilutive was 13.8 million and 13.4 million, respectively.</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and six months ended June 30, 2020, the total number of securities that could potentially dilute basic net loss per share in the future that were not included in the computation of diluted net loss per share because the effect would have been antidilutive was 11.5 million and 11.7 million, respectively.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210"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From time to time we may be involved in claims arising in connection with our business. Based on information currently available, management believes that the amount, or range, of reasonably possible losses in connection with any pending actions against us would not be material to our financial condition or cash flows, and no contingent liabilities were accrued as of June 30, 2021 or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10"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7"/>
          <w:szCs w:val="17"/>
          <w:color w:val="auto"/>
        </w:rPr>
        <w:t>On July 28, 2021, we received a CRL from the FDA regarding our NDA for the control of serum phosphorus in adult patients with CKD on dialysis. According to the CRL, while the FDA agrees “that the submitted data provide substantial evidence that tenapanor is effective in reducing serum phosphorus in CKD patients on dialysis,” the FDA characterizes the magnitude of the treatment effect as “small and of unclear clinical significance.” Additionally, the FDA noted that for the application to be approved, we will need “to conduct an additional adequate and well-controlled trial demonstrating a clinically relevant treatment effect on serum phosphorus or an effect on the clinical outcome thought to be caused by hyperphosphatemia in CKD patients on dialysis.” There were no safety, clinical pharmacology/biopharmaceutics, chemistry, manufacturing, and controls or non-clinical issues identified in the CRL. We intend to request a Type A meeting as soon as possible to discuss the CRL and determine potential paths forward for the approval of tenapanor for the control of serum phosphorus in adult patients with CKD on dialysis.</w:t>
      </w:r>
    </w:p>
    <w:p>
      <w:pPr>
        <w:spacing w:after="0" w:line="178"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On July 29, 2021, we entered into a Fourth Amendment to the Loan Agreement (the “Amendment”) which extended the period of time that we are permitted to make interest-only payments on the Term Loan to December 1, 2021; provided that if we have not received FDA approval for our NDA for tenapanor for the control of serum phosphorus in adult patients with CDK on dialysis on or before October 25, 2021, the interest-only period will expire and principal repayments shall be required to begin on November 1, 2021. If principal repayments are required to begin prior to December 1, 2021 under the 2021 Amendments, then the first such repayment shall include all payments that would have been due if monthly principal repayment had begun on June 1, 2021.</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5"/>
          <w:szCs w:val="15"/>
          <w:color w:val="auto"/>
        </w:rPr>
        <w:t>On July 29, 2021, our Board of Directors approved, and on August 2, 2021 we began implementing, a restructuring plan to better align our workforce and anticipated commercial and development spend with our capital resources and the needs of our business following the receipt of the CRL. The restructuring plan is expected to be completed in August 2021. Under the restructuring plan, we are reducing our workforce by approximately 83 employees (approximately 33%). Impacted employees will receive cash payments equal to their base pay for a notice period of sixty (60) days and Company funded COBRA premiums through such notice period. In addition, impacted employees are eligible to receive severance benefits and additional Company funded COBRA premiums, contingent upon an impacted employee’s execution (and non-revocation) of a separation agreement, which includes a general release of claims against the Company. We expect that the workforce reduction will decrease our annual cash compensation costs by approximately $17 million. In connection with the restructuring, we estimate that we will incur restructuring charges of approximately $3.4 million, which will be recorded primarily in the third quarter of 2021, related to one-time termination notice and severance payments and other employee-related costs. The cash payments related to the reduction in workforce will be paid primarily during the third quarter of 2021. We may also incur additional costs not currently contemplated due to events that may occur as a result of, or that are associated with, the reduction in workforce.</w:t>
      </w:r>
    </w:p>
    <w:p>
      <w:pPr>
        <w:spacing w:after="0" w:line="348"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7"/>
          <w:szCs w:val="17"/>
          <w:color w:val="auto"/>
        </w:rPr>
        <w:t>On July 30, 2021, a putative securities class action lawsuit was commenced in the U.S. District Court for the Northern District of California naming as defendants Ardelyx and two current officers. The complaint alleges that the defendants violated Sections 10(b) and 20(a) of the Securities Exchange Act of 1934, as amended, and Rule 10b-5 thereunder, by making false and misleading statements and omissions of material fact related to tenapanor. The plaintiff seeks to represent all persons who purchased or otherwise acquired Ardelyx securities between August 6, 2020, and July 19, 2021. The plaintiff seeks damages and interest, and an award of costs, including attorneys’ fees. We believe the plaintiff’s claims are without merit and we have not recorded any accrual for a contingent liability associated with these legal proceedings.</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2020.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for any reason. Unless the context requires otherwise, the terms “Ardelyx”, “Company”, “we”, “us”, and “our” refer to Ardelyx,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a biopharmaceutical company focused on the discovery, development, and commercialization of innovative first-in-class medicines to improve treatment for people with kidney and cardiorenal diseases. This includes patients with chronic kidney disease ("CKD") on dialysis suffering from elevated serum phosphorus, or hyperphosphatemia; and CKD patients and/or heart failure patients with elevated serum potassium, or hyperkalemia. Tenapanor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Tenapanor: A New Approach for The Control of Serum Phosphorus in Adult Patients with CKD on Dialysis</w:t>
      </w:r>
    </w:p>
    <w:p>
      <w:pPr>
        <w:spacing w:after="0" w:line="21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5"/>
          <w:szCs w:val="15"/>
          <w:color w:val="auto"/>
        </w:rPr>
        <w:t>Our portfolio is led by the development of tenapanor, a first-in-class medicine for the control of serum phosphorus in adult patients with CKD on dialysis. Tenapanor for the control of serum phosphorus has a unique mechanism of action and acts locally in the gut to inhibit the NHE3. This results in the tightening of the epithelial cell junctions, thereby significantly reducing paracellular uptake of phosphate, the primary pathway of phosphate absorption. On July 28, 2021, we received a Complete Response Letter ("CRL") from the U.S. Food and Drug Administration ("FDA") regarding our New Drug Application ("NDA") for the control of serum phosphorus in adult patients with CKD on dialysis. According to the CRL, while the FDA agrees “that the submitted data provide substantial evidence that tenapanor is effective in reducing serum phosphorus in CKD patients on dialysis,” the FDA characterizes the magnitude of the treatment effect as “small and of unclear clinical significance.” Additionally, the FDA noted that for the application to be approved, we will need “to conduct an additional adequate and well-controlled trial demonstrating a clinically relevant treatment effect on serum phosphorus or an effect on the clinical outcome thought to be caused by hyperphosphatemia in CKD patients on dialysis.” There were no safety, clinical pharmacology/biopharmaceutics, chemistry, manufacturing, and controls or non-clinical issues identified in the CRL. We intend to request a Type A meeting as soon as possible to discuss the CRL and determine potential paths forward for the approval of tenapanor for the control of serum phosphorus in adult patients with CKD on dialysis.</w:t>
      </w:r>
    </w:p>
    <w:p>
      <w:pPr>
        <w:spacing w:after="0" w:line="1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exclusive rights to tenapanor in the U.S. and 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18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we reported statistically significant topline efficacy results from our second monotherapy Phase 3 clinical trial, the PHREEDOM trial, which evaluated tenapanor for the control of serum phosphorus in adult patients with CKD on dialysis. The PHREEDOM trial followed a successful monotherapy Phase 3 clinical trial completed in 2017, the BLOCK trial, which achieved statistical significance for the primary endpoint. The only adverse event reported in these Phase 3 trials in greater than 5% of patients was diarrhea, with an incidence rate of 52% in the PHREEDOM trial and 39% in the BLOCK trial, with most incidences in each trial being mild to moderate in nature. PHREEDOM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w:t>
      </w:r>
    </w:p>
    <w:p>
      <w:pPr>
        <w:spacing w:after="0" w:line="19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June 2020, we announced positive results from a planned interim data analysis from our ongoing NORMALIZE extension study evaluating tenapanor, as monotherapy or in combination with sevelamer, to achieve serum phosphorus levels in the normal range (2.5 – 4.5 mg/dL) in patients with CKD on dialysis. The NORMALIZE extension study allowed patients from our PHREEDOM study to continue therapy with tenapanor and enabled those patients in the PHREEDOM safety control arm receiving sevelamer carbonate to transition to tenapanor. The data from the planned interim analysis demonstrated that the use of tenapanor as monotherapy or in combination with sevelamer carbonate produces a significant phosphorus-lowering effect with a mean serum phosphorous reduction of 2.33 mg/dL, from a mean baseline phosphorus of 7.27 mg/dL at the beginning of the PHREEDOM trial to a mean of 4.94 mg/dL at the time of this analysis. Of the 171 patients in this interim analysis who completed up to 9 months of treatment in this extension study, up to 47.4% achieved a normal serum phosphorus level, and of those, the majority were on tenapanor alone or tenapanor with low dose sevelamer of three or fewer sevelamer tablets per day. These data represent a 58% improvement in the rate of patients who achieve a normal serum phosphorus level, as compared to current treatment practice data as reported in the April 2020 Dialysis Outcomes Practice Patterns Study (“DOPPS”) Practice Monitor. The DOPPS data demonstrate that, with currently available treatments, only 30% of patients have serum phosphorous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levels less than 4.6 mg/dL. The only adverse event reported in greater than 5% of patients in NORMALIZE was diarrhea, with an incidence rate of 23.3%.</w:t>
      </w:r>
    </w:p>
    <w:p>
      <w:pPr>
        <w:spacing w:after="0" w:line="25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September 2019, we reported positive results from the AMPLIFY trial, a Phase 3 study evaluating tenapanor in adult patients with CKD on dialysis who had uncontrolled hyperphosphatemia despite phosphate binder treatment. In this trial, approximately twice the number of patients achieved the serum phosphorus treatment goal of less than 5.5 mg/dL with tenapanor and phosphate binders versus phosphate binders alone. The only adverse event with a placebo-adjusted rate greater than 3% was diarrhea, with an incidence rate of 43%, with most being mild to moderate in nature.</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June 2020, our partner KKC, a Japan-based global specialty pharmaceutical company exclusively developing tenapanor in Japan, presented results from a Phase 2 trial of tenapanor at the European Renal Association-European Dialysis and Transplant Association annual meeting (“ERA-EDTA 2020”). The trial was designed to evaluate if, with tenapanor, patients with hyperphosphatemia undergoing hemodialysis could achieve at least a 30% decrease in mean pill burden while maintaining their serum phosphorus level. The study results were statistically significant, with 71.6% (p&lt;0.001) of patients achieving at least a 30% reduction in mean pill burden. The overall mean reduction in phosphate binder usage was 80% (reduction from 14.7 to 3.0 pills per day), while maintaining serum phosphorus control. The mean phosphorus level of patients entering the study on treatment with binders was 5.2 mg/dL at baseline and 4.7 mg/dL at the end of the 26-week study.</w:t>
      </w:r>
    </w:p>
    <w:p>
      <w:pPr>
        <w:spacing w:after="0" w:line="1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Tenapanor is the first therapy for phosphate management that blocks phosphorus absorption at the primary pathway of uptake. It is not a phosphate binder. Tenapanor is a novel, potent, small molecule, that has been shown in phase 3 studies to treat hyperphosphatemia as monotherapy and as a dual mechanism approach.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IBSRELA® (tenapanor) for Irritable Bowel Syndrome with Constipation (IBS-C)</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to the development of tenapanor for hyperphosphatemia, we have developed tenapanor for the treatment of patients with irritable bowel syndrome with constipation (“IBS-C”). In September 2019, we received FDA approval of IBSRELA® (tenapanor) for the treatment of IBS-C in adults. IBS-C is a burdensome gastrointestinal (“GI”) disorder. It is characterized by significant abdominal pain, constipation, straining during bowel movements, bloating and/or gas.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RDX013 Program: Small Molecule for Treating Hyperkalemia</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renin-angiotensin-aldosterone system (“RAAS”) inhibitors. Similar to what we have done with tenapanor in developing a non-binder approach for the treatment of elevated serum phosphate levels, RDX013 is designed to target the underlying biological mechanisms of potassium secretion to lower elevated potassium. While currently available therapies are all ion exchange agents, RDX013 is a first in class approach that exerts its effects by amplifying the underlying pathways of potassium secretion in the colon.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RDX020 Program: Small molecule for Treating Metabolic Acidosis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an ongoing discovery program targeting the inhibition of intestinal bicarbonate exchange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have not generated any revenues from product sales. As of June 30, 2021, we had an accumulated deficit of $633.1 million.</w:t>
      </w:r>
    </w:p>
    <w:p>
      <w:pPr>
        <w:spacing w:after="0" w:line="215"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7"/>
          <w:szCs w:val="17"/>
          <w:color w:val="auto"/>
        </w:rPr>
        <w:t>We expect to continue to incur substantial operating losses for the foreseeable future as a result of costs associated with the following activities: efforts to determine and execute upon the best way to address the deficiencies noted in the CRL regarding our NDA for tenapanor for the control of serum phosphorus in adult patients with CKD on dialysis, and the execution of such; preparing for the potential commercialization of tenapanor, including significantly increased personnel costs associated with our commercial team; the performance of certain activities required as a result of our NDA approval of tenapanor for IBS-C; the continued development of RDX013 and the advancement of our research programs into the preclinical stage. To date, we have funded our operations from the sale and issuance of common stock and convertible preferred stock, funds from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collaboration partnerships, which includes license fees, milestones and product supply revenue, as well as funds from our Loan Agreement with Solar Capital Ltd. and Western Alliance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3"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our ability to successfully prepare for the commercial launch of tenapanor for the control of serum phosphorus in adult patients with CKD on dialysis, including our ability to hire and successfully integrate into the company the new personnel required to prepare for such launch, or our ability to progress our research and development efforts,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“Part II: Other Information-Item 1A.- Risk Factors- Risks Related to Our Business- </w:t>
      </w:r>
      <w:r>
        <w:rPr>
          <w:rFonts w:ascii="Arial" w:cs="Arial" w:eastAsia="Arial" w:hAnsi="Arial"/>
          <w:sz w:val="15"/>
          <w:szCs w:val="15"/>
          <w:i w:val="1"/>
          <w:iCs w:val="1"/>
          <w:color w:val="auto"/>
        </w:rPr>
        <w:t>The ongoing</w:t>
      </w:r>
      <w:r>
        <w:rPr>
          <w:rFonts w:ascii="Arial" w:cs="Arial" w:eastAsia="Arial" w:hAnsi="Arial"/>
          <w:sz w:val="15"/>
          <w:szCs w:val="15"/>
          <w:color w:val="auto"/>
        </w:rPr>
        <w:t xml:space="preserve"> </w:t>
      </w:r>
      <w:r>
        <w:rPr>
          <w:rFonts w:ascii="Arial" w:cs="Arial" w:eastAsia="Arial" w:hAnsi="Arial"/>
          <w:sz w:val="15"/>
          <w:szCs w:val="15"/>
          <w:i w:val="1"/>
          <w:iCs w:val="1"/>
          <w:color w:val="auto"/>
        </w:rPr>
        <w:t>COVID-19 pandemic, or any other outbreak of epidemic diseases, or the perception of their effects, could have a material adverse effect on our business,</w:t>
      </w:r>
    </w:p>
    <w:p>
      <w:pPr>
        <w:spacing w:after="0" w:line="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financial condition, results of operations or cash flows</w:t>
      </w:r>
      <w:r>
        <w:rPr>
          <w:rFonts w:ascii="Arial" w:cs="Arial" w:eastAsia="Arial" w:hAnsi="Arial"/>
          <w:sz w:val="18"/>
          <w:szCs w:val="18"/>
          <w:color w:val="auto"/>
        </w:rPr>
        <w:t>.” As of the date of issuance of this financial report, we are not aware of any specific event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 that would require updates to our estimates and judgments or revisions to the carrying value of our assets or liabilities. These estimates may change as new events occur and additional information is obtained.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discussion and analysis of financial condition and results of operations is based on our condensed financial statements, which have been prepared in accordance with accounting principles generally accepted in the United States.</w:t>
      </w:r>
    </w:p>
    <w:p>
      <w:pPr>
        <w:spacing w:after="0" w:line="18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critical accounting policies that we believe impact significant judgments and estimates used in the preparation of our financial statements presented in</w:t>
      </w: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this report are described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Annual Report on Form 10-K filed with the SEC on March 8, 2021. There have been no significant changes to our critical accounting policies as disclosed in our most recently filed Annual Report on Form 10-K during the three and six months ended June 30,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 xml:space="preserve">A summary of recent accounting pronouncements that we have adopted or may expect to adopt is included in Note 1 – Organization and Basis of Presentation to our condensed financial statements (see Part I, Item 1 </w:t>
      </w:r>
      <w:r>
        <w:rPr>
          <w:rFonts w:ascii="Arial" w:cs="Arial" w:eastAsia="Arial" w:hAnsi="Arial"/>
          <w:sz w:val="15"/>
          <w:szCs w:val="15"/>
          <w:i w:val="1"/>
          <w:iCs w:val="1"/>
          <w:color w:val="auto"/>
        </w:rPr>
        <w:t>Notes to Condensed Financial Statements</w:t>
      </w:r>
      <w:r>
        <w:rPr>
          <w:rFonts w:ascii="Arial" w:cs="Arial" w:eastAsia="Arial" w:hAnsi="Arial"/>
          <w:sz w:val="15"/>
          <w:szCs w:val="15"/>
          <w:color w:val="auto"/>
        </w:rPr>
        <w:t>, of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4"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7"/>
          <w:szCs w:val="17"/>
          <w:color w:val="auto"/>
        </w:rPr>
        <w:t>Our revenue to date has been generated primarily through license, research and development collaborative agreements with various collaboration partners. We have not generated any revenue from commercial product sales. In the future, we may generate revenue from a combination of our own product sales, if regulatory approval is received,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efforts to commercialize tenapanor for such indication; the timing and progress of goods and services provided pursuant to our current or future collaborative partnerships; our or our collaborators’ achievement of preclinical, clinical, regulatory or commercialization milestones, to the extent achieved; the timing and amount of any payments to us relating to the aforementioned milestones; and the extent to which any of our product candidates are approved and successfully commercialized by a collaboration partner. If our current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collaboration partners or any future collaboration partners fail to obtain regulatory approval for tenapanor, our ability to generate future revenue from our product sales or from our collaborative arrangements, and our results of operations and financial position, would be materially and adversely affected. Our past revenue performance is not necessarily indicative of results to be expected in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Cost of revenue currently represents payments due to AstraZeneca, which under the terms of a termination agreement entered into in 2015 is entitled to (i) future royalties at a rate of 10% of net sales of tenapanor or other NHE3 products by us or our licensees, and (ii) 20% of non-royalty revenue received from our collaboration partners should we elect to which we provide rights to develop and commercialize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$11.6 million as cost of revenue under the AZ Termination Agreement since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81" w:lineRule="exact"/>
        <w:rPr>
          <w:sz w:val="20"/>
          <w:szCs w:val="20"/>
          <w:color w:val="auto"/>
        </w:rPr>
      </w:pPr>
    </w:p>
    <w:p>
      <w:pPr>
        <w:jc w:val="both"/>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18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217"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expenses associated with producing tenapanor for the control of serum phosphorus in adult patients with CKD on dialysis prior to FDA approval;</w:t>
      </w:r>
    </w:p>
    <w:p>
      <w:pPr>
        <w:spacing w:after="0" w:line="251" w:lineRule="exact"/>
        <w:rPr>
          <w:rFonts w:ascii="Arial" w:cs="Arial" w:eastAsia="Arial" w:hAnsi="Arial"/>
          <w:sz w:val="15"/>
          <w:szCs w:val="15"/>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costs associated with research, clinical development and regulatory activities;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w:t>
      </w:r>
    </w:p>
    <w:p>
      <w:pPr>
        <w:spacing w:after="0" w:line="21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8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expect to continue to make substantial investments in research and development activities as we further progress the development of tenapanor, particularly if the FDA should require additional clinical trials in connection with our NDA for the control of serum phosphorus in adult patients with CKD on dialysis, RDX013 and our other product candidates, as we advance our research programs into the preclinical stage and as we continue our early stage research. The process of conducting preclinical studies and clinical trials necessary to obtain regulatory approval is costly and time-consuming. On July 28, 2021, we received a CRL from the FDA regarding our NDA for the control of serum phosphorus in adult patients with CKD on dialysis. We intend to request a Type A meeting as soon as possible to discuss the CRL and determine potential paths forward for the approval of tenapanor for the control of serum phosphorus in adult patients with CKD on dialysis. We may not succeed in achieving marketing approval for our product candidates, including tenapanor for the control of serum phosphorus in adult patients with CKD on dialysis. The probability of success of each of the product candidates may be affected by numerous factors, including preclinical data, clinical data, the regulatory process, market acceptance, sufficient third-party coverage or reimbursement, our ability to access capital on acceptable terms, competition, manufacturing capability and commercial viability.</w:t>
      </w:r>
    </w:p>
    <w:p>
      <w:pPr>
        <w:spacing w:after="0" w:line="37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the development of RDX013 or certain of our product candidates through the use of alternative structures.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certain of our executives, our board members, and our finance, legal, business development, market development, commercial and support staff. Other general and administrative expenses include facility related costs and professional fees for legal, accounting and audit, investor relations, other consulting services and allocated facility-related costs not otherwise included in research and development expenses.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in the future primarily because of increased commercial activities, personnel costs and professional fees for services to support the launch and commercialization of tenapanor for the control of serum phosphorus in adult patients with CKD on dialysis.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income, net consists of interest income earned on our cash and cash equivalents and available-for-sale investments, the periodic revaluation of the exit fee related to our loan and currency exchange gains and losses.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3"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results of operations are not necessarily indicative of the results to be expected for the year ending December 31, 2021, for any other interim period, or for any other future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summary of our total revenue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020" w:type="dxa"/>
            <w:vAlign w:val="bottom"/>
            <w:gridSpan w:val="3"/>
          </w:tcPr>
          <w:p>
            <w:pPr>
              <w:jc w:val="center"/>
              <w:ind w:left="312"/>
              <w:spacing w:after="0"/>
              <w:rPr>
                <w:sz w:val="20"/>
                <w:szCs w:val="20"/>
                <w:color w:val="auto"/>
              </w:rPr>
            </w:pPr>
            <w:r>
              <w:rPr>
                <w:rFonts w:ascii="Arial" w:cs="Arial" w:eastAsia="Arial" w:hAnsi="Arial"/>
                <w:sz w:val="18"/>
                <w:szCs w:val="18"/>
                <w:b w:val="1"/>
                <w:bCs w:val="1"/>
                <w:color w:val="auto"/>
                <w:w w:val="87"/>
              </w:rPr>
              <w:t>Change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6"/>
          </w:tcPr>
          <w:p>
            <w:pPr>
              <w:spacing w:after="0"/>
              <w:rPr>
                <w:sz w:val="20"/>
                <w:szCs w:val="20"/>
                <w:color w:val="auto"/>
              </w:rPr>
            </w:pPr>
            <w:r>
              <w:rPr>
                <w:rFonts w:ascii="Arial" w:cs="Arial" w:eastAsia="Arial" w:hAnsi="Arial"/>
                <w:sz w:val="18"/>
                <w:szCs w:val="18"/>
                <w:b w:val="1"/>
                <w:bCs w:val="1"/>
                <w:color w:val="auto"/>
                <w:w w:val="99"/>
              </w:rPr>
              <w:t>Six Months Ended June</w:t>
            </w:r>
          </w:p>
        </w:tc>
        <w:tc>
          <w:tcPr>
            <w:tcW w:w="240" w:type="dxa"/>
            <w:vAlign w:val="bottom"/>
          </w:tcPr>
          <w:p>
            <w:pPr>
              <w:spacing w:after="0"/>
              <w:rPr>
                <w:sz w:val="18"/>
                <w:szCs w:val="18"/>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18"/>
                <w:szCs w:val="18"/>
                <w:color w:val="auto"/>
              </w:rPr>
            </w:pPr>
          </w:p>
        </w:tc>
      </w:tr>
      <w:tr>
        <w:trPr>
          <w:trHeight w:val="225"/>
        </w:trPr>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6"/>
              </w:rPr>
              <w:t>2021 vs. 2020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79"/>
              </w:rPr>
              <w:t>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2021 vs. 2020</w:t>
            </w:r>
          </w:p>
        </w:tc>
      </w:tr>
      <w:tr>
        <w:trPr>
          <w:trHeight w:val="218"/>
        </w:trPr>
        <w:tc>
          <w:tcPr>
            <w:tcW w:w="29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r>
      <w:tr>
        <w:trPr>
          <w:trHeight w:val="218"/>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Collaborative development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r>
      <w:tr>
        <w:trPr>
          <w:trHeight w:val="225"/>
        </w:trPr>
        <w:tc>
          <w:tcPr>
            <w:tcW w:w="2900" w:type="dxa"/>
            <w:vAlign w:val="bottom"/>
          </w:tcPr>
          <w:p>
            <w:pPr>
              <w:ind w:left="20"/>
              <w:spacing w:after="0"/>
              <w:rPr>
                <w:sz w:val="20"/>
                <w:szCs w:val="20"/>
                <w:color w:val="auto"/>
              </w:rPr>
            </w:pPr>
            <w:r>
              <w:rPr>
                <w:rFonts w:ascii="Arial" w:cs="Arial" w:eastAsia="Arial" w:hAnsi="Arial"/>
                <w:sz w:val="18"/>
                <w:szCs w:val="18"/>
                <w:color w:val="auto"/>
              </w:rPr>
              <w:t>Product supply revenue</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(100.0)%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193.0 %</w:t>
            </w:r>
          </w:p>
        </w:tc>
      </w:tr>
      <w:tr>
        <w:trPr>
          <w:trHeight w:val="225"/>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revenue</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608.9 %</w:t>
            </w:r>
          </w:p>
        </w:tc>
      </w:tr>
      <w:tr>
        <w:trPr>
          <w:trHeight w:val="219"/>
        </w:trPr>
        <w:tc>
          <w:tcPr>
            <w:tcW w:w="290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7,895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158.9 %</w:t>
            </w:r>
          </w:p>
        </w:tc>
      </w:tr>
      <w:tr>
        <w:trPr>
          <w:trHeight w:val="20"/>
        </w:trPr>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decrease to total revenues during the three months ended June 30, 2021 as compared to the same period in 2020 is primarily attributable to a $0.7 million development milestone which was achieved and recognized as revenue in the prior year pursuant to the Knight Agreement. There was no comparable revenue during the three months ended June 30, 2021.</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increase to total revenues during the six months ended June 30, 2021 as compared to the same period in 2020 is primarily attributable to a $5.0 million development milestone which we earned during three months ended March 31, 2021 upon the initiation by KKC of phase 3 clinical studies in Japan to evaluate tenapanor for hyperphosphatemia.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24"/>
        </w:trPr>
        <w:tc>
          <w:tcPr>
            <w:tcW w:w="5340" w:type="dxa"/>
            <w:vAlign w:val="bottom"/>
            <w:gridSpan w:val="8"/>
          </w:tcPr>
          <w:p>
            <w:pPr>
              <w:ind w:left="320"/>
              <w:spacing w:after="0"/>
              <w:rPr>
                <w:sz w:val="20"/>
                <w:szCs w:val="20"/>
                <w:color w:val="auto"/>
              </w:rPr>
            </w:pPr>
            <w:r>
              <w:rPr>
                <w:rFonts w:ascii="Arial" w:cs="Arial" w:eastAsia="Arial" w:hAnsi="Arial"/>
                <w:sz w:val="18"/>
                <w:szCs w:val="18"/>
                <w:color w:val="auto"/>
                <w:w w:val="89"/>
              </w:rPr>
              <w:t>Below is a summary of our operating expenses (dollars in thousands):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2"/>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020" w:type="dxa"/>
            <w:vAlign w:val="bottom"/>
            <w:gridSpan w:val="3"/>
          </w:tcPr>
          <w:p>
            <w:pPr>
              <w:jc w:val="center"/>
              <w:ind w:left="352"/>
              <w:spacing w:after="0"/>
              <w:rPr>
                <w:sz w:val="20"/>
                <w:szCs w:val="20"/>
                <w:color w:val="auto"/>
              </w:rPr>
            </w:pPr>
            <w:r>
              <w:rPr>
                <w:rFonts w:ascii="Arial" w:cs="Arial" w:eastAsia="Arial" w:hAnsi="Arial"/>
                <w:sz w:val="18"/>
                <w:szCs w:val="18"/>
                <w:b w:val="1"/>
                <w:bCs w:val="1"/>
                <w:color w:val="auto"/>
                <w:w w:val="87"/>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Six Months Ended June</w:t>
            </w:r>
          </w:p>
        </w:tc>
        <w:tc>
          <w:tcPr>
            <w:tcW w:w="200" w:type="dxa"/>
            <w:vAlign w:val="bottom"/>
          </w:tcPr>
          <w:p>
            <w:pPr>
              <w:spacing w:after="0"/>
              <w:rPr>
                <w:sz w:val="24"/>
                <w:szCs w:val="24"/>
                <w:color w:val="auto"/>
              </w:rPr>
            </w:pPr>
          </w:p>
        </w:tc>
        <w:tc>
          <w:tcPr>
            <w:tcW w:w="1060" w:type="dxa"/>
            <w:vAlign w:val="bottom"/>
            <w:gridSpan w:val="3"/>
          </w:tcPr>
          <w:p>
            <w:pPr>
              <w:ind w:left="44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24"/>
                <w:szCs w:val="24"/>
                <w:color w:val="auto"/>
              </w:rPr>
            </w:pPr>
          </w:p>
        </w:tc>
      </w:tr>
      <w:tr>
        <w:trPr>
          <w:trHeight w:val="225"/>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6"/>
              </w:rPr>
              <w:t>2021 vs. 2020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7"/>
              </w:rPr>
              <w:t>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2021 vs. 2020</w:t>
            </w:r>
          </w:p>
        </w:tc>
      </w:tr>
      <w:tr>
        <w:trPr>
          <w:trHeight w:val="218"/>
        </w:trPr>
        <w:tc>
          <w:tcPr>
            <w:tcW w:w="29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609.2 %</w:t>
            </w:r>
          </w:p>
        </w:tc>
      </w:tr>
      <w:tr>
        <w:trPr>
          <w:trHeight w:val="225"/>
        </w:trPr>
        <w:tc>
          <w:tcPr>
            <w:tcW w:w="2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33.9 %</w:t>
            </w:r>
          </w:p>
        </w:tc>
      </w:tr>
      <w:tr>
        <w:trPr>
          <w:trHeight w:val="225"/>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185.9 %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162.8 %</w:t>
            </w:r>
          </w:p>
        </w:tc>
      </w:tr>
      <w:tr>
        <w:trPr>
          <w:trHeight w:val="219"/>
        </w:trPr>
        <w:tc>
          <w:tcPr>
            <w:tcW w:w="294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46,145</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26,043</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84,732</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49,025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35,707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72.8 %</w:t>
            </w:r>
          </w:p>
        </w:tc>
      </w:tr>
      <w:tr>
        <w:trPr>
          <w:trHeight w:val="20"/>
        </w:trPr>
        <w:tc>
          <w:tcPr>
            <w:tcW w:w="2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incur any cost of revenue under the AZ termination Agreement during the three months ended June 30, 2021.</w:t>
      </w:r>
    </w:p>
    <w:p>
      <w:pPr>
        <w:spacing w:after="0" w:line="21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increase in cost of revenue for the six months ended June 30, 2021 was for payment due to AstraZeneca under the AZ Termination Agreement related to the development milestone we earned upon the initiation by KKC of phase 3 clinical studies in Japan to evaluate tenapanor for hyperphosphatemia.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17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Pr>
          <w:p>
            <w:pPr>
              <w:spacing w:after="0"/>
              <w:rPr>
                <w:sz w:val="17"/>
                <w:szCs w:val="17"/>
                <w:color w:val="auto"/>
              </w:rPr>
            </w:pPr>
          </w:p>
        </w:tc>
        <w:tc>
          <w:tcPr>
            <w:tcW w:w="206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Six Months Ended June</w:t>
            </w:r>
          </w:p>
        </w:tc>
        <w:tc>
          <w:tcPr>
            <w:tcW w:w="200" w:type="dxa"/>
            <w:vAlign w:val="bottom"/>
          </w:tcPr>
          <w:p>
            <w:pPr>
              <w:spacing w:after="0"/>
              <w:rPr>
                <w:sz w:val="17"/>
                <w:szCs w:val="17"/>
                <w:color w:val="auto"/>
              </w:rPr>
            </w:pPr>
          </w:p>
        </w:tc>
        <w:tc>
          <w:tcPr>
            <w:tcW w:w="1060" w:type="dxa"/>
            <w:vAlign w:val="bottom"/>
            <w:gridSpan w:val="3"/>
          </w:tcPr>
          <w:p>
            <w:pPr>
              <w:ind w:left="440"/>
              <w:spacing w:after="0"/>
              <w:rPr>
                <w:sz w:val="20"/>
                <w:szCs w:val="20"/>
                <w:color w:val="auto"/>
              </w:rPr>
            </w:pPr>
            <w:r>
              <w:rPr>
                <w:rFonts w:ascii="Arial" w:cs="Arial" w:eastAsia="Arial" w:hAnsi="Arial"/>
                <w:sz w:val="18"/>
                <w:szCs w:val="18"/>
                <w:b w:val="1"/>
                <w:bCs w:val="1"/>
                <w:color w:val="auto"/>
                <w:w w:val="90"/>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6"/>
              </w:rPr>
              <w:t>2021 vs. 2020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7"/>
              </w:rPr>
              <w:t>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2021 vs. 2020</w:t>
            </w:r>
          </w:p>
        </w:tc>
        <w:tc>
          <w:tcPr>
            <w:tcW w:w="0" w:type="dxa"/>
            <w:vAlign w:val="bottom"/>
          </w:tcPr>
          <w:p>
            <w:pPr>
              <w:spacing w:after="0"/>
              <w:rPr>
                <w:sz w:val="1"/>
                <w:szCs w:val="1"/>
                <w:color w:val="auto"/>
              </w:rPr>
            </w:pPr>
          </w:p>
        </w:tc>
      </w:tr>
      <w:tr>
        <w:trPr>
          <w:trHeight w:val="218"/>
        </w:trPr>
        <w:tc>
          <w:tcPr>
            <w:tcW w:w="29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Facilities, equipment and depreciation</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1197.7 %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876.0 %</w:t>
            </w:r>
          </w:p>
        </w:tc>
        <w:tc>
          <w:tcPr>
            <w:tcW w:w="0" w:type="dxa"/>
            <w:vAlign w:val="bottom"/>
          </w:tcPr>
          <w:p>
            <w:pPr>
              <w:spacing w:after="0"/>
              <w:rPr>
                <w:sz w:val="1"/>
                <w:szCs w:val="1"/>
                <w:color w:val="auto"/>
              </w:rPr>
            </w:pPr>
          </w:p>
        </w:tc>
      </w:tr>
      <w:tr>
        <w:trPr>
          <w:trHeight w:val="154"/>
        </w:trPr>
        <w:tc>
          <w:tcPr>
            <w:tcW w:w="2940" w:type="dxa"/>
            <w:vAlign w:val="bottom"/>
            <w:shd w:val="clear" w:color="auto" w:fill="CCEEFF"/>
          </w:tcPr>
          <w:p>
            <w:pPr>
              <w:ind w:left="120"/>
              <w:spacing w:after="0" w:line="154" w:lineRule="exact"/>
              <w:rPr>
                <w:sz w:val="20"/>
                <w:szCs w:val="20"/>
                <w:color w:val="auto"/>
              </w:rPr>
            </w:pPr>
            <w:r>
              <w:rPr>
                <w:rFonts w:ascii="Arial" w:cs="Arial" w:eastAsia="Arial" w:hAnsi="Arial"/>
                <w:sz w:val="17"/>
                <w:szCs w:val="17"/>
                <w:color w:val="auto"/>
              </w:rPr>
              <w:t>Total research and development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34,708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120"/>
              <w:spacing w:after="0" w:line="198" w:lineRule="exact"/>
              <w:rPr>
                <w:sz w:val="20"/>
                <w:szCs w:val="20"/>
                <w:color w:val="auto"/>
              </w:rPr>
            </w:pPr>
            <w:r>
              <w:rPr>
                <w:rFonts w:ascii="Arial" w:cs="Arial" w:eastAsia="Arial" w:hAnsi="Arial"/>
                <w:sz w:val="18"/>
                <w:szCs w:val="18"/>
                <w:color w:val="auto"/>
              </w:rPr>
              <w:t>expenses</w:t>
            </w: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increase in our external R&amp;D expenses for the three and six months ended June 30, 2021 is primarily the result of clinical study costs from the advancement of our OPTIMIZE study which were partially offset by lower costs for the PHREEDOM clinical study. The increase in our employee-related expenses for the three months ended June 30, 2021 is related to recruiting, compensation and benefits expenses for our research and development workforce.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increase in general and administrative expenses for the three and six months ended June 30, 2021 was primarily due to an increase in costs associated with building and staffing our commercial infrastructure and teams as we prepared for the U.S. launch of tenapanor for the control of serum phosphorus in adult patients with CKD on dialysis. The increase consisted of headcount and related personnel costs and an increase in external spending for disease awareness initiatives, commercial infrastructure and strategy, partially offset by a decrease in stock-based compensation costs related to performance-based restricted stock units.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net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160" w:type="dxa"/>
            <w:vAlign w:val="bottom"/>
            <w:gridSpan w:val="7"/>
          </w:tcPr>
          <w:p>
            <w:pPr>
              <w:ind w:left="320"/>
              <w:spacing w:after="0"/>
              <w:rPr>
                <w:sz w:val="20"/>
                <w:szCs w:val="20"/>
                <w:color w:val="auto"/>
              </w:rPr>
            </w:pPr>
            <w:r>
              <w:rPr>
                <w:rFonts w:ascii="Arial" w:cs="Arial" w:eastAsia="Arial" w:hAnsi="Arial"/>
                <w:sz w:val="18"/>
                <w:szCs w:val="18"/>
                <w:color w:val="auto"/>
                <w:w w:val="89"/>
              </w:rPr>
              <w:t>Below is a summary of our other income, net (dollars in thousands):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1000" w:type="dxa"/>
            <w:vAlign w:val="bottom"/>
            <w:gridSpan w:val="3"/>
          </w:tcPr>
          <w:p>
            <w:pPr>
              <w:jc w:val="center"/>
              <w:ind w:left="252"/>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w w:val="92"/>
              </w:rPr>
              <w:t>Six Months Ended June 30,</w:t>
            </w:r>
          </w:p>
        </w:tc>
        <w:tc>
          <w:tcPr>
            <w:tcW w:w="240" w:type="dxa"/>
            <w:vAlign w:val="bottom"/>
          </w:tcPr>
          <w:p>
            <w:pPr>
              <w:spacing w:after="0"/>
              <w:rPr>
                <w:sz w:val="24"/>
                <w:szCs w:val="24"/>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6"/>
              </w:rPr>
              <w:t>2021 vs. 2020</w:t>
            </w:r>
          </w:p>
        </w:tc>
        <w:tc>
          <w:tcPr>
            <w:tcW w:w="2200" w:type="dxa"/>
            <w:vAlign w:val="bottom"/>
            <w:gridSpan w:val="6"/>
            <w:vMerge w:val="continue"/>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2021 vs. 2020</w:t>
            </w:r>
          </w:p>
        </w:tc>
        <w:tc>
          <w:tcPr>
            <w:tcW w:w="0" w:type="dxa"/>
            <w:vAlign w:val="bottom"/>
          </w:tcPr>
          <w:p>
            <w:pPr>
              <w:spacing w:after="0"/>
              <w:rPr>
                <w:sz w:val="1"/>
                <w:szCs w:val="1"/>
                <w:color w:val="auto"/>
              </w:rPr>
            </w:pPr>
          </w:p>
        </w:tc>
      </w:tr>
      <w:tr>
        <w:trPr>
          <w:trHeight w:val="218"/>
        </w:trPr>
        <w:tc>
          <w:tcPr>
            <w:tcW w:w="29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1"/>
              </w:rPr>
              <w:t>(2,583)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6"/>
              </w:rPr>
              <w:t>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w:t>
            </w: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88"/>
              </w:rPr>
              <w:t>1,230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0"/>
              </w:rPr>
              <w:t>(432)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5"/>
              </w:rPr>
              <w:t>(35.1)%</w:t>
            </w: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91"/>
              </w:rPr>
              <w:t>(1,353)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0"/>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decrease in interest expense for the three and six months ended June 30, 2021 was primarily due to lower interest rates on our variable-rate term loan.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3"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The changes in other income, net for the three and six months ended June 30, 2021 were primarily due to revaluation of our derivative liability related to our term loan agreement following receipt of the FDA CRL on July 28, 2021 in the amount of $0.7 million and decreases in investment income.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Capital Resources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4"/>
        </w:trPr>
        <w:tc>
          <w:tcPr>
            <w:tcW w:w="7220" w:type="dxa"/>
            <w:vAlign w:val="bottom"/>
          </w:tcPr>
          <w:p>
            <w:pPr>
              <w:ind w:left="320"/>
              <w:spacing w:after="0"/>
              <w:rPr>
                <w:sz w:val="20"/>
                <w:szCs w:val="20"/>
                <w:color w:val="auto"/>
              </w:rPr>
            </w:pPr>
            <w:r>
              <w:rPr>
                <w:rFonts w:ascii="Arial" w:cs="Arial" w:eastAsia="Arial" w:hAnsi="Arial"/>
                <w:sz w:val="18"/>
                <w:szCs w:val="18"/>
                <w:color w:val="auto"/>
                <w:w w:val="93"/>
              </w:rPr>
              <w:t>Below is a summary of our cash, cash equivalents and marketable securities (in thousands):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2"/>
        </w:trPr>
        <w:tc>
          <w:tcPr>
            <w:tcW w:w="7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4"/>
                <w:szCs w:val="24"/>
                <w:color w:val="auto"/>
              </w:rPr>
            </w:pPr>
          </w:p>
        </w:tc>
        <w:tc>
          <w:tcPr>
            <w:tcW w:w="1800" w:type="dxa"/>
            <w:vAlign w:val="bottom"/>
          </w:tcPr>
          <w:p>
            <w:pPr>
              <w:jc w:val="right"/>
              <w:ind w:right="192"/>
              <w:spacing w:after="0"/>
              <w:rPr>
                <w:sz w:val="20"/>
                <w:szCs w:val="20"/>
                <w:color w:val="auto"/>
              </w:rPr>
            </w:pPr>
            <w:r>
              <w:rPr>
                <w:rFonts w:ascii="Arial" w:cs="Arial" w:eastAsia="Arial" w:hAnsi="Arial"/>
                <w:sz w:val="18"/>
                <w:szCs w:val="18"/>
                <w:b w:val="1"/>
                <w:bCs w:val="1"/>
                <w:color w:val="auto"/>
                <w:w w:val="92"/>
              </w:rPr>
              <w:t>December 31, 2020</w:t>
            </w:r>
          </w:p>
        </w:tc>
      </w:tr>
      <w:tr>
        <w:trPr>
          <w:trHeight w:val="219"/>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91,032</w:t>
            </w: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Marketable securities - current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85,064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95,452</w:t>
            </w: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 - non-current</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19"/>
        </w:trPr>
        <w:tc>
          <w:tcPr>
            <w:tcW w:w="7220" w:type="dxa"/>
            <w:vAlign w:val="bottom"/>
          </w:tcPr>
          <w:p>
            <w:pPr>
              <w:ind w:left="120"/>
              <w:spacing w:after="0"/>
              <w:rPr>
                <w:sz w:val="20"/>
                <w:szCs w:val="20"/>
                <w:color w:val="auto"/>
              </w:rPr>
            </w:pPr>
            <w:r>
              <w:rPr>
                <w:rFonts w:ascii="Arial" w:cs="Arial" w:eastAsia="Arial" w:hAnsi="Arial"/>
                <w:sz w:val="18"/>
                <w:szCs w:val="18"/>
                <w:color w:val="auto"/>
              </w:rPr>
              <w:t>Total liquid funds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188,598</w:t>
            </w: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2021, we had cash, cash equivalents and marketable securities totaling $171.8 million compared to $188.6 million as of December 31, 2020.</w:t>
      </w:r>
    </w:p>
    <w:p>
      <w:pPr>
        <w:spacing w:after="0" w:line="18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July 2020, we filed a Form S-3 registration statement, which became effective in August 2020,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deemed to be “at the market offerings.” During the three months ended June 30, 2021, we sold 9.0 million shares of our common stock for aggregate gross proceeds of $63.8 million at a weighted average price of $7.10 per share under the Open Market Sales Agreement. In aggregate during the life of the Open Market Sales Agreement, we sold 8.2 million shares of our common stock between the dates of November 13, 2020 through February 19, 2021 and 4.0 million shares between the dates of May 11, 2021 through June 18, 2021 for a cumulative total of 12.2 million shares of our common stock for gross proceeds of $85.4 million at a weighted average sales price of approximately $6.98 per share. Pursuant to the Open Market Sales Agreement, Jefferies, as sales agent, receives a commission of up to 3.0% of the gross sales price for shares of common stock sold under the Open Market Sales Agreement.</w:t>
      </w:r>
    </w:p>
    <w:p>
      <w:pPr>
        <w:spacing w:after="0" w:line="16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primary sources of cash have been from the sale and issuance of common stock (in both public offerings and private placements) and private placements of convertible preferred stock, funds from our collaboration partnerships and funds from our loan agreement. Our primary uses of cash are to fund operating expenses, primarily research and development expenditures and pre-commercial expenses. Cash used to fund operating expenses is impacted by the timing of when we pay these expenses, as reflected in the change in our outstanding accounts payable and accrued expenses.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believe that our existing capital resources as of June 30, 2021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There are numerous risks and uncertainties associated with research, development and commercialization initiatives, and actual results could vary materially as a result of a number of factors, many of which are outside of our control. Failure to raise sufficient capital when needed or generate product revenue will further impact our ability to pursue our business strategies and could require us to further delay, scale back or discontinue one or more of our product development programs, commercialization efforts, or other aspects of our business plans.</w:t>
      </w:r>
    </w:p>
    <w:p>
      <w:pPr>
        <w:spacing w:after="0" w:line="16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July 28, 2021, we received a CRL from the FDA regarding our NDA for the control of serum phosphorus in adult patients with CKD on dialysis in which the FDA noted additional requirements would need to be met in order to obtain approval of tenapanor for the control of serum phosphorus in adult patients with CKD on dialysis. In addition, on July 29, 2021 we entered into a Fourth Amendment to our Term Loan Agreement which extended the period of time that we are permitted to make interest-only payments on the Term Loan to November 1, 2021 and our Board of Directors approved, and on August 2, 2021 we began implementing, a restructuring plan to better align our workforce and anticipated commercial and development spend with our capital resources and the needs of our business following the receipt of the CRL. For additional information see Note 12, Subsequent Events, in the notes to our unaudited condensed financial statements in Part I, Item 1, Notes to Condensed Financial Statements, of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217" w:lineRule="exact"/>
        <w:rPr>
          <w:sz w:val="20"/>
          <w:szCs w:val="20"/>
          <w:color w:val="auto"/>
        </w:rPr>
      </w:pPr>
    </w:p>
    <w:p>
      <w:pPr>
        <w:ind w:left="320" w:hanging="314"/>
        <w:spacing w:after="0" w:line="26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a path to address the deficiencies noted in the CRL regarding our NDA that is achievable in terms of clinical endpoints, time and cost;</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commercialize tenapanor for any approved indication, either alone or with one or more collaboration partners;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tenapanor, if commercialized;</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selling and marketing costs associated with tenapanor, including the cost and timing of maintaining our sales and marketing capabilities;</w:t>
      </w:r>
    </w:p>
    <w:p>
      <w:pPr>
        <w:spacing w:after="0" w:line="228"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17"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264"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payment of interest and principal related to our loan and security agreement entered into with Solar Capital and Western Alliance Bank in May 2018, as amended in October 2020, March 2021, May 2021 and July 2021.</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Please see the risk factors set forth in Part II, Item 1A, Risk Factors, in this Quarterly Report on Form 10-Q for additional risks associated with our capital requirements.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20"/>
                <w:szCs w:val="20"/>
                <w:color w:val="auto"/>
              </w:rPr>
            </w:pPr>
            <w:r>
              <w:rPr>
                <w:rFonts w:ascii="Arial" w:cs="Arial" w:eastAsia="Arial" w:hAnsi="Arial"/>
                <w:sz w:val="18"/>
                <w:szCs w:val="18"/>
                <w:b w:val="1"/>
                <w:bCs w:val="1"/>
                <w:color w:val="auto"/>
              </w:rPr>
              <w:t>CASH FLOW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4"/>
        </w:trPr>
        <w:tc>
          <w:tcPr>
            <w:tcW w:w="7620" w:type="dxa"/>
            <w:vAlign w:val="bottom"/>
          </w:tcPr>
          <w:p>
            <w:pPr>
              <w:ind w:left="320"/>
              <w:spacing w:after="0"/>
              <w:rPr>
                <w:sz w:val="20"/>
                <w:szCs w:val="20"/>
                <w:color w:val="auto"/>
              </w:rPr>
            </w:pPr>
            <w:r>
              <w:rPr>
                <w:rFonts w:ascii="Arial" w:cs="Arial" w:eastAsia="Arial" w:hAnsi="Arial"/>
                <w:sz w:val="18"/>
                <w:szCs w:val="18"/>
                <w:color w:val="auto"/>
              </w:rPr>
              <w:t>The following table summarizes our cash flows (in thousands):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5"/>
        </w:trPr>
        <w:tc>
          <w:tcPr>
            <w:tcW w:w="762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r>
      <w:tr>
        <w:trPr>
          <w:trHeight w:val="219"/>
        </w:trPr>
        <w:tc>
          <w:tcPr>
            <w:tcW w:w="76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(78,493)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(43,968)</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Cash (used in) provided by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(37,466)</w:t>
            </w:r>
          </w:p>
        </w:tc>
      </w:tr>
      <w:tr>
        <w:trPr>
          <w:trHeight w:val="22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19"/>
        </w:trPr>
        <w:tc>
          <w:tcPr>
            <w:tcW w:w="7620" w:type="dxa"/>
            <w:vAlign w:val="bottom"/>
          </w:tcPr>
          <w:p>
            <w:pPr>
              <w:ind w:left="120"/>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(80,639)</w:t>
            </w: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Net cash used in operating activities during the three months ended June 30, 2021 increased by $34.5 million as a result of our increased net loss for the period. The increased net loss was primarily driven by costs associated with building and staffing our commercial infrastructure and teams as we prepare for the U.S. launch of tenapanor for the control of serum phosphorus in adult patients with CKD on dialysis. An increase of $5.2 million of cash used in prepaid expenses and other assets which was primarily for prepayments for raw materials and production of tenapanor also contributed to the increase in net cash used during the three months ended June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Net cash provided by investing activities increased by $48.2 million as our investment maturities increased to fully offset the cost to purchase investments. During the three months ended June 30, 2021, investment purchases exceeded maturities by approximately $37.4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Net cash provided by financing activities increased by $62.7 million due to net proceeds from issuance of our common stock pursuant to the Open Market Sales Agreement, or at-the-market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2021 and 2020, respectively, we did not have any off-balance sheet arrangements as defined in Item 303(a)(4) of Regulation S-K as promulgated by the SEC.</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market risks, including interest rate fluctuation exposure through our investments,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9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of June 30, 2021, we had cash, cash equivalents and marketable securities of $171.8 million,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A-1/P-1,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interest rate fluctuation exposure through our borrowings under the Loan Agreement and our investment in money market accounts which bear a variable interest rate. Borrowings under the Loan Agreement bear interest at a rate equal to one-month London Interbank Offered Rate (“LIBOR”), plus 7.45% per annum. A hypothetical increase in one-month LIBOR of 100 basis points above the current one-month LIBOR rates would have increased our interest expense by approximately $0.3 million for the six months ended June 30, 2021. As of June 30, 2021, we had an aggregate principal amount of $50.0 million outstanding pursuant to our Loan Agreement.</w:t>
      </w:r>
    </w:p>
    <w:p>
      <w:pPr>
        <w:spacing w:after="0" w:line="19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The majority of our transactions are denominated in U.S. dollars. However, we do have certain transactions that are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we had no open forward foreign currency exchange contracts.</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required by Rule 13a-15(b)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13a-15(e) and 15d-15(e) under the Exchange Act) as of June 30, 2021.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June 30, 2021, our disclosure controls and procedures were effective at a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There were no changes in our internal control over financial reporting that occurred during the quarter ended June 30, 2021,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on the design and operating effectiveness of our internal controls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From time to time, we may be involved in legal proceedings arising in the ordinary course of business. As of June 30,</w:t>
      </w:r>
    </w:p>
    <w:p>
      <w:pPr>
        <w:sectPr>
          <w:pgSz w:w="11900" w:h="16838" w:orient="portrait"/>
          <w:cols w:equalWidth="0" w:num="1">
            <w:col w:w="11240"/>
          </w:cols>
          <w:pgMar w:left="320" w:top="33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2021, there is no litigation pending that would reasonably be expected to have a material adverse effect on our results of operations and financial condition, and no contingent liabilities were accrued as of June 30, 2021.</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Our business involves significant risks, some of which are described below. You should carefully consider these risks, as well as other information in this Quarterly Report on Form 10-Q, including our condensed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Many of the following risks and uncertainties are, and will be, exacerbated by the COVID-19 pandemic and any worsening of the global business and economic environment as a result. Additional risks and uncertainties not presently known to us or that we currently deem immaterial may also impair our business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Risks Related to Our Business</w:t>
      </w:r>
    </w:p>
    <w:p>
      <w:pPr>
        <w:spacing w:after="0" w:line="223" w:lineRule="exact"/>
        <w:rPr>
          <w:sz w:val="20"/>
          <w:szCs w:val="20"/>
          <w:color w:val="auto"/>
        </w:rPr>
      </w:pPr>
    </w:p>
    <w:p>
      <w:pPr>
        <w:jc w:val="both"/>
        <w:ind w:left="320" w:hanging="314"/>
        <w:spacing w:after="0" w:line="300" w:lineRule="auto"/>
        <w:tabs>
          <w:tab w:leader="none" w:pos="315"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substantially dependent on the success of our lead product candidate, tenapanor, which may not receive regulatory approval for the control of serum phosphorus in adult patients with CKD on dialysis or for any other related indication (the “Hyperphosphatemia Indication”), and if approved, may not be successfully commercialized for such indication. On July 28, 2021, we received a complete response letter (“CRL”) from the FDA regarding our New Drug Application (“NDA”) for tenapanor for the Hyperphosphatemia Indication. According to the CRL, the FDA has determined that the magnitude of the treatment effect observed in our Phase 3 clinical trials was small and unclear of clinical significance. Additionally, in the CRL, the FDA noted that in order for the NDA to be approved, we will need to conduct an additional adequate and well-controlled trial demonstrating a clinically relevant treatment effect on serum phosphorus or an effect on the clinical outcome thought to be caused by hyperphosphatemia in adult patients with CKD on dialysis. While we intend to request a Type A meeting as soon as possible, there can be no assurances that the Type A meeting will result in a clear path to approval of our NDA that is achievable in terms of clinical endpoints, time or cost. If following the Type A meeting we determine to pursue an additional clinical trial, there can be no assurances that results of the trial will demonstrate a clinically relevant treatment effect, noted by the FDA as being required for approval of the NDA. If we decide to appeal the issuance of the CRL, there can be no assurances that our request for appeal will be granted, or that, if granted, we will be successful in our appeal. As a result, the regulatory approval process for our NDA is highly uncertain. We may not obtain approval at all, and if we are able to obtain approval, the expense and time to do so could adversely impact our ability to successfully commercialize tenapanor for the Hyperphosphatemia Indication, our business and our results of operations.</w:t>
      </w:r>
    </w:p>
    <w:p>
      <w:pPr>
        <w:spacing w:after="0" w:line="377" w:lineRule="exact"/>
        <w:rPr>
          <w:rFonts w:ascii="Arial" w:cs="Arial" w:eastAsia="Arial" w:hAnsi="Arial"/>
          <w:sz w:val="15"/>
          <w:szCs w:val="15"/>
          <w:color w:val="auto"/>
        </w:rPr>
      </w:pPr>
    </w:p>
    <w:p>
      <w:pPr>
        <w:jc w:val="both"/>
        <w:ind w:left="320" w:hanging="314"/>
        <w:spacing w:after="0" w:line="267"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Even if we are successful in obtaining regulatory approval for tenapanor for the Hyperphosphatemia Indication, and tenapanor is ultimately commercialized for such indication or for irritable bowel syndrome (“IBS-C”), tenapanor may never achieve market acceptance, sufficient third-party coverage or reimbursement, or commercial success, which will depend, in part, upon the degree of acceptance among physicians, patients, patient advocacy groups, health care payors and the medical community. Additionally, if the number of patients in the market for the indication for which tenapanor is commercialized or the price that the market can bear is not as significant as we estimate, or if we are not able to secure adequate coverage and reimbursement for tenapanor, we may not generate sufficient revenue from sales of tenapanor.</w:t>
      </w:r>
    </w:p>
    <w:p>
      <w:pPr>
        <w:spacing w:after="0" w:line="179"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and will incur losses in the future, which makes it difficult for us to assess our future viability.</w:t>
      </w:r>
    </w:p>
    <w:p>
      <w:pPr>
        <w:spacing w:after="0" w:line="180" w:lineRule="exact"/>
        <w:rPr>
          <w:rFonts w:ascii="Arial" w:cs="Arial" w:eastAsia="Arial" w:hAnsi="Arial"/>
          <w:sz w:val="18"/>
          <w:szCs w:val="18"/>
          <w:color w:val="auto"/>
        </w:rPr>
      </w:pPr>
    </w:p>
    <w:p>
      <w:pPr>
        <w:jc w:val="both"/>
        <w:ind w:left="320" w:hanging="314"/>
        <w:spacing w:after="0" w:line="268"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never generated any revenue from product sales and may never be profitable. Our ability to generate future revenue from product sales or pursuant to milestone payments is dependent upon many factors, including, but not limited to, obtaining regulatory approvals for tenapanor for the control of serum phosphorus or for any other related indication, and establishing and maintaining supply and manufacturing relationships with third parties that can provide adequate supply of product to support the market demand for tenapanor; and obtaining market acceptance of tenapanor as a viable treatment option for the indications for which it is approved and commercialized.</w:t>
      </w:r>
    </w:p>
    <w:p>
      <w:pPr>
        <w:spacing w:after="0" w:line="180" w:lineRule="exact"/>
        <w:rPr>
          <w:rFonts w:ascii="Arial" w:cs="Arial" w:eastAsia="Arial" w:hAnsi="Arial"/>
          <w:sz w:val="17"/>
          <w:szCs w:val="17"/>
          <w:color w:val="auto"/>
        </w:rPr>
      </w:pPr>
    </w:p>
    <w:p>
      <w:pPr>
        <w:jc w:val="both"/>
        <w:ind w:left="320" w:hanging="314"/>
        <w:spacing w:after="0" w:line="25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the inability to access this necessary capital when needed on acceptable terms, or at all, could force us to delay, limit, reduce or terminate our efforts to obtain approval for tenapanor and our other product development and platform development activities.</w:t>
      </w:r>
    </w:p>
    <w:p>
      <w:pPr>
        <w:spacing w:after="0" w:line="188"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Third-party payor coverage and reimbursement status of newly-approved products are uncertain. Failure to obtain or maintain adequate coverage and reimbursement for tenapanor for any indication for which it is commercialized could limit our ability to market tenapanor for the approved indication and decrease our ability to generate revenue. For example,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320"/>
        <w:spacing w:after="0" w:line="306" w:lineRule="auto"/>
        <w:rPr>
          <w:sz w:val="20"/>
          <w:szCs w:val="20"/>
          <w:color w:val="auto"/>
        </w:rPr>
      </w:pPr>
      <w:r>
        <w:rPr>
          <w:rFonts w:ascii="Arial" w:cs="Arial" w:eastAsia="Arial" w:hAnsi="Arial"/>
          <w:sz w:val="15"/>
          <w:szCs w:val="15"/>
          <w:color w:val="auto"/>
        </w:rPr>
        <w:t>certain policies of the Biden administration with respect to drug pricing or reimbursement may impact our business and industry. While there is significant uncertainty related to the insurance coverage and reimbursement of newly approved products in general in the United States, there is additional uncertainty related to insurance coverage and reimbursement for drugs that are marketed to the CKD on dialysis population, as would be tenapanor, if approved, for the Hyperphosphatemia Indication. If we are successful in obtaining regulatory approval to market tenapanor for the Hyperphosphatemia Indication, our ability to generate and sustain future revenues from sales of tenapanor for such indication, may be dependent upon whether and when tenapanor, along with other oral end-stage renal disease (“ESRD”) related drugs without an injectable or intravenous equivalent, are bundled into the ESRD prospective payment system, and the manner in which such introduction into the ESRD prospective payment system may occur.</w:t>
      </w:r>
    </w:p>
    <w:p>
      <w:pPr>
        <w:spacing w:after="0" w:line="157" w:lineRule="exact"/>
        <w:rPr>
          <w:sz w:val="20"/>
          <w:szCs w:val="20"/>
          <w:color w:val="auto"/>
        </w:rPr>
      </w:pPr>
    </w:p>
    <w:p>
      <w:pPr>
        <w:jc w:val="both"/>
        <w:ind w:left="320" w:hanging="314"/>
        <w:spacing w:after="0" w:line="312" w:lineRule="auto"/>
        <w:tabs>
          <w:tab w:leader="none" w:pos="315"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have hired sales and marketing leadership and employees with technical expertise, and we are required to train, retain and incentivize those sales and marketing personnel. With the issuance of the CRL by the FDA, the regulatory approval process for our NDA is highly uncertain. We plan to request a Type A meeting with the FDA to obtain more clarity on the path forward for tenapanor for the control of serum phosphorus in adult patients with CKD on dialysis. There can be no assurances that we will be successful in retaining our sales and marketing leadership or other key employees through the Type A meeting or thereafter, or that we will be able to replace any such leadership or other sales personnel that may leave the Company.</w:t>
      </w:r>
    </w:p>
    <w:p>
      <w:pPr>
        <w:spacing w:after="0" w:line="150" w:lineRule="exact"/>
        <w:rPr>
          <w:rFonts w:ascii="Arial" w:cs="Arial" w:eastAsia="Arial" w:hAnsi="Arial"/>
          <w:sz w:val="15"/>
          <w:szCs w:val="15"/>
          <w:color w:val="auto"/>
        </w:rPr>
      </w:pPr>
    </w:p>
    <w:p>
      <w:pPr>
        <w:jc w:val="both"/>
        <w:ind w:left="320" w:hanging="314"/>
        <w:spacing w:after="0" w:line="252"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completely on third parties to manufacture tenapanor and our other product candidates. If they are unable to comply with applicable regulatory requirements, unable to source sufficient raw materials, experience manufacturing or distribution difficulties or are otherwise unable to manufacture sufficient quantities to meet demand, our commercialization efforts for any approved product, and our development efforts for tenapanor, RDX013 and our other product candidates may be materially harmed.</w:t>
      </w:r>
    </w:p>
    <w:p>
      <w:pPr>
        <w:spacing w:after="0" w:line="19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develop RDX013 or expand our pipeline of product candidates, as a result of numerous factors, which may include the inability to access capital necessary to fund such efforts on acceptable terms.</w:t>
      </w:r>
    </w:p>
    <w:p>
      <w:pPr>
        <w:spacing w:after="0" w:line="180" w:lineRule="exact"/>
        <w:rPr>
          <w:rFonts w:ascii="Arial" w:cs="Arial" w:eastAsia="Arial" w:hAnsi="Arial"/>
          <w:sz w:val="18"/>
          <w:szCs w:val="18"/>
          <w:color w:val="auto"/>
        </w:rPr>
      </w:pPr>
    </w:p>
    <w:p>
      <w:pPr>
        <w:jc w:val="both"/>
        <w:ind w:left="320" w:hanging="314"/>
        <w:spacing w:after="0" w:line="263"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COVID-19 pandemic continues to rapidly evolve. The extent to which the pandemic may impact our business, manufacturing, preclinical development activities, preclinical studies, planned and ongoing clinical trials, as well as the regulatory process will depend on future developments, which are highly uncertain and cannot be predicted with confidence, such as, the duration of the pandemic, travel restrictions and actions to contain the pandemic or treat its impact, such as social distancing, quarantines or lock-downs in the United States and other countries, business closures or business disruptions and the effectiveness of actions taken in the United States and other countries to contain and treat the disease. Specifically, in order to address the deficiencies noted by the FDA in the CRL, we be required to conduct additional clinical trials, that may be delayed as a result of the restrictions placed on access to dialysis centers during the COVID-19 pandemic. Other potential impacts of the COVID-19 pandemic on our various clinical trials, including our ongoing Phase 2 clinical trial for RDX013,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87" w:lineRule="exact"/>
        <w:rPr>
          <w:rFonts w:ascii="Arial" w:cs="Arial" w:eastAsia="Arial" w:hAnsi="Arial"/>
          <w:sz w:val="17"/>
          <w:szCs w:val="17"/>
          <w:color w:val="auto"/>
        </w:rPr>
      </w:pPr>
    </w:p>
    <w:p>
      <w:pPr>
        <w:ind w:left="320" w:hanging="314"/>
        <w:spacing w:after="0" w:line="294"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7" w:lineRule="exact"/>
        <w:rPr>
          <w:rFonts w:ascii="Arial" w:cs="Arial" w:eastAsia="Arial" w:hAnsi="Arial"/>
          <w:sz w:val="17"/>
          <w:szCs w:val="17"/>
          <w:color w:val="auto"/>
        </w:rPr>
      </w:pPr>
    </w:p>
    <w:p>
      <w:pPr>
        <w:jc w:val="both"/>
        <w:ind w:left="320" w:hanging="314"/>
        <w:spacing w:after="0" w:line="267"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regulatory approval processes of the FDA and comparable foreign authorities are lengthy, time consuming and inherently unpredictable. If we are ultimately unable to obtain regulatory approval for our product candidates, including tenapanor for the control of serum phosphorus, or any related indication, our business will be substantially harmed. 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 In July 2021, we received a CRL from the FDA regarding our NDA for tenapanor for the Hyperphosphatemia Indication. While we intend to request a Type A meeting as soon as possible, there can be no assurances that the Type A meeting with result in a clear path to approval of our NDA that is achievable in terms of clinical endpoints, time and cost.</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continue to incur significant research, development and other expenses related to our ongoing operations. As of June 30, 2021, we had an accumulated deficit of $633.1 million.</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expect to continue to incur substantial operating losses for the foreseeable future as we seek to determine the best way to address the deficiencies noted in the CRL regarding our NDA for tenapanor for the Hyperphosphatemia Indication; prepare for the potential commercialization of, and incur manufacturing and development costs for, tenapanor; commence commercialization of tenapanor for any approved indication; incur development costs for RDX013; and continue our discovery and research activities.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received FDA approval for our NDA for tenapanor for the treatment of IBS-C in adults in September 2019. However, we have not commercialized tenapanor for IBS-C ourselves in the United States and have not entered into a collaboration partnership for such commercialization. We have no other products approved for sale and have received a CRL from the FDA for tenapanor relating to our NDA for the Hyperphosphatemia Indication. There can be no assurances that our NDA for tenapanor for the Hyperphosphatemia Indication will be approved for such indication or any other related indication. We have never generated any revenue from product sales. Our ability to generate revenue from product sales and achieve profitability depends on our ability to obtain such approval by the FDA; our ability to successfully commercialize tenapanor for an approved indication; and the ability of our collaboration partners to obtain regulatory approval to market tenapanor in their respective territories. There can be no assurances that we will generate product revenue from sales of tenapanor, either on our own, or with a collaboration partner. Our ability to generate future revenue from product sales or pursuant to milestone payments depends heavily on many factors, including but not limited to:</w:t>
      </w:r>
    </w:p>
    <w:p>
      <w:pPr>
        <w:spacing w:after="0" w:line="185" w:lineRule="exact"/>
        <w:rPr>
          <w:sz w:val="20"/>
          <w:szCs w:val="20"/>
          <w:color w:val="auto"/>
        </w:rPr>
      </w:pPr>
    </w:p>
    <w:p>
      <w:pPr>
        <w:ind w:left="320" w:hanging="314"/>
        <w:spacing w:after="0" w:line="264"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address the deficiencies noted in the CRL regarding our NDA for the Hyperphosphatemia Indication and obtain regulatory approvals for tenapanor for such indication, either on our own or with one or more collaboration partners;</w:t>
      </w:r>
    </w:p>
    <w:p>
      <w:pPr>
        <w:spacing w:after="0" w:line="180" w:lineRule="exact"/>
        <w:rPr>
          <w:rFonts w:ascii="Arial" w:cs="Arial" w:eastAsia="Arial" w:hAnsi="Arial"/>
          <w:sz w:val="18"/>
          <w:szCs w:val="18"/>
          <w:color w:val="auto"/>
        </w:rPr>
      </w:pPr>
    </w:p>
    <w:p>
      <w:pPr>
        <w:ind w:left="320" w:right="20" w:hanging="314"/>
        <w:spacing w:after="0" w:line="264"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commercialize tenapanor, which has been approved by the FDA for the treatment of IBS-C in adults, and/or tenapanor for the Hyperphosphatemia Indication, if approved, either on our own or with one or more collaboration partners;</w:t>
      </w:r>
    </w:p>
    <w:p>
      <w:pPr>
        <w:spacing w:after="0" w:line="180" w:lineRule="exact"/>
        <w:rPr>
          <w:rFonts w:ascii="Arial" w:cs="Arial" w:eastAsia="Arial" w:hAnsi="Arial"/>
          <w:sz w:val="18"/>
          <w:szCs w:val="18"/>
          <w:color w:val="auto"/>
        </w:rPr>
      </w:pPr>
    </w:p>
    <w:p>
      <w:pPr>
        <w:ind w:left="320" w:hanging="314"/>
        <w:spacing w:after="0" w:line="365" w:lineRule="auto"/>
        <w:tabs>
          <w:tab w:leader="none" w:pos="315" w:val="left"/>
        </w:tabs>
        <w:numPr>
          <w:ilvl w:val="0"/>
          <w:numId w:val="9"/>
        </w:numPr>
        <w:rPr>
          <w:rFonts w:ascii="Arial" w:cs="Arial" w:eastAsia="Arial" w:hAnsi="Arial"/>
          <w:sz w:val="15"/>
          <w:szCs w:val="15"/>
          <w:color w:val="auto"/>
        </w:rPr>
      </w:pPr>
      <w:r>
        <w:rPr>
          <w:rFonts w:ascii="Arial" w:cs="Arial" w:eastAsia="Arial" w:hAnsi="Arial"/>
          <w:sz w:val="15"/>
          <w:szCs w:val="15"/>
          <w:color w:val="auto"/>
        </w:rPr>
        <w:t>establishing and maintaining supply and manufacturing relationships with third parties that can provide an adequate (in amount and quality) supply of product to support the market demand for tenapanor for the treatment of IBS-C, and/or, if approved, tenapanor for the Hyperphosphatemia Indication;</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market acceptance of tenapanor as a viable treatment option for the indications for which it is approved and commercialized;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17"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57" w:lineRule="exact"/>
        <w:rPr>
          <w:rFonts w:ascii="Arial" w:cs="Arial" w:eastAsia="Arial" w:hAnsi="Arial"/>
          <w:sz w:val="17"/>
          <w:szCs w:val="17"/>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44"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In cases where we are successful in obtaining regulatory approvals to market tenapanor for one or more indications, our revenue will be dependent, in part, upon the size of the markets in the territories for which regulatory approval is granted, the breadth of the indication and the label for which approval is granted,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4, Collaboration and Licensing Agreements, in the notes to our financial statements, included in Part II, Item 8, for details on our obligations to AstraZeneca. While there is significant uncertainty related to the insurance coverage and reimbursement of newly approved products in general in the United States, there is additional uncertainty related to insurance coverage and reimbursement for drugs, like tenapanor for the Hyperphosphatemia Indication, which, if approved, will be marketed for the control of serum phosphorus in adult patients with CKD on dialysis or for another other related indication. If we are successful in obtaining regulatory approval to market tenapanor for such indication, our ability to generate and sustain future revenues from sales of tenapanor for such indication, may be dependent upon whether and when tenapanor, along with other oral ESRD related drugs without an injectable or intravenous equivalent, are bundled into the ESRD prospective payment system, and the manner in which such introduction into the ESRD prospective payment system may occur. See “Third-party payor coverage and reimbursement status of newly-approved products is uncertain. Failure to obtain or maintain adequate coverage and reimbursement for our products, if approved, could limit our ability to market those products and decrease our ability to generate revenue” below. Additionally, if the number of patients for the approved indication suitable for tenapanor is not as significant as we estimate, the indication approved by regulatory authorities is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00" w:lineRule="exact"/>
        <w:rPr>
          <w:sz w:val="20"/>
          <w:szCs w:val="20"/>
          <w:color w:val="auto"/>
        </w:rPr>
      </w:pPr>
    </w:p>
    <w:p>
      <w:pPr>
        <w:spacing w:after="0" w:line="20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including our goal of responding to the CRL received from the FDA relating to our NDA for tenapanor for the Hyperphosphatemia Indication and the inability to access this necessary capital when needed on acceptable terms, or at all, could force us to delay, limit, reduce or terminate our efforts to seek and obtain approval for tenapanor for the Hyperphosphatemia Indication, our efforts to commercial tenapanor any approved indications, and our other product development and platform development activities.</w:t>
      </w:r>
    </w:p>
    <w:p>
      <w:pPr>
        <w:spacing w:after="0" w:line="17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tenapanor and developing our proprietary drug discovery and design platform. We believe that we will continue to expend substantial resources for the foreseeable future, including, costs associated with our efforts to address the deficiencies in our NDA for the Hyperphosphatemia Indication noted by the FDA in the CRL, costs associated with the commercialization of tenapanor for any approved indication, research and development, conducting preclinical studies and clinical trials for our other programs, including RDX013, obtaining regulatory approvals, scaling our manufacturing processes for our product candidates and sales and marketing. Because the outcome of any clinical trial and/or regulatory approval process is highly uncertain, we cannot reasonably estimate the actual amounts necessary to address the deficiencies in our NDA for the Hyperphosphatemia Indication noted by the FDA in the CRL. Our future funding requirements will depend on many factors, including, but not limited to:</w:t>
      </w:r>
    </w:p>
    <w:p>
      <w:pPr>
        <w:spacing w:after="0" w:line="181" w:lineRule="exact"/>
        <w:rPr>
          <w:sz w:val="20"/>
          <w:szCs w:val="20"/>
          <w:color w:val="auto"/>
        </w:rPr>
      </w:pPr>
    </w:p>
    <w:p>
      <w:pPr>
        <w:ind w:left="320" w:hanging="314"/>
        <w:spacing w:after="0" w:line="26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 path to address the deficiencies noted in the CRL regarding our NDA that is achievable in terms of clinical endpoints, time and cost;</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tenapanor for any approved indication, either alone or with one or more collaboration partners;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tenapanor, if commercialized;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264"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selling and marketing costs associated with tenapanor, including the cost and timing of maintaining our sales and marketing capabilities;</w:t>
      </w:r>
    </w:p>
    <w:p>
      <w:pPr>
        <w:spacing w:after="0" w:line="228"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17"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8"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of interest and principal related to our loan and security agreement entered into with Solar Capital and Western Alliance Bank in May 2018, as amended in October 2020, March 2021, May 2021 and July 2021.</w:t>
      </w:r>
    </w:p>
    <w:p>
      <w:pPr>
        <w:spacing w:after="0" w:line="20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206"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38"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On May 16, 2018, we entered into a loan and security agreement with Solar Capital, Ltd. and Western Alliance Bank (collectively, the “Lenders”) pursuant to which the Lenders agreed to provide us a $50.0 million term loan facility with a maturity date of November 1, 2022. In each of October 2020, March 2021, May 2021 and July 2021, we entered into an amendment to the loan and security agreement.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are permitted to make interest only payments on the loan facility through December 1, 2021, unless we have not received FDA approval for our NDA for tenapanor for the control of serum phosphorus in adult patients with CKD on dialysis on or before October 25, 2021, in which case, the period in which we are permitted to make interest only payments shall end on November 1, 2021.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the Lenders to accelerate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tenapanor. In July 2021, we received a CRL from the FDA related to our NDA for tenapanor for the control of serum phosphorus in adult patients with CKD on dialysis. We may not receive regulatory approval for tenapanor for such indication, and if approved, we may not be able to successfully commercialize tenapanor for hyperphosphatemia. Although we received marketing approval from the FDA for tenapanor for IBS-C in September 2019, we have not yet commercialized tenapanor for such indication, and should we elect to do so, we may not be successful in such commercialization.</w:t>
      </w:r>
    </w:p>
    <w:p>
      <w:pPr>
        <w:spacing w:after="0" w:line="20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To date, we have invested a significant amount of our efforts and financial resources in the research and development of tenapanor for the Hyperphosphatemia Indication and the IBS-C indication. The commercial success of tenapanor will depend on a number of factors, including whether tenapanor’s safety and efficacy profile is satisfactory to the FDA and foreign regulatory authorities to gain marketing approval for the Hyperphosphatemia Indication. On July 28, 2021, we received a CRL from the FDA regarding our NDA for tenapanor for the Hyperphosphatemia Indication. According to the CRL, the FDA has determined that the magnitude of the treatment effect observed in our Phase 3 clinical trials was small and unclear of clinical significance. Additionally, in the CRL, the FDA noted that in order for the NDA to be approved, we will need to conduct an additional adequate and well-controlled trial demonstrating a clinically relevant treatment effect on serum phosphorus or an effect on the clinical outcome thought to be caused by hyperphosphatemia in adult patients with CKD dialysis. While we intend to request a Type A meeting as soon as possible, there can be no assurances that the Type A meeting with result in a clear path to approval of our NDA that is achievable in terms of clinical endpoints, time and cost. If following the Type A meeting we determine to pursue an additional clinical trial, there can be no assurances that results of the trial will demonstrate a clinically relevant treatment effect, noted by the FDA as being required for approval of the NDA. If we decide to appeal the issuance of the CRL, there can be no assurances that our request for appeal will be granted, or that, if granted, we will be successful in our appeal. As a result, the regulatory approval process for our NDA is highly uncertain. We may not obtain approval at all, and if we are able to obtain approval, the expense and time to do so could adversely impact our ability to successfully commercialize tenapanor for the Hyperphosphatemia Indication, our business and our results of operations. If we are successful in obtaining approval for tenapanor for the Hyperphosphatemia Indication, and tenapanor is commercialized for such indication or for IBS-C, the commercial success of tenapanor will depend on a number of additional factors, including the following:</w:t>
      </w:r>
    </w:p>
    <w:p>
      <w:pPr>
        <w:spacing w:after="0" w:line="381" w:lineRule="exact"/>
        <w:rPr>
          <w:sz w:val="20"/>
          <w:szCs w:val="20"/>
          <w:color w:val="auto"/>
        </w:rPr>
      </w:pPr>
    </w:p>
    <w:p>
      <w:pPr>
        <w:jc w:val="both"/>
        <w:ind w:left="320" w:hanging="314"/>
        <w:spacing w:after="0" w:line="255"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tenapanor for the treatment of IBS-C, and/or if approved, tenapanor for the Hyperphosphatemia Indication, particularly in light of the effects of the COVID-19 pandemic;</w:t>
      </w:r>
    </w:p>
    <w:p>
      <w:pPr>
        <w:spacing w:after="0" w:line="188"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or not the content and breadth of the label approved by the FDA or foreign regulatory authorities may materially and adversely impact our ability or the ability of our collaboration partners to commercialize the product for the approved indication, or for any other indication;</w:t>
      </w:r>
    </w:p>
    <w:p>
      <w:pPr>
        <w:spacing w:after="0" w:line="157"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of any clinical trials we are required to conduct to address the deficiencies noted the CRL for the Hyperphosphatemia Indication, and the timing required to conduct such clinical trials;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tenapanor;</w:t>
      </w:r>
    </w:p>
    <w:p>
      <w:pPr>
        <w:spacing w:after="0" w:line="217"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57" w:lineRule="exact"/>
        <w:rPr>
          <w:rFonts w:ascii="Arial" w:cs="Arial" w:eastAsia="Arial" w:hAnsi="Arial"/>
          <w:sz w:val="17"/>
          <w:szCs w:val="17"/>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tenapanor;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320" w:hanging="314"/>
        <w:spacing w:after="0" w:line="255"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tenapanor as safe, effective and well-tolerated by patients and the medical community, and, with respect to tenapanor for the Hyperphosphatemia Indication, the extent to which the issuance of a CRL by the FDA has impacted the potential acceptance of tenapanor as safe, effective and well-tolerated;</w:t>
      </w:r>
    </w:p>
    <w:p>
      <w:pPr>
        <w:spacing w:after="0" w:line="188" w:lineRule="exact"/>
        <w:rPr>
          <w:rFonts w:ascii="Arial" w:cs="Arial" w:eastAsia="Arial" w:hAnsi="Arial"/>
          <w:sz w:val="18"/>
          <w:szCs w:val="18"/>
          <w:color w:val="auto"/>
        </w:rPr>
      </w:pPr>
    </w:p>
    <w:p>
      <w:pPr>
        <w:ind w:left="320" w:hanging="314"/>
        <w:spacing w:after="0" w:line="365" w:lineRule="auto"/>
        <w:tabs>
          <w:tab w:leader="none" w:pos="315"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alone or with collaboration partners, to manage the complex pricing and reimbursement negotiations associated with marketing the same product at different doses for separate indications for tenapanor for the treatment of IBS-C, and, if approved, for the Hyperphosphatemia Indication;</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availability, perceived advantages, relative cost, relative safety and relative efficacy of tenapanor compared to alternative and competing treatments;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tenapanor by third-party payors;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enforcing intellectual property rights in and to tenapanor;</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tenapanor following approval.</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tenapanor is a first-in-class drug, there is a higher likelihood that approval may not be attained as compared to a class of drugs with approved products. Although tenapanor met the primary endpoints in all of the three Phase 3 clinical trials evaluating tenapanor for the control of serum phosphorus in adult patients with CKD on dialysis, we received a CRL from the FDA in July 2021 indicating that the magnitude of the treatment effect observed in our Phase 3 clinical trials was small and unclear of clinical significance. We intend to request a Type A meeting as soon as possible. However, there can be no assurances that we will receive regulatory approval to market tenapanor for the Hyperphosphatemia Indication. Further, even if approved, it may not be possible to market tenapanor on the basis of certain of the benefits we believe tenapanor possesses. If the number of patients in the market for tenapanor based on the approved indication or the price that the market can bear is not as significant as we estimate, or if we are not able to secure adequate coverage and reimbursement for tenapanor, we may not generate sufficient revenue from sales of tenapanor for the Hyperphosphatemia Indication, if approved, or for IBS-C, if commercialized. There can be no assurance that tenapanor will ever be successfully commercialized or that we will ever generate income from sales of tenapanor. If we are not successful in obtaining approval for tenapanor for the Hyperphosphatemia Indication, or we are not successful in commercializing tenapanor for any approved indication, or are significantly delayed in doing so, our business will be materially harmed.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Even if we determine to commercialize tenapanor for IBS-C, or are successful in obtaining regulatory approval for tenapanor for the Hyperphosphatemia Indication,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Market acceptance of tenapanor for IBS-C and, in the event that marketing approval is obtained, for the Hyperphosphatemia Indication, depends on a number of factors, including:</w:t>
      </w:r>
    </w:p>
    <w:p>
      <w:pPr>
        <w:spacing w:after="0" w:line="181"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breadth and content of the approved label, and the clinical indications for which it is approved;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demonstrated in our clinical trials;</w:t>
      </w:r>
    </w:p>
    <w:p>
      <w:pPr>
        <w:spacing w:after="0" w:line="217" w:lineRule="exact"/>
        <w:rPr>
          <w:rFonts w:ascii="Arial" w:cs="Arial" w:eastAsia="Arial" w:hAnsi="Arial"/>
          <w:sz w:val="18"/>
          <w:szCs w:val="18"/>
          <w:color w:val="auto"/>
        </w:rPr>
      </w:pPr>
    </w:p>
    <w:p>
      <w:pPr>
        <w:ind w:left="320" w:right="20" w:hanging="314"/>
        <w:spacing w:after="0" w:line="294" w:lineRule="auto"/>
        <w:tabs>
          <w:tab w:leader="none" w:pos="3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tenapanor for the Hyperphosphatemia Indication, whether tenapanor, along with other oral only medications, are included in the bundled prospective payment system for the treatment of ESRD patients, and the time and manner in which such transition is achieved;</w:t>
      </w:r>
    </w:p>
    <w:p>
      <w:pPr>
        <w:spacing w:after="0" w:line="157" w:lineRule="exact"/>
        <w:rPr>
          <w:rFonts w:ascii="Arial" w:cs="Arial" w:eastAsia="Arial" w:hAnsi="Arial"/>
          <w:sz w:val="17"/>
          <w:szCs w:val="17"/>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320" w:hanging="314"/>
        <w:spacing w:after="0" w:line="255"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 and, with respect to tenapanor for the Hyperphosphatemia Indication, the extent to which the issuance of a CRL by the FDA has impacted the potential acceptance of tenapanor as safe, effective and well-tolerated;</w:t>
      </w:r>
    </w:p>
    <w:p>
      <w:pPr>
        <w:spacing w:after="0" w:line="188"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potential and perceived advantages of tenapanor over current treatment options or alternative treatments, including future alternative treatments;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 of treatment in relation to alternative treatments and the willingness to pay for tenapanor, if approved, on the part of physicians and patients;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failure of tenapanor to achieve market acceptance, sufficient third-party coverage or reimbursement, or commercial success for any approved indications would adversely affect our results of operations.</w:t>
      </w:r>
    </w:p>
    <w:p>
      <w:pPr>
        <w:spacing w:after="0" w:line="20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We hired sales and marketing leadership and other key employees in anticipation of the receipt of marketing approval by the FDA for tenapanor for the Hyperphosphatemia Indication. If we are not able to redeploy and retain those employees while we seek to address the deficiencies identified by the FDA in the CRL received in July 2021, and we are not able to replace any lost personnel we may not be able to commercialize tenapanor for the Hyperphosphatemia Indication, if approved, or such commercialization may be delayed.</w:t>
      </w:r>
    </w:p>
    <w:p>
      <w:pPr>
        <w:spacing w:after="0" w:line="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If approved, we currently plan to commercialize tenapanor for the Hyperphosphatemia Indication, on our own. We have hired sales leadership and sales employees with technical expertise, and we are required to train, retain and incentivize those sales personnel. Following from the receipt of a CRL from the FDA in July 2021, we executed a reduction in force during which we eliminated a portion of the sales positions that had been filled during the preceding months. Despite the receipt of the CRL and the reduction in force, we continue to employ sales leadership and sales employees with technical expertise. Even if we are successful in addressing the deficiencies noted in the CRL and we obtain regulatory approval to market tenapanor for the Hyperphosphatemia Indication, the commercialization of tenapanor for such indication will be substantially delayed from the time we expected when we hired our sales and marketing leadership and other key employees. There can be no assurances that we will be able to redeploy and retain our existing sales and marketing leadership or other key employees necessary for commercial launch of tenapanor for the Hyperphosphatemia Indication throughout this delay, or that we will be able to replace any such leadership or other sales personnel that may leave the Company. Redeploying, retaining and incentivizing our commercial personnel throughout this period and thereafter will continue to be expensive and time consuming. Even if we are able to redeploy and retain our key sales and marketing leadership during this delay, and tenapanor is approved for the Hyperphosphatemia Indication, we have no prior experience in the marketing, sale and distribution of pharmaceutical products and there are significant risks involved in managing and retaining a sales organization, including our ability to secure the capital necessary to fund such efforts on acceptable terms, provide adequate training to sales and marketing personnel, comply with regulatory requirements applicable to the marketing and sale of drug products and effectively manage a geographically dispersed sales and marketing team.</w:t>
      </w:r>
    </w:p>
    <w:p>
      <w:pPr>
        <w:spacing w:after="0" w:line="200" w:lineRule="exact"/>
        <w:rPr>
          <w:sz w:val="20"/>
          <w:szCs w:val="20"/>
          <w:color w:val="auto"/>
        </w:rPr>
      </w:pPr>
    </w:p>
    <w:p>
      <w:pPr>
        <w:spacing w:after="0" w:line="20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If we fail to redeploy, maintain or replace our internal sales, marketing and distribution capabilities, we may need to delay the commercialization of tenapanor for the Hyperphosphatemia Indication, if approved, or such commercialization could be adversely impacted.</w:t>
      </w:r>
    </w:p>
    <w:p>
      <w:pPr>
        <w:spacing w:after="0" w:line="20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i w:val="1"/>
          <w:iCs w:val="1"/>
          <w:color w:val="auto"/>
        </w:rPr>
        <w:t>Third-party payor coverage and reimbursement status of newly-approved products are uncertain. Failure to obtain or maintain adequate coverage and reimbursement for our products, if approved, could limit our ability to market those products and decrease our ability to generate revenue.</w:t>
      </w:r>
    </w:p>
    <w:p>
      <w:pPr>
        <w:spacing w:after="0" w:line="1"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tenapanor for the Hyperphosphatemia Indication, assuming approval, or tenapanor for IBS-C. In the event that tenapanor is commercialized, sales will depend substantially, both domestically and abroad, on the extent to which the costs of tenapanor will be paid for by health maintenance, managed care, pharmacy benefit, and similar healthcare management organizations, or reimbursed by government authorities, private health</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There is increased uncertainty related to insurance coverage and reimbursement for drugs, like tenapanor for the Hyperphosphatemia Indication, which, if approved, will be marketed for the control of serum phosphorus in adult patients with CKD on dialysis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tenapanor and our business should</w:t>
      </w:r>
    </w:p>
    <w:p>
      <w:pPr>
        <w:spacing w:after="0" w:line="2"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tenapanor be brought into the bundle in 2025, or at any time, we may be unable to sell tenapanor for the Hyperphosphatemia Indication, if approved, to dialysis providers on a profitable basis if third-party payors reduce their current levels of payment, or if our costs of production are higher than levels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necessary for an appropriate gross margin after payment of all discounts, rebates and chargebacks.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21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rely completely on third parties to manufacture tenapanor and our other product candidates. If they are unable to comply with applicable regulatory requirements, unable to source sufficient raw materials, experience manufacturing or distribution difficulties or are otherwise unable to manufacture sufficient quantities to meet demand, our commercialization of tenapanor for any approved indication and our development efforts for tenapanor, RDX013 and our other product candidates may be materially harmed.</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current Good Manufacturing Practice requirements (“cGMPs”), for manufacture of both active drug substances and finished drug products.</w:t>
      </w:r>
    </w:p>
    <w:p>
      <w:pPr>
        <w:spacing w:after="0" w:line="1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tenapanor for the control of serum phosphorus or for another other related indication, if approved, may be materially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may not be successful in our efforts to develop RDX013 or any other product candidates that are at an early stage of development, or expand our pipeline of product candidates, as a result of numerous factors, which may include the inability to access capital necessary to fund such efforts on acceptable terms</w:t>
      </w:r>
      <w:r>
        <w:rPr>
          <w:rFonts w:ascii="Arial" w:cs="Arial" w:eastAsia="Arial" w:hAnsi="Arial"/>
          <w:sz w:val="18"/>
          <w:szCs w:val="18"/>
          <w:color w:val="auto"/>
        </w:rPr>
        <w:t>.</w:t>
      </w:r>
    </w:p>
    <w:p>
      <w:pPr>
        <w:spacing w:after="0" w:line="18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early-stage development programs, there can be no assurance that any product candidates will reach the clinic or be successfully developed or commercialized.</w:t>
      </w:r>
    </w:p>
    <w:p>
      <w:pPr>
        <w:spacing w:after="0" w:line="15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94" w:lineRule="exact"/>
        <w:rPr>
          <w:sz w:val="20"/>
          <w:szCs w:val="20"/>
          <w:color w:val="auto"/>
        </w:rPr>
      </w:pPr>
    </w:p>
    <w:p>
      <w:pPr>
        <w:ind w:left="320" w:hanging="314"/>
        <w:spacing w:after="0" w:line="365" w:lineRule="auto"/>
        <w:tabs>
          <w:tab w:leader="none" w:pos="315"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research methodology used and our drug discovery and design platform may not be successful in identifying potential product candidates;</w:t>
      </w:r>
    </w:p>
    <w:p>
      <w:pPr>
        <w:spacing w:after="0" w:line="228" w:lineRule="exact"/>
        <w:rPr>
          <w:rFonts w:ascii="Arial" w:cs="Arial" w:eastAsia="Arial" w:hAnsi="Arial"/>
          <w:sz w:val="17"/>
          <w:szCs w:val="17"/>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market for a product candidate may change during our program so that the continued development of that product candidate is no longer reasonable;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264"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product candidate may not be accepted as safe, effective and well-tolerated by patients, the medical community or third-party payors, if applicable.</w:t>
      </w:r>
    </w:p>
    <w:p>
      <w:pPr>
        <w:spacing w:after="0" w:line="25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8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including RDX013,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ongoing RDX013 Phase 2 clinical trial or any of our other ongoing clinical trials may be impacted by the COVID-19 pandemic in a number of ways, including delays or difficulties in any planned clinical site initiation, difficulties in obtaining IRB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Furthermore, we could encounter delays if our ongoing RDX013 Phase 2 clinical trial, or any other of our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9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identifying and qualifying patients to participate in our RDX013 Phase 2 clinical trial or any of our other clinical trials is critical to our success. The timing of our clinical trials depends,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our RDX013 Phase 2 clinical trial or any of our other clinical trials may be delayed. These delays could result in increased costs, delays in advancing our development of our product candidates, or termination of the clinical studies altogether. Any of these occurrences may significantly harm our business, financial condition and prospects.</w:t>
      </w:r>
    </w:p>
    <w:p>
      <w:pPr>
        <w:spacing w:after="0" w:line="18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Furthermore, even though we have completed our Phase 3 clinical development program for tenapanor for the control of serum phosphorus, the results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8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7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5"/>
          <w:szCs w:val="15"/>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Despite our receipt of marketing approval for tenapanor for IBS-C in adults and the completion of our Phase 3 clinical program for tenapanor for the Hyperphosphatemia Indication, in the event that future trials conducted by us with tenapanor, or trials we conduct with RDX013 or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RDX013,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36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81"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217" w:lineRule="exact"/>
        <w:rPr>
          <w:rFonts w:ascii="Arial" w:cs="Arial" w:eastAsia="Arial" w:hAnsi="Arial"/>
          <w:sz w:val="18"/>
          <w:szCs w:val="18"/>
          <w:color w:val="auto"/>
        </w:rPr>
      </w:pPr>
    </w:p>
    <w:p>
      <w:pPr>
        <w:jc w:val="both"/>
        <w:ind w:left="320" w:hanging="314"/>
        <w:spacing w:after="0" w:line="318" w:lineRule="auto"/>
        <w:tabs>
          <w:tab w:leader="none" w:pos="315"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45" w:lineRule="exact"/>
        <w:rPr>
          <w:rFonts w:ascii="Arial" w:cs="Arial" w:eastAsia="Arial" w:hAnsi="Arial"/>
          <w:sz w:val="15"/>
          <w:szCs w:val="15"/>
          <w:color w:val="auto"/>
        </w:rPr>
      </w:pPr>
    </w:p>
    <w:p>
      <w:pPr>
        <w:ind w:left="320" w:hanging="314"/>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and our competitors may discover, develop or commercialize products faster or more successfully than us.</w:t>
      </w:r>
    </w:p>
    <w:p>
      <w:pPr>
        <w:spacing w:after="0" w:line="25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example, tenapanor, if approved for the control of serum phosphorus in adult patients with CKD on dialysis or for another related indication, will compete with phosphate binders used for the same or similar indication`. If approved, our label for tenapanor for the control of serum phosphorus may include data comparing the effectiveness of tenapanor to phosphate binders used for the same indication. The various types of phosphate binders commercialized in the United States include the following:</w:t>
      </w:r>
    </w:p>
    <w:p>
      <w:pPr>
        <w:spacing w:after="0" w:line="191"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Calcium carbonate (many over-the-counter brands including Tums and Caltrate);</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Calcium acetate (several prescription brands including PhosLo and Phoslyra);</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Lanthanum carbonate (Fosrenol);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Sevelamer hydrochloride (Renagel);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Sevelamer carbonate (Renvela);</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Sucroferric oxyhydroxide (Velphoro);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Ferric citrate (Auryxia).</w:t>
      </w:r>
    </w:p>
    <w:p>
      <w:pPr>
        <w:spacing w:after="0" w:line="2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All of the phosphate binders listed above are available as generics in the U.S., with the exception of Velphoro and Auryxia. In addition to the currently available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9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It is possible that our competitors' drugs may be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ectPr>
          <w:pgSz w:w="11900" w:h="16838" w:orient="portrait"/>
          <w:cols w:equalWidth="0" w:num="1">
            <w:col w:w="11240"/>
          </w:cols>
          <w:pgMar w:left="320" w:top="33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5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81"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any commercialization activities in which we may engage effectively;</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9"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or co-promote our product candidates.</w:t>
      </w:r>
    </w:p>
    <w:p>
      <w:pPr>
        <w:sectPr>
          <w:pgSz w:w="11900" w:h="16838" w:orient="portrait"/>
          <w:cols w:equalWidth="0" w:num="1">
            <w:col w:w="11240"/>
          </w:cols>
          <w:pgMar w:left="320" w:top="33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retain and motivate our executives, senior management and key personnel, our business will suffer.</w:t>
      </w:r>
    </w:p>
    <w:p>
      <w:pPr>
        <w:spacing w:after="0" w:line="2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research,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15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3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have developed a proprietary drug discovery and design platform integrating our proprietary chemistry capabilities and our APECCs stem cell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9"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5"/>
          <w:szCs w:val="15"/>
          <w:color w:val="auto"/>
        </w:rPr>
        <w:t>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European Economic Area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5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3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and/or of our efforts to commercialize tenapanor for the control of serum phosphorus in adult patients with CKD on dialysis or for another other related indication, if approved. For example, the loss of clinical trial data from completed or ongoing or planned clinical trials could result in delays in our regulatory approval efforts and significantly increase our costs to recover or reproduce the data. In addition, such a breach may require notification to governmental agencies, the media or individuals pursuant to various federal and state privacy and security laws, if applicable, including HIPAA.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38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We have previously identified a material weakness in our internal control over financial reporting.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3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1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94"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7"/>
          <w:szCs w:val="17"/>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KKC for certain research programs and for commercialization of tenapanor for hyperphosphatemia in Japan; with Fosun Pharma for commercialization of tenapanor for hyperphosphatemia and IBS-C in China and related territories; and in Canada with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 We have received a CRL from the FDA regarding our NDA for the Hyperphosphatemia Indication. While we intend to request a Type A meeting as soon as possible, there can be no assurances that the Type A meeting with result in a path to address the deficiencies noted in the CRL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and to obtain approval of our NDA that is achievable in terms of clinical endpoints, time and cost. Even if we are successful in obtaining approval for the NDA, the delay in obtaining such approval will likely result in delay in the regulatory process for our partners, which could have a material adverse effect on our business and results of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ongoing COVID-19 pandemic, or any other outbreak of epidemic diseases, or the perception of their effects, could have a material adverse effect on our business, financial condition, results of operations or cash flows.</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Outbreaks of epidemic, pandemic, or contagious diseases, such as the current novel coronavirus (“COVID-19”) pandemic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 suppliers or contract manufacturers. Any disruption of our clinical trial operations, collaboration partners, suppliers or contract manufacturers could adversely impact our operating results.</w:t>
      </w:r>
    </w:p>
    <w:p>
      <w:pPr>
        <w:spacing w:after="0" w:line="19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Economic and health conditions related to the COVID-19 pandemic in the United States and across most of the globe remain uncertain and continue to evolve. While at this point, the extent to which the coronavirus outbreak may impact our results is uncertain, it could result in delays in the manufacture of tenapanor, or in the delivery of key intermediates or raw materials required to manufacture tenapanor or delays in clinical development activities by us, or our collaboration partners. It could also materially and negatively impact our ability, either alone, or with a collaboration partner, to successfully commercialize tenapanor, if approved for marketing and sale by the FDA or foreign regulatory authorities, including our ability to educate physicians and patients about the benefits, administration and use of tenapanor.</w:t>
      </w:r>
    </w:p>
    <w:p>
      <w:pPr>
        <w:spacing w:after="0" w:line="196" w:lineRule="exact"/>
        <w:rPr>
          <w:sz w:val="20"/>
          <w:szCs w:val="20"/>
          <w:color w:val="auto"/>
        </w:rPr>
      </w:pPr>
    </w:p>
    <w:p>
      <w:pPr>
        <w:ind w:left="320" w:hanging="314"/>
        <w:spacing w:after="0" w:line="264"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the COVID-19 pandemic, we may also experience disruptions that could severely impact our business, preclinical studies and clinical trials, including:</w:t>
      </w:r>
    </w:p>
    <w:p>
      <w:pPr>
        <w:spacing w:after="0" w:line="180" w:lineRule="exact"/>
        <w:rPr>
          <w:rFonts w:ascii="Arial" w:cs="Arial" w:eastAsia="Arial" w:hAnsi="Arial"/>
          <w:sz w:val="18"/>
          <w:szCs w:val="18"/>
          <w:color w:val="auto"/>
        </w:rPr>
      </w:pPr>
    </w:p>
    <w:p>
      <w:pPr>
        <w:jc w:val="both"/>
        <w:ind w:left="320" w:hanging="314"/>
        <w:spacing w:after="0" w:line="267" w:lineRule="auto"/>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While our Phase 3 clinical development of tenapanor for the control of serum phosphorus in adult patients with CKD on dialysis is complete, we have ongoing and planned clinical trials for tenapanor and an ongoing Phase 2 clinical trial for RDX013, any of which may be delayed as a result the COVID-19 outbreak. Other potential impacts of the COVID-19 pandemic on our various clinical trials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79" w:lineRule="exact"/>
        <w:rPr>
          <w:rFonts w:ascii="Arial" w:cs="Arial" w:eastAsia="Arial" w:hAnsi="Arial"/>
          <w:sz w:val="17"/>
          <w:szCs w:val="17"/>
          <w:color w:val="auto"/>
        </w:rPr>
      </w:pPr>
    </w:p>
    <w:p>
      <w:pPr>
        <w:jc w:val="both"/>
        <w:ind w:left="320" w:hanging="314"/>
        <w:spacing w:after="0" w:line="312" w:lineRule="auto"/>
        <w:tabs>
          <w:tab w:leader="none" w:pos="315"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have limited the use of our offices to essential employees and requested that most of our personnel, including all of our administrative employees, work remotely. We have restricted on-site staff to only those personnel and contractors who must perform essential activities that must be completed on-site and limited the number of staff in our research laboratories. The COVID-19 pandemic could disrupt our ability to secure supplies for our facilities and to provide personal protective equipment for our employees. The safety, health and well-being of our workforce is of primary concern and we may need to enact further precautionary measures to help minimize the risk of our employees being exposed to the novel coronavirus.</w:t>
      </w:r>
    </w:p>
    <w:p>
      <w:pPr>
        <w:spacing w:after="0" w:line="150" w:lineRule="exact"/>
        <w:rPr>
          <w:rFonts w:ascii="Arial" w:cs="Arial" w:eastAsia="Arial" w:hAnsi="Arial"/>
          <w:sz w:val="15"/>
          <w:szCs w:val="15"/>
          <w:color w:val="auto"/>
        </w:rPr>
      </w:pPr>
    </w:p>
    <w:p>
      <w:pPr>
        <w:jc w:val="both"/>
        <w:ind w:left="320" w:hanging="314"/>
        <w:spacing w:after="0" w:line="271" w:lineRule="auto"/>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increased reliance on personnel working from home may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177"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and comparable foreign regulatory agencies may continue to experience operational interruptions or delays, which may impact timelines for regulatory submission, trial initiation and regulatory approval.</w:t>
      </w:r>
    </w:p>
    <w:p>
      <w:pPr>
        <w:spacing w:after="0" w:line="18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COVID-19 outbreak continues to rapidly evolve. The extent to which the outbreak may impact our business, manufacturing, preclinical development activities, preclinical studies and planned clinical trials will depend on future developments, which are highly uncertain and cannot be predicted with confidence, such as the ultimate geographic spread of COVID-19,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5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and/or the development of RDX013 or certain of our other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95" w:lineRule="exact"/>
        <w:rPr>
          <w:sz w:val="20"/>
          <w:szCs w:val="20"/>
          <w:color w:val="auto"/>
        </w:rPr>
      </w:pPr>
    </w:p>
    <w:p>
      <w:pPr>
        <w:ind w:left="320" w:hanging="314"/>
        <w:spacing w:after="0" w:line="264" w:lineRule="auto"/>
        <w:tabs>
          <w:tab w:leader="none" w:pos="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228" w:lineRule="exact"/>
        <w:rPr>
          <w:rFonts w:ascii="Arial" w:cs="Arial" w:eastAsia="Arial" w:hAnsi="Arial"/>
          <w:sz w:val="17"/>
          <w:szCs w:val="17"/>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91"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17" w:lineRule="exact"/>
        <w:rPr>
          <w:rFonts w:ascii="Arial" w:cs="Arial" w:eastAsia="Arial" w:hAnsi="Arial"/>
          <w:sz w:val="18"/>
          <w:szCs w:val="18"/>
          <w:color w:val="auto"/>
        </w:rPr>
      </w:pPr>
    </w:p>
    <w:p>
      <w:pPr>
        <w:ind w:left="320" w:right="20" w:hanging="314"/>
        <w:spacing w:after="0" w:line="264"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8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dual headquarters and one of our facilities is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8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3"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51" w:lineRule="exact"/>
        <w:rPr>
          <w:sz w:val="20"/>
          <w:szCs w:val="20"/>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approve pending NDAs or supplements to approved NDAs.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8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on July 28, 2021, we received a CRL from the FDA regarding our NDA for tenapanor for the Hyperphosphatemia Indication. According to the CRL, the FDA has determined that the magnitude of the treatment effect observed in our Phase 3 clinical trials was small and unclear of clinical significance. Additionally, in the CRL, the FDA noted that in order for the NDA to be approved, we will need to conduct an additional adequate and well-controlled trial demonstrating a clinically relevant treatment effect on serum phosphorus or an effect on the clinical outcome thought to be caused by hyperphosphatemia in adult patients with CKD on dialysis. While we intend to request a Type A meeting as soon as possible, there can be no assurances that the Type A meeting with result in a path to address the deficiencies noted in the CRL and to approval of our NDA that is achievable in terms of clinical endpoints, time and cost. If following the Type A meeting we determine to pursue an additional clinical trial, there can be no assurances that results of the trial will demonstrate a clinically relevant treatment effect, noted by the FDA as being required for approval of the NDA. If we decide to appeal the issuance of the CRL, there can be no assurances that our request for appeal will be granted, or that, if granted, we will be successful in our appeal. As a result, the regulatory approval process for our NDA is highly uncertain. We may not obtain approval at all, and if we are able to obtain approval, the expense and time to do so could adversely impact our ability to successfully commercialize tenapanor for the Hyperphosphatemia Indication, our business and our results of operations. Finally, approval policies, regulations or the type and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229" w:lineRule="exact"/>
        <w:rPr>
          <w:sz w:val="20"/>
          <w:szCs w:val="20"/>
          <w:color w:val="auto"/>
        </w:rPr>
      </w:pPr>
    </w:p>
    <w:p>
      <w:pPr>
        <w:ind w:left="320" w:hanging="314"/>
        <w:spacing w:after="0" w:line="264"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interpretation of data from preclinical studies or clinical studies;</w:t>
      </w:r>
    </w:p>
    <w:p>
      <w:pPr>
        <w:spacing w:after="0" w:line="228"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 NDA or other submission or to obtain regulatory approval in the United States or elsewhere;</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9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Even if a drug is approved by the FDA or foreign regulatory authorities, the manufacturing processes, labeling, packaging, distribution, pharmacovigilance,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product’s approved label. As such, we may not promote our products for indications or uses for which they do not have FDA approval.</w:t>
      </w:r>
    </w:p>
    <w:p>
      <w:pPr>
        <w:spacing w:after="0" w:line="21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57"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or untitled letters, fines or holds on clinical trials;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the product, withdrawal of the product from the market or voluntary or mandatory product recalls;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the results of the 2020 President election may impact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Orders will be implemented, or whether they will be rescinded or replaced under a Biden Administration. The policies and priorities of an incoming administration are unknown, and could materially impact the regulatory framework governing our products.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shutdown occurs, it could significantly impact the ability of the FDA to timely review and process our regulatory submissions, which could have a material adverse effect on our business.</w:t>
      </w:r>
    </w:p>
    <w:p>
      <w:pPr>
        <w:spacing w:after="0" w:line="18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7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5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37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are implementing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8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37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Tenapanor, which has been approved by the FDA for the treatment of IBS-C in adults, and/or RDX013, and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8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8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8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71" w:lineRule="exact"/>
        <w:rPr>
          <w:sz w:val="20"/>
          <w:szCs w:val="20"/>
          <w:color w:val="auto"/>
        </w:rPr>
      </w:pPr>
    </w:p>
    <w:p>
      <w:pPr>
        <w:jc w:val="both"/>
        <w:ind w:left="320" w:hanging="314"/>
        <w:spacing w:after="0" w:line="271" w:lineRule="auto"/>
        <w:tabs>
          <w:tab w:leader="none" w:pos="3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77"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color w:val="auto"/>
        </w:rPr>
        <w:t>addition, the government may assert that a claim including items or services resulting from a violation of the federal Anti-Kickback Statute constitutes a false or fraudulent claim for purposes of the false claims statutes;</w:t>
      </w:r>
    </w:p>
    <w:p>
      <w:pPr>
        <w:spacing w:after="0" w:line="181" w:lineRule="exact"/>
        <w:rPr>
          <w:sz w:val="20"/>
          <w:szCs w:val="20"/>
          <w:color w:val="auto"/>
        </w:rPr>
      </w:pPr>
    </w:p>
    <w:p>
      <w:pPr>
        <w:jc w:val="both"/>
        <w:ind w:left="320" w:hanging="314"/>
        <w:spacing w:after="0" w:line="255"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8"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188" w:lineRule="exact"/>
        <w:rPr>
          <w:rFonts w:ascii="Arial" w:cs="Arial" w:eastAsia="Arial" w:hAnsi="Arial"/>
          <w:sz w:val="18"/>
          <w:szCs w:val="18"/>
          <w:color w:val="auto"/>
        </w:rPr>
      </w:pPr>
    </w:p>
    <w:p>
      <w:pPr>
        <w:jc w:val="both"/>
        <w:ind w:left="320" w:hanging="314"/>
        <w:spacing w:after="0" w:line="330" w:lineRule="auto"/>
        <w:tabs>
          <w:tab w:leader="none" w:pos="315"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federal physician sunshine requirements under the ACA, which requires manufacturers of drugs, devices, biologics, and medical supplies to report annually to CMS information related to payments and other transfers of value to physicians, certain other healthcare providers beginning in 2022, and teaching hospitals, and ownership and investment interests held by physicians and other healthcare providers and their immediate family members;</w:t>
      </w:r>
    </w:p>
    <w:p>
      <w:pPr>
        <w:spacing w:after="0" w:line="136" w:lineRule="exact"/>
        <w:rPr>
          <w:rFonts w:ascii="Arial" w:cs="Arial" w:eastAsia="Arial" w:hAnsi="Arial"/>
          <w:sz w:val="15"/>
          <w:szCs w:val="15"/>
          <w:color w:val="auto"/>
        </w:rPr>
      </w:pPr>
    </w:p>
    <w:p>
      <w:pPr>
        <w:ind w:left="320" w:hanging="314"/>
        <w:spacing w:after="0" w:line="264"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80"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88"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81"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96" w:lineRule="exact"/>
        <w:rPr>
          <w:sz w:val="20"/>
          <w:szCs w:val="20"/>
          <w:color w:val="auto"/>
        </w:rPr>
      </w:pPr>
    </w:p>
    <w:p>
      <w:pPr>
        <w:ind w:left="320" w:hanging="314"/>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addition, the full impact of recent healthcare reform and other changes in the healthcare industry and in healthcare spending is currently unknown, and may adversely affect our business model.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5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Since its enactment, there have been judicial, executive and Congressional challenges to certain aspects of the ACA. By way of example, the Tax Cuts and Jobs Act of 2017 included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Supreme Court heard argument on this case on November 10, 2020. On February 10, 2021, the Department of Justice notified the Court of the federal government’s change in position from that presented in its brief on the merits filed in the case. It is unclear how the Supreme Court will rule. It is also unclear how other efforts, if any, to challenge, repeal, or replace the ACA will impact the ACA or our business.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37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Other legislative changes have been proposed and adopted in the United States since the ACA was enacted. These new laws, among other things, included aggregate reductions of Medicare payments of 2% per fiscal year to providers that will remain in effect through 2030, with the exception of a temporary suspension from May 1, 2020 through December 31, 2020,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3"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3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9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38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delays in our clinical trials, the period of time during which we or our collaboration partners could market tenapanor or other product candidates under patent protection would be reduced.</w:t>
      </w:r>
    </w:p>
    <w:p>
      <w:pPr>
        <w:spacing w:after="0" w:line="18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8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7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8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be volatile and our stockholders may not be able to resell shares of our common stock at or above the price they paid.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81"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of regulatory decisions regarding our NDA seeking marketing approval for tenapanor for the the Hyperphosphatemia Indication;</w:t>
      </w:r>
    </w:p>
    <w:p>
      <w:pPr>
        <w:spacing w:after="0" w:line="228" w:lineRule="exact"/>
        <w:rPr>
          <w:rFonts w:ascii="Arial" w:cs="Arial" w:eastAsia="Arial" w:hAnsi="Arial"/>
          <w:sz w:val="17"/>
          <w:szCs w:val="17"/>
          <w:color w:val="auto"/>
        </w:rPr>
      </w:pPr>
    </w:p>
    <w:p>
      <w:pPr>
        <w:ind w:left="320" w:hanging="314"/>
        <w:spacing w:after="0" w:line="264"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contract manufacturing organizations, or specific label restrictions or patient populations for tenapanor’s use, or changes or delays in the regulatory review process;</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regarding whether tenapanor, alone or with other oral only medications, will be included in the bundled prospective payment system for the treatment of ESRD patients, and the time and manner in which such transition is achieved;</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from, or any delays in, our RDX013 Phase 2 clinical trial;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approved products or our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failure to meet any of our projected timelines or goals with regard to the clinical development and commercialization of any of our product candidates;</w:t>
      </w:r>
    </w:p>
    <w:p>
      <w:pPr>
        <w:spacing w:after="0" w:line="251" w:lineRule="exact"/>
        <w:rPr>
          <w:rFonts w:ascii="Arial" w:cs="Arial" w:eastAsia="Arial" w:hAnsi="Arial"/>
          <w:sz w:val="15"/>
          <w:szCs w:val="15"/>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8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Based on the number of shares outstanding as of June 30, 2021, our officers, directors and stockholders who hold at least 5% of our stock together beneficially own approximately 39.2%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June 30, 2021, we had approximately 103.0 million shares of common stock outstanding. Of those shares, approximately 37.4 million were held by current directors, executive officers and stockholders owning 5% or more of our outstanding common stock.</w:t>
      </w:r>
    </w:p>
    <w:p>
      <w:pPr>
        <w:spacing w:after="0" w:line="17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June 30, 2021, 1.2 million shares of common stock issuable upon vesting of outstanding restricted stock units and approximately 12.5 million shares of common stock issuable upon exercise of outstanding options were eligible for sale in the public market to the extent permitted by the provisions of the applicable vesting schedules, and Rule 144 and Rule 701 under the Securities Act. If these additional shares of common stock are issued and sold, or if it is perceived that they will be sold, in the public market, the trading price of our common stock could decline.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25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require, among other things, our management to report on the effectiveness of our internal control over financial reporting. Our compliance with Section 404 requires that we incur substantial expense and expend significant management efforts.</w:t>
      </w:r>
    </w:p>
    <w:p>
      <w:pPr>
        <w:spacing w:after="0" w:line="18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5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88" w:lineRule="exact"/>
        <w:rPr>
          <w:sz w:val="20"/>
          <w:szCs w:val="20"/>
          <w:color w:val="auto"/>
        </w:rPr>
      </w:pPr>
    </w:p>
    <w:p>
      <w:pPr>
        <w:ind w:left="320" w:hanging="314"/>
        <w:spacing w:after="0" w:line="264"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264"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80" w:lineRule="exact"/>
        <w:rPr>
          <w:rFonts w:ascii="Arial" w:cs="Arial" w:eastAsia="Arial" w:hAnsi="Arial"/>
          <w:sz w:val="18"/>
          <w:szCs w:val="18"/>
          <w:color w:val="auto"/>
        </w:rPr>
      </w:pPr>
    </w:p>
    <w:p>
      <w:pPr>
        <w:ind w:left="320" w:hanging="314"/>
        <w:spacing w:after="0" w:line="365" w:lineRule="auto"/>
        <w:tabs>
          <w:tab w:leader="none" w:pos="315"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11" w:lineRule="exact"/>
        <w:rPr>
          <w:rFonts w:ascii="Arial" w:cs="Arial" w:eastAsia="Arial" w:hAnsi="Arial"/>
          <w:sz w:val="15"/>
          <w:szCs w:val="15"/>
          <w:color w:val="auto"/>
        </w:rPr>
      </w:pPr>
    </w:p>
    <w:p>
      <w:pPr>
        <w:ind w:left="320" w:hanging="314"/>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17"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51" w:lineRule="exact"/>
        <w:rPr>
          <w:rFonts w:ascii="Arial" w:cs="Arial" w:eastAsia="Arial" w:hAnsi="Arial"/>
          <w:sz w:val="15"/>
          <w:szCs w:val="15"/>
          <w:color w:val="auto"/>
        </w:rPr>
      </w:pPr>
    </w:p>
    <w:p>
      <w:pPr>
        <w:jc w:val="both"/>
        <w:ind w:left="320" w:hanging="314"/>
        <w:spacing w:after="0" w:line="255"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8" w:lineRule="exact"/>
        <w:rPr>
          <w:rFonts w:ascii="Arial" w:cs="Arial" w:eastAsia="Arial" w:hAnsi="Arial"/>
          <w:sz w:val="18"/>
          <w:szCs w:val="18"/>
          <w:color w:val="auto"/>
        </w:rPr>
      </w:pPr>
    </w:p>
    <w:p>
      <w:pPr>
        <w:jc w:val="both"/>
        <w:ind w:left="320" w:hanging="314"/>
        <w:spacing w:after="0" w:line="255"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81" w:lineRule="exact"/>
        <w:rPr>
          <w:sz w:val="20"/>
          <w:szCs w:val="20"/>
          <w:color w:val="auto"/>
        </w:rPr>
      </w:pPr>
    </w:p>
    <w:p>
      <w:pPr>
        <w:jc w:val="both"/>
        <w:ind w:left="320" w:hanging="314"/>
        <w:spacing w:after="0" w:line="252"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90" w:lineRule="exact"/>
        <w:rPr>
          <w:rFonts w:ascii="Arial" w:cs="Arial" w:eastAsia="Arial" w:hAnsi="Arial"/>
          <w:sz w:val="18"/>
          <w:szCs w:val="18"/>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217" w:lineRule="exact"/>
        <w:rPr>
          <w:rFonts w:ascii="Arial" w:cs="Arial" w:eastAsia="Arial" w:hAnsi="Arial"/>
          <w:sz w:val="18"/>
          <w:szCs w:val="18"/>
          <w:color w:val="auto"/>
        </w:rPr>
      </w:pPr>
    </w:p>
    <w:p>
      <w:pPr>
        <w:ind w:left="320" w:hanging="314"/>
        <w:spacing w:after="0" w:line="294" w:lineRule="auto"/>
        <w:tabs>
          <w:tab w:leader="none" w:pos="3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4"/>
        <w:spacing w:after="0" w:line="365" w:lineRule="auto"/>
        <w:tabs>
          <w:tab w:leader="none" w:pos="315"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111" w:lineRule="exact"/>
        <w:rPr>
          <w:rFonts w:ascii="Arial" w:cs="Arial" w:eastAsia="Arial" w:hAnsi="Arial"/>
          <w:sz w:val="15"/>
          <w:szCs w:val="15"/>
          <w:color w:val="auto"/>
        </w:rPr>
      </w:pPr>
    </w:p>
    <w:p>
      <w:pPr>
        <w:ind w:left="320" w:hanging="314"/>
        <w:spacing w:after="0" w:line="264"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80" w:lineRule="exact"/>
        <w:rPr>
          <w:rFonts w:ascii="Arial" w:cs="Arial" w:eastAsia="Arial" w:hAnsi="Arial"/>
          <w:sz w:val="18"/>
          <w:szCs w:val="18"/>
          <w:color w:val="auto"/>
        </w:rPr>
      </w:pPr>
    </w:p>
    <w:p>
      <w:pPr>
        <w:ind w:left="320" w:hanging="314"/>
        <w:spacing w:after="0" w:line="264"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8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8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1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Effective May 16, 2018, we entered into a loan and security agreement (as amended on October 9, 2020, March 1, 2021, May 5, 2021, and July 29, 2021) pursuant to which the Lenders agreed to provide us a $50.0 million term loan facility. Covenants in the loan and security agreement limit our ability to pay dividends or make other distributions. For additional information refer to “NOTE 5. BORROWING” in the notes to our unaudited condensed financial statements in Part I, Item 1, </w:t>
      </w:r>
      <w:r>
        <w:rPr>
          <w:rFonts w:ascii="Arial" w:cs="Arial" w:eastAsia="Arial" w:hAnsi="Arial"/>
          <w:sz w:val="17"/>
          <w:szCs w:val="17"/>
          <w:i w:val="1"/>
          <w:iCs w:val="1"/>
          <w:color w:val="auto"/>
        </w:rPr>
        <w:t>Notes to Condensed Financial Statements</w:t>
      </w:r>
      <w:r>
        <w:rPr>
          <w:rFonts w:ascii="Arial" w:cs="Arial" w:eastAsia="Arial" w:hAnsi="Arial"/>
          <w:sz w:val="17"/>
          <w:szCs w:val="17"/>
          <w:color w:val="auto"/>
        </w:rPr>
        <w:t>,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None.</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0" w:type="dxa"/>
            <w:vAlign w:val="bottom"/>
            <w:tcBorders>
              <w:top w:val="single" w:sz="8" w:color="auto"/>
            </w:tcBorders>
            <w:gridSpan w:val="8"/>
          </w:tcPr>
          <w:p>
            <w:pPr>
              <w:spacing w:after="0"/>
              <w:rPr>
                <w:rFonts w:ascii="Arial" w:cs="Arial" w:eastAsia="Arial" w:hAnsi="Arial"/>
                <w:sz w:val="18"/>
                <w:szCs w:val="18"/>
                <w:color w:val="0000FF"/>
                <w:w w:val="94"/>
              </w:rPr>
            </w:pPr>
            <w:hyperlink r:id="rId83">
              <w:r>
                <w:rPr>
                  <w:rFonts w:ascii="Arial" w:cs="Arial" w:eastAsia="Arial" w:hAnsi="Arial"/>
                  <w:sz w:val="18"/>
                  <w:szCs w:val="18"/>
                  <w:color w:val="0000FF"/>
                  <w:w w:val="94"/>
                </w:rPr>
                <w:t>Fifth Amendment to Lease, dated May 25, 2021, by and between Ardelyx,</w:t>
              </w:r>
            </w:hyperlink>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5"/>
              </w:rPr>
            </w:pPr>
            <w:hyperlink r:id="rId83">
              <w:r>
                <w:rPr>
                  <w:rFonts w:ascii="Arial" w:cs="Arial" w:eastAsia="Arial" w:hAnsi="Arial"/>
                  <w:sz w:val="17"/>
                  <w:szCs w:val="17"/>
                  <w:color w:val="0000FF"/>
                  <w:w w:val="95"/>
                </w:rPr>
                <w:t>Inc. and 34175 Ardenwood Venture, LLC</w:t>
              </w:r>
            </w:hyperlink>
          </w:p>
        </w:tc>
        <w:tc>
          <w:tcPr>
            <w:tcW w:w="2300" w:type="dxa"/>
            <w:vAlign w:val="bottom"/>
            <w:tcBorders>
              <w:top w:val="single" w:sz="8" w:color="0000FF"/>
            </w:tcBorders>
            <w:gridSpan w:val="4"/>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7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of Chief Executive Officer Pursuant to Section 302 of the</w:t>
              </w:r>
            </w:hyperlink>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w:anchor="page68">
              <w:r>
                <w:rPr>
                  <w:rFonts w:ascii="Arial" w:cs="Arial" w:eastAsia="Arial" w:hAnsi="Arial"/>
                  <w:sz w:val="17"/>
                  <w:szCs w:val="17"/>
                  <w:color w:val="0000FF"/>
                </w:rPr>
                <w:t>Sarbanes-Oxley Act of 2002.</w:t>
              </w:r>
            </w:hyperlink>
          </w:p>
        </w:tc>
        <w:tc>
          <w:tcPr>
            <w:tcW w:w="4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8"/>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of Chief Financial Officer Pursuant to Section 302 of the</w:t>
              </w:r>
            </w:hyperlink>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69">
              <w:r>
                <w:rPr>
                  <w:rFonts w:ascii="Arial" w:cs="Arial" w:eastAsia="Arial" w:hAnsi="Arial"/>
                  <w:sz w:val="17"/>
                  <w:szCs w:val="17"/>
                  <w:color w:val="0000FF"/>
                </w:rPr>
                <w:t>Sarbanes-Oxley Act of 2002.</w:t>
              </w:r>
            </w:hyperlink>
          </w:p>
        </w:tc>
        <w:tc>
          <w:tcPr>
            <w:tcW w:w="52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8"/>
          </w:tcPr>
          <w:p>
            <w:pPr>
              <w:spacing w:after="0"/>
              <w:rPr>
                <w:rFonts w:ascii="Arial" w:cs="Arial" w:eastAsia="Arial" w:hAnsi="Arial"/>
                <w:sz w:val="18"/>
                <w:szCs w:val="18"/>
                <w:color w:val="0000FF"/>
                <w:w w:val="93"/>
              </w:rPr>
            </w:pPr>
            <w:hyperlink w:anchor="page70">
              <w:r>
                <w:rPr>
                  <w:rFonts w:ascii="Arial" w:cs="Arial" w:eastAsia="Arial" w:hAnsi="Arial"/>
                  <w:sz w:val="18"/>
                  <w:szCs w:val="18"/>
                  <w:color w:val="0000FF"/>
                  <w:w w:val="93"/>
                </w:rPr>
                <w:t>Certification of Chief Executive Officer and Chief Financial Officer Pursuant</w:t>
              </w:r>
            </w:hyperlink>
          </w:p>
        </w:tc>
        <w:tc>
          <w:tcPr>
            <w:tcW w:w="0" w:type="dxa"/>
            <w:vAlign w:val="bottom"/>
          </w:tcPr>
          <w:p>
            <w:pPr>
              <w:spacing w:after="0"/>
              <w:rPr>
                <w:sz w:val="1"/>
                <w:szCs w:val="1"/>
                <w:color w:val="auto"/>
              </w:rPr>
            </w:pPr>
          </w:p>
        </w:tc>
      </w:tr>
      <w:tr>
        <w:trPr>
          <w:trHeight w:val="152"/>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7"/>
          </w:tcPr>
          <w:p>
            <w:pPr>
              <w:spacing w:after="0" w:line="152" w:lineRule="exact"/>
              <w:rPr>
                <w:rFonts w:ascii="Arial" w:cs="Arial" w:eastAsia="Arial" w:hAnsi="Arial"/>
                <w:sz w:val="17"/>
                <w:szCs w:val="17"/>
                <w:color w:val="0000FF"/>
              </w:rPr>
            </w:pPr>
            <w:hyperlink w:anchor="page70">
              <w:r>
                <w:rPr>
                  <w:rFonts w:ascii="Arial" w:cs="Arial" w:eastAsia="Arial" w:hAnsi="Arial"/>
                  <w:sz w:val="17"/>
                  <w:szCs w:val="17"/>
                  <w:color w:val="0000FF"/>
                </w:rPr>
                <w:t>to Section 906 of the Sarbanes-Oxley Act of 2002.</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880" w:right="240" w:hanging="856"/>
        <w:spacing w:after="0" w:line="220"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following financial statements, formatted in Inline Extensible Business Reporting Language (XBRL): (i) Condensed Balance Sheets as of June 30, 2021 and December 31, 2020, (ii) Condensed Statements of Operations and Comprehensive Loss for the three and six months ended June 30, 2021 and 2020, (iii) Condensed Statements of Cash Flows for the six months ended June 30, 2021 and 2020, and (iv) Notes to Unaudited Condensed Financial Statements.</w:t>
      </w:r>
    </w:p>
    <w:p>
      <w:pPr>
        <w:spacing w:after="0" w:line="4" w:lineRule="exact"/>
        <w:rPr>
          <w:sz w:val="20"/>
          <w:szCs w:val="20"/>
          <w:color w:val="auto"/>
        </w:rPr>
      </w:pPr>
    </w:p>
    <w:p>
      <w:pPr>
        <w:ind w:left="880" w:right="140" w:hanging="856"/>
        <w:spacing w:after="0" w:line="229"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060" w:type="dxa"/>
            <w:vAlign w:val="bottom"/>
            <w:tcBorders>
              <w:top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108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top w:val="single" w:sz="8" w:color="auto"/>
            </w:tcBorders>
            <w:vMerge w:val="restart"/>
          </w:tcPr>
          <w:p>
            <w:pPr>
              <w:spacing w:after="0"/>
              <w:rPr>
                <w:sz w:val="11"/>
                <w:szCs w:val="11"/>
                <w:color w:val="auto"/>
              </w:rPr>
            </w:pPr>
          </w:p>
        </w:tc>
        <w:tc>
          <w:tcPr>
            <w:tcW w:w="108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top w:val="single" w:sz="8" w:color="auto"/>
            </w:tcBorders>
            <w:vMerge w:val="restart"/>
          </w:tcPr>
          <w:p>
            <w:pPr>
              <w:spacing w:after="0"/>
              <w:rPr>
                <w:sz w:val="11"/>
                <w:szCs w:val="11"/>
                <w:color w:val="auto"/>
              </w:rPr>
            </w:pPr>
          </w:p>
        </w:tc>
        <w:tc>
          <w:tcPr>
            <w:tcW w:w="10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00"/>
        <w:spacing w:after="0"/>
        <w:tabs>
          <w:tab w:leader="none" w:pos="1360" w:val="left"/>
          <w:tab w:leader="none" w:pos="2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6/1/2021</w:t>
      </w:r>
      <w:r>
        <w:rPr>
          <w:sz w:val="20"/>
          <w:szCs w:val="20"/>
          <w:color w:val="auto"/>
        </w:rPr>
        <w:tab/>
      </w:r>
      <w:r>
        <w:rPr>
          <w:rFonts w:ascii="Arial" w:cs="Arial" w:eastAsia="Arial" w:hAnsi="Arial"/>
          <w:sz w:val="15"/>
          <w:szCs w:val="15"/>
          <w:color w:val="auto"/>
        </w:rPr>
        <w:t>10.1</w:t>
      </w:r>
    </w:p>
    <w:p>
      <w:pPr>
        <w:spacing w:after="0" w:line="17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X</w:t>
      </w:r>
    </w:p>
    <w:p>
      <w:pPr>
        <w:spacing w:after="0" w:line="350"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X</w:t>
      </w:r>
    </w:p>
    <w:p>
      <w:pPr>
        <w:spacing w:after="0" w:line="350"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X</w:t>
      </w:r>
    </w:p>
    <w:p>
      <w:pPr>
        <w:spacing w:after="0" w:line="350"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480" w:space="100"/>
            <w:col w:w="4600"/>
          </w:cols>
          <w:pgMar w:left="320" w:top="339" w:right="3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Ardelyx, Inc.</w:t>
      </w:r>
    </w:p>
    <w:p>
      <w:pPr>
        <w:spacing w:after="0" w:line="276" w:lineRule="exact"/>
        <w:rPr>
          <w:sz w:val="20"/>
          <w:szCs w:val="20"/>
          <w:color w:val="auto"/>
        </w:rPr>
      </w:pPr>
    </w:p>
    <w:p>
      <w:pPr>
        <w:ind w:left="20"/>
        <w:spacing w:after="0"/>
        <w:tabs>
          <w:tab w:leader="none" w:pos="5440" w:val="left"/>
          <w:tab w:leader="none" w:pos="592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10795</wp:posOffset>
            </wp:positionV>
            <wp:extent cx="3331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Justin Renz</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1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(Chief Accounting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3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217" w:lineRule="exact"/>
        <w:rPr>
          <w:sz w:val="20"/>
          <w:szCs w:val="20"/>
          <w:color w:val="auto"/>
        </w:rPr>
      </w:pPr>
    </w:p>
    <w:p>
      <w:pPr>
        <w:ind w:left="320" w:hanging="314"/>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217" w:lineRule="exact"/>
        <w:rPr>
          <w:rFonts w:ascii="Arial" w:cs="Arial" w:eastAsia="Arial" w:hAnsi="Arial"/>
          <w:sz w:val="18"/>
          <w:szCs w:val="18"/>
          <w:color w:val="auto"/>
        </w:rPr>
      </w:pPr>
    </w:p>
    <w:p>
      <w:pPr>
        <w:ind w:left="480" w:right="500" w:hanging="474"/>
        <w:spacing w:after="0" w:line="255" w:lineRule="auto"/>
        <w:tabs>
          <w:tab w:leader="none" w:pos="3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480" w:right="620" w:hanging="474"/>
        <w:spacing w:after="0" w:line="365" w:lineRule="auto"/>
        <w:tabs>
          <w:tab w:leader="none" w:pos="31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left="480" w:right="60" w:hanging="474"/>
        <w:spacing w:after="0" w:line="255" w:lineRule="auto"/>
        <w:tabs>
          <w:tab w:leader="none" w:pos="3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60" w:right="340" w:hanging="477"/>
        <w:spacing w:after="0" w:line="255" w:lineRule="auto"/>
        <w:tabs>
          <w:tab w:leader="none" w:pos="8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60" w:right="580" w:hanging="477"/>
        <w:spacing w:after="0" w:line="255" w:lineRule="auto"/>
        <w:tabs>
          <w:tab w:leader="none" w:pos="8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960" w:right="740" w:hanging="477"/>
        <w:spacing w:after="0" w:line="365" w:lineRule="auto"/>
        <w:tabs>
          <w:tab w:leader="none" w:pos="856"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960" w:right="360" w:hanging="477"/>
        <w:spacing w:after="0" w:line="255" w:lineRule="auto"/>
        <w:tabs>
          <w:tab w:leader="none" w:pos="8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80" w:right="540" w:hanging="474"/>
        <w:spacing w:after="0" w:line="365" w:lineRule="auto"/>
        <w:tabs>
          <w:tab w:leader="none" w:pos="309"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960" w:right="280" w:hanging="477"/>
        <w:spacing w:after="0" w:line="294" w:lineRule="auto"/>
        <w:tabs>
          <w:tab w:leader="none" w:pos="846"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960" w:right="220" w:hanging="477"/>
        <w:spacing w:after="0" w:line="264" w:lineRule="auto"/>
        <w:tabs>
          <w:tab w:leader="none" w:pos="8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20"/>
        <w:spacing w:after="0"/>
        <w:tabs>
          <w:tab w:leader="none" w:pos="4920" w:val="left"/>
          <w:tab w:leader="none" w:pos="770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10795</wp:posOffset>
            </wp:positionV>
            <wp:extent cx="3718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718560" cy="8255"/>
                    </a:xfrm>
                    <a:prstGeom prst="rect">
                      <a:avLst/>
                    </a:prstGeom>
                    <a:noFill/>
                  </pic:spPr>
                </pic:pic>
              </a:graphicData>
            </a:graphic>
          </wp:anchor>
        </w:drawing>
      </w:r>
    </w:p>
    <w:p>
      <w:pPr>
        <w:jc w:val="center"/>
        <w:ind w:left="5360"/>
        <w:spacing w:after="0"/>
        <w:rPr>
          <w:sz w:val="20"/>
          <w:szCs w:val="20"/>
          <w:color w:val="auto"/>
        </w:rPr>
      </w:pPr>
      <w:r>
        <w:rPr>
          <w:rFonts w:ascii="Arial" w:cs="Arial" w:eastAsia="Arial" w:hAnsi="Arial"/>
          <w:sz w:val="18"/>
          <w:szCs w:val="18"/>
          <w:b w:val="1"/>
          <w:bCs w:val="1"/>
          <w:color w:val="auto"/>
        </w:rPr>
        <w:t>Michael Raab</w:t>
      </w:r>
    </w:p>
    <w:p>
      <w:pPr>
        <w:jc w:val="center"/>
        <w:ind w:left="5360"/>
        <w:spacing w:after="0" w:line="199"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Justin Renz, certify that:</w:t>
      </w:r>
    </w:p>
    <w:p>
      <w:pPr>
        <w:spacing w:after="0" w:line="217" w:lineRule="exact"/>
        <w:rPr>
          <w:sz w:val="20"/>
          <w:szCs w:val="20"/>
          <w:color w:val="auto"/>
        </w:rPr>
      </w:pPr>
    </w:p>
    <w:p>
      <w:pPr>
        <w:ind w:left="320" w:hanging="314"/>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217" w:lineRule="exact"/>
        <w:rPr>
          <w:rFonts w:ascii="Arial" w:cs="Arial" w:eastAsia="Arial" w:hAnsi="Arial"/>
          <w:sz w:val="18"/>
          <w:szCs w:val="18"/>
          <w:color w:val="auto"/>
        </w:rPr>
      </w:pPr>
    </w:p>
    <w:p>
      <w:pPr>
        <w:ind w:left="480" w:right="500" w:hanging="474"/>
        <w:spacing w:after="0" w:line="255" w:lineRule="auto"/>
        <w:tabs>
          <w:tab w:leader="none" w:pos="3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480" w:right="620" w:hanging="474"/>
        <w:spacing w:after="0" w:line="365" w:lineRule="auto"/>
        <w:tabs>
          <w:tab w:leader="none" w:pos="31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left="480" w:right="60" w:hanging="474"/>
        <w:spacing w:after="0" w:line="255" w:lineRule="auto"/>
        <w:tabs>
          <w:tab w:leader="none" w:pos="3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60" w:right="340" w:hanging="477"/>
        <w:spacing w:after="0" w:line="255" w:lineRule="auto"/>
        <w:tabs>
          <w:tab w:leader="none" w:pos="8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60" w:right="580" w:hanging="477"/>
        <w:spacing w:after="0" w:line="255" w:lineRule="auto"/>
        <w:tabs>
          <w:tab w:leader="none" w:pos="86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960" w:right="740" w:hanging="477"/>
        <w:spacing w:after="0" w:line="365" w:lineRule="auto"/>
        <w:tabs>
          <w:tab w:leader="none" w:pos="856"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960" w:right="360" w:hanging="477"/>
        <w:spacing w:after="0" w:line="255" w:lineRule="auto"/>
        <w:tabs>
          <w:tab w:leader="none" w:pos="86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80" w:right="540" w:hanging="474"/>
        <w:spacing w:after="0" w:line="365" w:lineRule="auto"/>
        <w:tabs>
          <w:tab w:leader="none" w:pos="309"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960" w:right="280" w:hanging="477"/>
        <w:spacing w:after="0" w:line="294" w:lineRule="auto"/>
        <w:tabs>
          <w:tab w:leader="none" w:pos="846"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960" w:right="220" w:hanging="477"/>
        <w:spacing w:after="0" w:line="264" w:lineRule="auto"/>
        <w:tabs>
          <w:tab w:leader="none" w:pos="8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20"/>
        <w:spacing w:after="0"/>
        <w:tabs>
          <w:tab w:leader="none" w:pos="4920" w:val="left"/>
          <w:tab w:leader="none" w:pos="776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10795</wp:posOffset>
            </wp:positionV>
            <wp:extent cx="37020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8"/>
          <w:szCs w:val="18"/>
          <w:b w:val="1"/>
          <w:bCs w:val="1"/>
          <w:color w:val="auto"/>
        </w:rPr>
        <w:t>Justin Renz</w:t>
      </w:r>
    </w:p>
    <w:p>
      <w:pPr>
        <w:jc w:val="center"/>
        <w:ind w:left="5340"/>
        <w:spacing w:after="0" w:line="199"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08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In connection with the Quarterly Report of Ardelyx, Inc. (the “Company”) on Form 10-Q for the period ending June 30, 2021,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91" w:lineRule="exact"/>
        <w:rPr>
          <w:sz w:val="20"/>
          <w:szCs w:val="20"/>
          <w:color w:val="auto"/>
        </w:rPr>
      </w:pPr>
    </w:p>
    <w:p>
      <w:pPr>
        <w:ind w:left="700" w:hanging="37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700" w:hanging="376"/>
        <w:spacing w:after="0"/>
        <w:tabs>
          <w:tab w:leader="none" w:pos="7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384" w:lineRule="exact"/>
        <w:rPr>
          <w:sz w:val="20"/>
          <w:szCs w:val="20"/>
          <w:color w:val="auto"/>
        </w:rPr>
      </w:pPr>
    </w:p>
    <w:p>
      <w:pPr>
        <w:ind w:left="20"/>
        <w:spacing w:after="0"/>
        <w:tabs>
          <w:tab w:leader="none" w:pos="4920" w:val="left"/>
          <w:tab w:leader="none" w:pos="76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10795</wp:posOffset>
            </wp:positionV>
            <wp:extent cx="37020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8"/>
          <w:szCs w:val="18"/>
          <w:b w:val="1"/>
          <w:bCs w:val="1"/>
          <w:color w:val="auto"/>
        </w:rPr>
        <w:t>Michael Raab</w:t>
      </w:r>
    </w:p>
    <w:p>
      <w:pPr>
        <w:jc w:val="center"/>
        <w:ind w:left="5340"/>
        <w:spacing w:after="0" w:line="199"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(Principal Executive Officer)</w:t>
      </w:r>
    </w:p>
    <w:p>
      <w:pPr>
        <w:spacing w:after="0" w:line="269" w:lineRule="exact"/>
        <w:rPr>
          <w:sz w:val="20"/>
          <w:szCs w:val="20"/>
          <w:color w:val="auto"/>
        </w:rPr>
      </w:pPr>
    </w:p>
    <w:p>
      <w:pPr>
        <w:ind w:left="20"/>
        <w:spacing w:after="0"/>
        <w:tabs>
          <w:tab w:leader="none" w:pos="4920" w:val="left"/>
          <w:tab w:leader="none" w:pos="776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10795</wp:posOffset>
            </wp:positionV>
            <wp:extent cx="37020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8"/>
          <w:szCs w:val="18"/>
          <w:b w:val="1"/>
          <w:bCs w:val="1"/>
          <w:color w:val="auto"/>
        </w:rPr>
        <w:t>Justin Renz</w:t>
      </w:r>
    </w:p>
    <w:p>
      <w:pPr>
        <w:jc w:val="center"/>
        <w:ind w:left="5340"/>
        <w:spacing w:after="0" w:line="199"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0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606"/>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01"/>
    </w:lvl>
  </w:abstractNum>
  <w:abstractNum w:abstractNumId="39">
    <w:nsid w:val="3855585C"/>
    <w:multiLevelType w:val="hybridMultilevel"/>
    <w:lvl w:ilvl="0">
      <w:lvlJc w:val="left"/>
      <w:lvlText w:val="%1"/>
      <w:numFmt w:val="decimal"/>
      <w:start w:val="104"/>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83" Type="http://schemas.openxmlformats.org/officeDocument/2006/relationships/hyperlink" Target="https://www.sec.gov/Archives/edgar/data/1437402/000162828021011446/ardenwoodleasefifth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2021-08-13T07:06:24Z</dcterms:created>
  <dcterms:modified xsi:type="dcterms:W3CDTF">2021-08-13T07:06:24Z</dcterms:modified>
</cp:coreProperties>
</file>