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Kaufmann Mark</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01/06/2015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Chief Financial Officer</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94555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23.02</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01/06/2015</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23,700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01/06/2025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23,700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23,700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48 successive, equal monthly installments on each monthly anniversary of January 6, 2015, subject to the Reporting Person's continued employment or service relationship with the Issuer on each such vesting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25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Mark</w:t>
      </w:r>
      <w:r>
        <w:rPr>
          <w:sz w:val="20"/>
          <w:szCs w:val="20"/>
          <w:color w:val="auto"/>
        </w:rPr>
        <w:tab/>
      </w:r>
      <w:r>
        <w:rPr>
          <w:rFonts w:ascii="Arial" w:cs="Arial" w:eastAsia="Arial" w:hAnsi="Arial"/>
          <w:sz w:val="15"/>
          <w:szCs w:val="15"/>
          <w:color w:val="0000FF"/>
        </w:rPr>
        <w:t>01/08/2015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Kaufmann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467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736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18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2019-12-08T21:07:27Z</dcterms:created>
  <dcterms:modified xsi:type="dcterms:W3CDTF">2019-12-08T21:07:27Z</dcterms:modified>
</cp:coreProperties>
</file>