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8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66"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9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26-1303944</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3880" w:type="dxa"/>
            <w:vAlign w:val="bottom"/>
          </w:tcPr>
          <w:p>
            <w:pPr>
              <w:ind w:left="1380"/>
              <w:spacing w:after="0"/>
              <w:rPr>
                <w:sz w:val="20"/>
                <w:szCs w:val="20"/>
                <w:color w:val="auto"/>
              </w:rPr>
            </w:pPr>
            <w:r>
              <w:rPr>
                <w:rFonts w:ascii="Arial" w:cs="Arial" w:eastAsia="Arial" w:hAnsi="Arial"/>
                <w:sz w:val="18"/>
                <w:szCs w:val="18"/>
                <w:b w:val="1"/>
                <w:bCs w:val="1"/>
                <w:color w:val="auto"/>
              </w:rPr>
              <w:t>(Commission</w:t>
            </w:r>
          </w:p>
        </w:tc>
        <w:tc>
          <w:tcPr>
            <w:tcW w:w="19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194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Identification Number)</w:t>
            </w:r>
          </w:p>
        </w:tc>
      </w:tr>
      <w:tr>
        <w:trPr>
          <w:trHeight w:val="333"/>
        </w:trPr>
        <w:tc>
          <w:tcPr>
            <w:tcW w:w="216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w:t>
            </w:r>
          </w:p>
        </w:tc>
        <w:tc>
          <w:tcPr>
            <w:tcW w:w="194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Fremont, CA 94555</w:t>
            </w:r>
          </w:p>
        </w:tc>
        <w:tc>
          <w:tcPr>
            <w:tcW w:w="194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940" w:type="dxa"/>
            <w:vAlign w:val="bottom"/>
          </w:tcPr>
          <w:p>
            <w:pPr>
              <w:spacing w:after="0"/>
              <w:rPr>
                <w:sz w:val="16"/>
                <w:szCs w:val="16"/>
                <w:color w:val="auto"/>
              </w:rPr>
            </w:pPr>
          </w:p>
        </w:tc>
      </w:tr>
    </w:tbl>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9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60" w:hanging="257"/>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60" w:hanging="257"/>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9" w:lineRule="exact"/>
        <w:rPr>
          <w:rFonts w:ascii="MS PGothic" w:cs="MS PGothic" w:eastAsia="MS PGothic" w:hAnsi="MS PGothic"/>
          <w:sz w:val="17"/>
          <w:szCs w:val="17"/>
          <w:color w:val="auto"/>
        </w:rPr>
      </w:pPr>
    </w:p>
    <w:p>
      <w:pPr>
        <w:ind w:left="260" w:hanging="257"/>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56"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ind w:right="100"/>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2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Trading Symbol(s)</w:t>
            </w:r>
          </w:p>
        </w:tc>
        <w:tc>
          <w:tcPr>
            <w:tcW w:w="3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6"/>
        </w:trPr>
        <w:tc>
          <w:tcPr>
            <w:tcW w:w="29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tcPr>
          <w:p>
            <w:pPr>
              <w:jc w:val="center"/>
              <w:spacing w:after="0"/>
              <w:rPr>
                <w:sz w:val="20"/>
                <w:szCs w:val="20"/>
                <w:color w:val="auto"/>
              </w:rPr>
            </w:pPr>
            <w:r>
              <w:rPr>
                <w:rFonts w:ascii="Arial" w:cs="Arial" w:eastAsia="Arial" w:hAnsi="Arial"/>
                <w:sz w:val="14"/>
                <w:szCs w:val="14"/>
                <w:color w:val="auto"/>
                <w:w w:val="93"/>
              </w:rPr>
              <w:t>Common Stock, par value $0.0001</w:t>
            </w:r>
          </w:p>
        </w:tc>
        <w:tc>
          <w:tcPr>
            <w:tcW w:w="140" w:type="dxa"/>
            <w:vAlign w:val="bottom"/>
            <w:vMerge w:val="continue"/>
          </w:tcPr>
          <w:p>
            <w:pPr>
              <w:spacing w:after="0"/>
              <w:rPr>
                <w:sz w:val="15"/>
                <w:szCs w:val="15"/>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rPr>
              <w:t>ARDX</w:t>
            </w:r>
          </w:p>
        </w:tc>
        <w:tc>
          <w:tcPr>
            <w:tcW w:w="160" w:type="dxa"/>
            <w:vAlign w:val="bottom"/>
            <w:vMerge w:val="continue"/>
          </w:tcPr>
          <w:p>
            <w:pPr>
              <w:spacing w:after="0"/>
              <w:rPr>
                <w:sz w:val="15"/>
                <w:szCs w:val="15"/>
                <w:color w:val="auto"/>
              </w:rPr>
            </w:pPr>
          </w:p>
        </w:tc>
        <w:tc>
          <w:tcPr>
            <w:tcW w:w="3400" w:type="dxa"/>
            <w:vAlign w:val="bottom"/>
            <w:gridSpan w:val="2"/>
          </w:tcPr>
          <w:p>
            <w:pPr>
              <w:jc w:val="center"/>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1"/>
        </w:trPr>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368" w:right="13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99"/>
        <w:spacing w:after="0" w:line="259" w:lineRule="auto"/>
        <w:rPr>
          <w:sz w:val="20"/>
          <w:szCs w:val="20"/>
          <w:color w:val="auto"/>
        </w:rPr>
      </w:pPr>
      <w:r>
        <w:rPr>
          <w:rFonts w:ascii="Arial" w:cs="Arial" w:eastAsia="Arial" w:hAnsi="Arial"/>
          <w:sz w:val="18"/>
          <w:szCs w:val="18"/>
          <w:color w:val="auto"/>
        </w:rPr>
        <w:t>On January 13, 2020, Ardelyx, Inc. (the “Company”) announced that as of December 31, 2019, the Company had approximately $247.5 million in cash, cash equivalents and short-term investments, and that the Company currently expects that its cash, cash equivalents and short-term investments are sufficient to fund the Company’s operations until early 2022 based on its current operating plans.</w:t>
      </w:r>
    </w:p>
    <w:p>
      <w:pPr>
        <w:spacing w:after="0" w:line="187" w:lineRule="exact"/>
        <w:rPr>
          <w:sz w:val="20"/>
          <w:szCs w:val="20"/>
          <w:color w:val="auto"/>
        </w:rPr>
      </w:pPr>
    </w:p>
    <w:p>
      <w:pPr>
        <w:ind w:right="19"/>
        <w:spacing w:after="0" w:line="259" w:lineRule="auto"/>
        <w:rPr>
          <w:sz w:val="20"/>
          <w:szCs w:val="20"/>
          <w:color w:val="auto"/>
        </w:rPr>
      </w:pPr>
      <w:r>
        <w:rPr>
          <w:rFonts w:ascii="Arial" w:cs="Arial" w:eastAsia="Arial" w:hAnsi="Arial"/>
          <w:sz w:val="18"/>
          <w:szCs w:val="18"/>
          <w:color w:val="auto"/>
        </w:rPr>
        <w:t>This information furnished under this Item 2.02 shall not be considered “filed” under the Securities Act of 1934, as amended (the “Exchange Act”), nor shall it be incorporated by reference into any future filings under the Securities Act of 1933, as amended, or under the Exchange Act unless the Company expressly sets forth in such future filing that such information is to be considered “filed” or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40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January 13,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Mark Kaufmann</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-130175</wp:posOffset>
            </wp:positionV>
            <wp:extent cx="26498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2020-01-13T05:49:42Z</dcterms:created>
  <dcterms:modified xsi:type="dcterms:W3CDTF">2020-01-13T05:49:42Z</dcterms:modified>
</cp:coreProperties>
</file>