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640" w:type="dxa"/>
            <w:vAlign w:val="bottom"/>
          </w:tcPr>
          <w:p>
            <w:pPr>
              <w:jc w:val="center"/>
              <w:spacing w:after="0"/>
              <w:rPr>
                <w:sz w:val="20"/>
                <w:szCs w:val="20"/>
                <w:color w:val="auto"/>
              </w:rPr>
            </w:pPr>
            <w:r>
              <w:rPr>
                <w:rFonts w:ascii="Arial" w:cs="Arial" w:eastAsia="Arial" w:hAnsi="Arial"/>
                <w:sz w:val="22"/>
                <w:szCs w:val="22"/>
                <w:b w:val="1"/>
                <w:bCs w:val="1"/>
                <w:color w:val="auto"/>
                <w:w w:val="86"/>
              </w:rPr>
              <w:t>Previous</w:t>
            </w:r>
          </w:p>
        </w:tc>
        <w:tc>
          <w:tcPr>
            <w:tcW w:w="480" w:type="dxa"/>
            <w:vAlign w:val="bottom"/>
            <w:vMerge w:val="restart"/>
          </w:tcPr>
          <w:p>
            <w:pPr>
              <w:ind w:left="20"/>
              <w:spacing w:after="0"/>
              <w:rPr>
                <w:sz w:val="20"/>
                <w:szCs w:val="20"/>
                <w:color w:val="auto"/>
              </w:rPr>
            </w:pPr>
            <w:r>
              <w:rPr>
                <w:rFonts w:ascii="Arial" w:cs="Arial" w:eastAsia="Arial" w:hAnsi="Arial"/>
                <w:sz w:val="22"/>
                <w:szCs w:val="22"/>
                <w:color w:val="auto"/>
                <w:w w:val="83"/>
              </w:rPr>
              <w:t>None</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Names</w:t>
            </w: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0001437402</w:t>
              </w:r>
            </w:hyperlink>
          </w:p>
        </w:tc>
        <w:tc>
          <w:tcPr>
            <w:tcW w:w="2420" w:type="dxa"/>
            <w:vAlign w:val="bottom"/>
          </w:tcPr>
          <w:p>
            <w:pPr>
              <w:spacing w:after="0"/>
              <w:rPr>
                <w:sz w:val="21"/>
                <w:szCs w:val="21"/>
                <w:color w:val="auto"/>
              </w:rPr>
            </w:pPr>
          </w:p>
        </w:tc>
        <w:tc>
          <w:tcPr>
            <w:tcW w:w="1640" w:type="dxa"/>
            <w:vAlign w:val="bottom"/>
            <w:vMerge w:val="restart"/>
          </w:tcPr>
          <w:p>
            <w:pPr>
              <w:ind w:left="340"/>
              <w:spacing w:after="0"/>
              <w:rPr>
                <w:sz w:val="20"/>
                <w:szCs w:val="20"/>
                <w:color w:val="auto"/>
              </w:rPr>
            </w:pPr>
            <w:r>
              <w:rPr>
                <w:rFonts w:ascii="Arial" w:cs="Arial" w:eastAsia="Arial" w:hAnsi="Arial"/>
                <w:sz w:val="22"/>
                <w:szCs w:val="22"/>
                <w:color w:val="auto"/>
                <w:w w:val="96"/>
              </w:rPr>
              <w:t>NTERYX INC</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ARDELYX, INC.</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2007</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ARDELYX, INC.</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p>
      <w:pPr>
        <w:ind w:left="1820"/>
        <w:spacing w:after="0"/>
        <w:tabs>
          <w:tab w:leader="none" w:pos="692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34175 ARDENWOOD BLVD.</w:t>
      </w:r>
    </w:p>
    <w:p>
      <w:pPr>
        <w:spacing w:after="0" w:line="38"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r>
        <w:rPr>
          <w:sz w:val="20"/>
          <w:szCs w:val="20"/>
          <w:color w:val="auto"/>
        </w:rPr>
        <w:tab/>
      </w:r>
      <w:r>
        <w:rPr>
          <w:rFonts w:ascii="Arial" w:cs="Arial" w:eastAsia="Arial" w:hAnsi="Arial"/>
          <w:sz w:val="19"/>
          <w:szCs w:val="19"/>
          <w:b w:val="1"/>
          <w:bCs w:val="1"/>
          <w:color w:val="auto"/>
        </w:rPr>
        <w:t>Phone Number of Issuer</w:t>
      </w:r>
    </w:p>
    <w:p>
      <w:pPr>
        <w:spacing w:after="0" w:line="50"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Arial" w:cs="Arial" w:eastAsia="Arial" w:hAnsi="Arial"/>
          <w:sz w:val="22"/>
          <w:szCs w:val="22"/>
          <w:color w:val="auto"/>
        </w:rPr>
        <w:t>FREMONT</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22"/>
          <w:szCs w:val="22"/>
          <w:color w:val="auto"/>
        </w:rPr>
        <w:t>94555</w:t>
      </w:r>
      <w:r>
        <w:rPr>
          <w:sz w:val="20"/>
          <w:szCs w:val="20"/>
          <w:color w:val="auto"/>
        </w:rPr>
        <w:tab/>
      </w:r>
      <w:r>
        <w:rPr>
          <w:rFonts w:ascii="Arial" w:cs="Arial" w:eastAsia="Arial" w:hAnsi="Arial"/>
          <w:sz w:val="19"/>
          <w:szCs w:val="19"/>
          <w:color w:val="auto"/>
        </w:rPr>
        <w:t>510-745-7047</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Raab</w:t>
      </w:r>
      <w:r>
        <w:rPr>
          <w:sz w:val="20"/>
          <w:szCs w:val="20"/>
          <w:color w:val="auto"/>
        </w:rPr>
        <w:tab/>
      </w:r>
      <w:r>
        <w:rPr>
          <w:rFonts w:ascii="Arial" w:cs="Arial" w:eastAsia="Arial" w:hAnsi="Arial"/>
          <w:sz w:val="22"/>
          <w:szCs w:val="22"/>
          <w:color w:val="auto"/>
        </w:rPr>
        <w:t>Michael</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Ardelyx, Inc.</w:t>
      </w:r>
      <w:r>
        <w:rPr>
          <w:sz w:val="20"/>
          <w:szCs w:val="20"/>
          <w:color w:val="auto"/>
        </w:rPr>
        <w:tab/>
      </w:r>
      <w:r>
        <w:rPr>
          <w:rFonts w:ascii="Arial" w:cs="Arial" w:eastAsia="Arial" w:hAnsi="Arial"/>
          <w:sz w:val="19"/>
          <w:szCs w:val="19"/>
          <w:color w:val="auto"/>
        </w:rPr>
        <w:t>34175 Ardenwood Blvd.</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Fremont</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94555</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 and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Charmot</w:t>
      </w:r>
      <w:r>
        <w:rPr>
          <w:sz w:val="20"/>
          <w:szCs w:val="20"/>
          <w:color w:val="auto"/>
        </w:rPr>
        <w:tab/>
      </w:r>
      <w:r>
        <w:rPr>
          <w:rFonts w:ascii="Arial" w:cs="Arial" w:eastAsia="Arial" w:hAnsi="Arial"/>
          <w:sz w:val="22"/>
          <w:szCs w:val="22"/>
          <w:color w:val="auto"/>
        </w:rPr>
        <w:t>Dominique</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Ardelyx, Inc.</w:t>
      </w:r>
      <w:r>
        <w:rPr>
          <w:sz w:val="20"/>
          <w:szCs w:val="20"/>
          <w:color w:val="auto"/>
        </w:rPr>
        <w:tab/>
      </w:r>
      <w:r>
        <w:rPr>
          <w:rFonts w:ascii="Arial" w:cs="Arial" w:eastAsia="Arial" w:hAnsi="Arial"/>
          <w:sz w:val="19"/>
          <w:szCs w:val="19"/>
          <w:color w:val="auto"/>
        </w:rPr>
        <w:t>34175 Ardenwood Blvd.</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Fremont</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94555</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Frechet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Jean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34175 Ardenwood Blvd.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3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5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5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0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50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50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50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50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50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00" w:type="dxa"/>
            <w:vAlign w:val="bottom"/>
            <w:vMerge w:val="restart"/>
          </w:tcPr>
          <w:p>
            <w:pPr>
              <w:ind w:left="40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67" w:orient="portrait"/>
          <w:cols w:equalWidth="0" w:num="2">
            <w:col w:w="3220" w:space="720"/>
            <w:col w:w="7480"/>
          </w:cols>
          <w:pgMar w:left="240" w:top="118" w:right="239" w:bottom="0" w:gutter="0" w:footer="0" w:header="0"/>
          <w:type w:val="continuous"/>
        </w:sectPr>
      </w:pPr>
    </w:p>
    <w:bookmarkStart w:id="2" w:name="page3"/>
    <w:bookmarkEnd w:id="2"/>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2560" w:type="dxa"/>
            <w:vAlign w:val="bottom"/>
          </w:tcPr>
          <w:p>
            <w:pPr>
              <w:ind w:left="960"/>
              <w:spacing w:after="0"/>
              <w:rPr>
                <w:sz w:val="20"/>
                <w:szCs w:val="20"/>
                <w:color w:val="auto"/>
              </w:rPr>
            </w:pPr>
            <w:r>
              <w:rPr>
                <w:rFonts w:ascii="Arial" w:cs="Arial" w:eastAsia="Arial" w:hAnsi="Arial"/>
                <w:sz w:val="22"/>
                <w:szCs w:val="22"/>
                <w:color w:val="auto"/>
              </w:rPr>
              <w:t>Yes</w:t>
            </w:r>
          </w:p>
        </w:tc>
        <w:tc>
          <w:tcPr>
            <w:tcW w:w="1300" w:type="dxa"/>
            <w:vAlign w:val="bottom"/>
          </w:tcPr>
          <w:p>
            <w:pPr>
              <w:ind w:left="40"/>
              <w:spacing w:after="0"/>
              <w:rPr>
                <w:sz w:val="20"/>
                <w:szCs w:val="20"/>
                <w:color w:val="auto"/>
              </w:rPr>
            </w:pPr>
            <w:r>
              <w:rPr>
                <w:rFonts w:ascii="Arial" w:cs="Arial" w:eastAsia="Arial" w:hAnsi="Arial"/>
                <w:sz w:val="22"/>
                <w:szCs w:val="22"/>
                <w:color w:val="auto"/>
              </w:rPr>
              <w:t>No</w:t>
            </w:r>
          </w:p>
        </w:tc>
        <w:tc>
          <w:tcPr>
            <w:tcW w:w="2240" w:type="dxa"/>
            <w:vAlign w:val="bottom"/>
          </w:tcPr>
          <w:p>
            <w:pPr>
              <w:ind w:left="280"/>
              <w:spacing w:after="0"/>
              <w:rPr>
                <w:sz w:val="20"/>
                <w:szCs w:val="20"/>
                <w:color w:val="auto"/>
              </w:rPr>
            </w:pPr>
            <w:r>
              <w:rPr>
                <w:rFonts w:ascii="Arial" w:cs="Arial" w:eastAsia="Arial" w:hAnsi="Arial"/>
                <w:sz w:val="22"/>
                <w:szCs w:val="22"/>
                <w:color w:val="auto"/>
              </w:rPr>
              <w:t>Construction</w:t>
            </w:r>
          </w:p>
        </w:tc>
        <w:tc>
          <w:tcPr>
            <w:tcW w:w="660" w:type="dxa"/>
            <w:vAlign w:val="bottom"/>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297"/>
        </w:trPr>
        <w:tc>
          <w:tcPr>
            <w:tcW w:w="3860" w:type="dxa"/>
            <w:vAlign w:val="bottom"/>
            <w:gridSpan w:val="2"/>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660" w:type="dxa"/>
            <w:vAlign w:val="bottom"/>
          </w:tcPr>
          <w:p>
            <w:pPr>
              <w:spacing w:after="0"/>
              <w:rPr>
                <w:sz w:val="24"/>
                <w:szCs w:val="24"/>
                <w:color w:val="auto"/>
              </w:rPr>
            </w:pPr>
          </w:p>
        </w:tc>
        <w:tc>
          <w:tcPr>
            <w:tcW w:w="2540" w:type="dxa"/>
            <w:vAlign w:val="bottom"/>
            <w:vMerge w:val="restart"/>
          </w:tcPr>
          <w:p>
            <w:pPr>
              <w:ind w:left="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gridSpan w:val="2"/>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gridSpan w:val="2"/>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3"/>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2900" w:type="dxa"/>
            <w:vAlign w:val="bottom"/>
            <w:gridSpan w:val="2"/>
          </w:tcPr>
          <w:p>
            <w:pPr>
              <w:ind w:left="440"/>
              <w:spacing w:after="0"/>
              <w:rPr>
                <w:sz w:val="20"/>
                <w:szCs w:val="20"/>
                <w:color w:val="auto"/>
              </w:rPr>
            </w:pPr>
            <w:r>
              <w:rPr>
                <w:rFonts w:ascii="Arial" w:cs="Arial" w:eastAsia="Arial" w:hAnsi="Arial"/>
                <w:sz w:val="22"/>
                <w:szCs w:val="22"/>
                <w:color w:val="auto"/>
                <w:w w:val="96"/>
              </w:rPr>
              <w:t>$5,000,001 - $25,000,000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22"/>
                <w:szCs w:val="22"/>
                <w:color w:val="auto"/>
                <w:w w:val="92"/>
              </w:rPr>
              <w:t>$25,000,001 - $50,000,000</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22"/>
                <w:szCs w:val="22"/>
                <w:color w:val="auto"/>
                <w:w w:val="88"/>
              </w:rPr>
              <w:t>$50,000,001 - $100,000,000</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2010-11-16</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919" w:orient="portrait"/>
          <w:cols w:equalWidth="0" w:num="1">
            <w:col w:w="10219"/>
          </w:cols>
          <w:pgMar w:left="240" w:top="118" w:right="1440" w:bottom="0" w:gutter="0" w:footer="0" w:header="0"/>
        </w:sect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60" w:hanging="211"/>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Debt</w:t>
      </w:r>
    </w:p>
    <w:p>
      <w:pPr>
        <w:spacing w:after="0" w:line="44" w:lineRule="exact"/>
        <w:rPr>
          <w:rFonts w:ascii="Arial" w:cs="Arial" w:eastAsia="Arial" w:hAnsi="Arial"/>
          <w:sz w:val="22"/>
          <w:szCs w:val="22"/>
          <w:color w:val="auto"/>
        </w:rPr>
      </w:pPr>
    </w:p>
    <w:p>
      <w:pPr>
        <w:ind w:left="260" w:hanging="211"/>
        <w:spacing w:after="0"/>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137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ectPr>
          <w:pgSz w:w="11900" w:h="16919" w:orient="portrait"/>
          <w:cols w:equalWidth="0" w:num="2">
            <w:col w:w="5580" w:space="160"/>
            <w:col w:w="4479"/>
          </w:cols>
          <w:pgMar w:left="240" w:top="118" w:right="1440" w:bottom="0" w:gutter="0" w:footer="0" w:header="0"/>
          <w:type w:val="continuous"/>
        </w:sectPr>
      </w:pPr>
    </w:p>
    <w:bookmarkStart w:id="3" w:name="page4"/>
    <w:bookmarkEnd w:id="3"/>
    <w:p>
      <w:pPr>
        <w:ind w:left="5740"/>
        <w:spacing w:after="0"/>
        <w:rPr>
          <w:sz w:val="20"/>
          <w:szCs w:val="20"/>
          <w:color w:val="auto"/>
        </w:rPr>
      </w:pPr>
      <w:r>
        <w:rPr>
          <w:rFonts w:ascii="Arial" w:cs="Arial" w:eastAsia="Arial" w:hAnsi="Arial"/>
          <w:sz w:val="19"/>
          <w:szCs w:val="19"/>
          <w:color w:val="auto"/>
        </w:rPr>
        <w:t>Convertible Promissory Notes and Warrants (including (i) the</w:t>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shares of Preferred Stock issuable upon conversion of the Notes</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and upon exercise of the Warrants and (ii) the shares of Common</w:t>
      </w:r>
    </w:p>
    <w:p>
      <w:pPr>
        <w:spacing w:after="0" w:line="2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Stock issuable upon conversion of the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$10,027,388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120"/>
              <w:spacing w:after="0"/>
              <w:rPr>
                <w:sz w:val="20"/>
                <w:szCs w:val="20"/>
                <w:color w:val="auto"/>
              </w:rPr>
            </w:pPr>
            <w:r>
              <w:rPr>
                <w:rFonts w:ascii="Arial" w:cs="Arial" w:eastAsia="Arial" w:hAnsi="Arial"/>
                <w:sz w:val="22"/>
                <w:szCs w:val="22"/>
                <w:color w:val="auto"/>
                <w:w w:val="94"/>
              </w:rPr>
              <w:t>$5,013,694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8"/>
              </w:rPr>
              <w:t>$5,013,694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59" w:right="279" w:bottom="15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59" w:right="279" w:bottom="15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59" w:right="279" w:bottom="15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59" w:right="279" w:bottom="155"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8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ARDELYX, INC.</w:t>
            </w:r>
          </w:p>
        </w:tc>
        <w:tc>
          <w:tcPr>
            <w:tcW w:w="4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Michael Raab</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Michael Raab</w:t>
            </w:r>
          </w:p>
        </w:tc>
        <w:tc>
          <w:tcPr>
            <w:tcW w:w="20" w:type="dxa"/>
            <w:vAlign w:val="bottom"/>
          </w:tcPr>
          <w:p>
            <w:pPr>
              <w:spacing w:after="0"/>
              <w:rPr>
                <w:sz w:val="22"/>
                <w:szCs w:val="22"/>
                <w:color w:val="auto"/>
              </w:rPr>
            </w:pPr>
          </w:p>
        </w:tc>
        <w:tc>
          <w:tcPr>
            <w:tcW w:w="3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2010-12-07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2019-12-11T05:30:42Z</dcterms:created>
  <dcterms:modified xsi:type="dcterms:W3CDTF">2019-12-11T05:30:42Z</dcterms:modified>
</cp:coreProperties>
</file>