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247015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Date of Report (Date of earliest event reported): November 25,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241300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4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ARDELYX, INC.</w:t>
      </w:r>
    </w:p>
    <w:p>
      <w:pPr>
        <w:spacing w:after="0" w:line="5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040"/>
          </w:cols>
          <w:pgMar w:left="440" w:top="368" w:right="4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40"/>
        <w:spacing w:after="0"/>
        <w:rPr>
          <w:sz w:val="20"/>
          <w:szCs w:val="20"/>
          <w:color w:val="auto"/>
        </w:rPr>
      </w:pPr>
      <w:r>
        <w:rPr>
          <w:rFonts w:ascii="Arial" w:cs="Arial" w:eastAsia="Arial" w:hAnsi="Arial"/>
          <w:sz w:val="16"/>
          <w:szCs w:val="16"/>
          <w:b w:val="1"/>
          <w:bCs w:val="1"/>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b w:val="1"/>
          <w:bCs w:val="1"/>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1500"/>
        <w:spacing w:after="0"/>
        <w:rPr>
          <w:sz w:val="20"/>
          <w:szCs w:val="20"/>
          <w:color w:val="auto"/>
        </w:rPr>
      </w:pPr>
      <w:r>
        <w:rPr>
          <w:rFonts w:ascii="Arial" w:cs="Arial" w:eastAsia="Arial" w:hAnsi="Arial"/>
          <w:sz w:val="18"/>
          <w:szCs w:val="18"/>
          <w:b w:val="1"/>
          <w:bCs w:val="1"/>
          <w:color w:val="auto"/>
        </w:rPr>
        <w:t>001-36485</w:t>
      </w:r>
    </w:p>
    <w:p>
      <w:pPr>
        <w:spacing w:after="0" w:line="27" w:lineRule="exact"/>
        <w:rPr>
          <w:sz w:val="24"/>
          <w:szCs w:val="24"/>
          <w:color w:val="auto"/>
        </w:rPr>
      </w:pPr>
    </w:p>
    <w:p>
      <w:pPr>
        <w:jc w:val="center"/>
        <w:ind w:right="1500"/>
        <w:spacing w:after="0"/>
        <w:rPr>
          <w:sz w:val="20"/>
          <w:szCs w:val="20"/>
          <w:color w:val="auto"/>
        </w:rPr>
      </w:pPr>
      <w:r>
        <w:rPr>
          <w:rFonts w:ascii="Arial" w:cs="Arial" w:eastAsia="Arial" w:hAnsi="Arial"/>
          <w:sz w:val="16"/>
          <w:szCs w:val="16"/>
          <w:b w:val="1"/>
          <w:bCs w:val="1"/>
          <w:color w:val="auto"/>
        </w:rPr>
        <w:t>(Commission</w:t>
      </w:r>
    </w:p>
    <w:p>
      <w:pPr>
        <w:spacing w:after="0" w:line="32" w:lineRule="exact"/>
        <w:rPr>
          <w:sz w:val="24"/>
          <w:szCs w:val="24"/>
          <w:color w:val="auto"/>
        </w:rPr>
      </w:pPr>
    </w:p>
    <w:p>
      <w:pPr>
        <w:jc w:val="center"/>
        <w:ind w:right="1500"/>
        <w:spacing w:after="0"/>
        <w:rPr>
          <w:sz w:val="20"/>
          <w:szCs w:val="20"/>
          <w:color w:val="auto"/>
        </w:rPr>
      </w:pPr>
      <w:r>
        <w:rPr>
          <w:rFonts w:ascii="Arial" w:cs="Arial" w:eastAsia="Arial" w:hAnsi="Arial"/>
          <w:sz w:val="16"/>
          <w:szCs w:val="16"/>
          <w:b w:val="1"/>
          <w:bCs w:val="1"/>
          <w:color w:val="auto"/>
        </w:rPr>
        <w:t>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26-1303944</w:t>
      </w:r>
    </w:p>
    <w:p>
      <w:pPr>
        <w:spacing w:after="0" w:line="27" w:lineRule="exact"/>
        <w:rPr>
          <w:sz w:val="24"/>
          <w:szCs w:val="24"/>
          <w:color w:val="auto"/>
        </w:rPr>
      </w:pPr>
    </w:p>
    <w:p>
      <w:pPr>
        <w:jc w:val="center"/>
        <w:ind w:right="880"/>
        <w:spacing w:after="0"/>
        <w:rPr>
          <w:sz w:val="20"/>
          <w:szCs w:val="20"/>
          <w:color w:val="auto"/>
        </w:rPr>
      </w:pPr>
      <w:r>
        <w:rPr>
          <w:rFonts w:ascii="Arial" w:cs="Arial" w:eastAsia="Arial" w:hAnsi="Arial"/>
          <w:sz w:val="18"/>
          <w:szCs w:val="18"/>
          <w:b w:val="1"/>
          <w:bCs w:val="1"/>
          <w:color w:val="auto"/>
        </w:rPr>
        <w:t>(IRS Employer</w:t>
      </w:r>
    </w:p>
    <w:p>
      <w:pPr>
        <w:spacing w:after="0" w:line="9" w:lineRule="exact"/>
        <w:rPr>
          <w:sz w:val="24"/>
          <w:szCs w:val="24"/>
          <w:color w:val="auto"/>
        </w:rPr>
      </w:pPr>
    </w:p>
    <w:p>
      <w:pPr>
        <w:jc w:val="center"/>
        <w:ind w:right="880"/>
        <w:spacing w:after="0"/>
        <w:rPr>
          <w:sz w:val="20"/>
          <w:szCs w:val="20"/>
          <w:color w:val="auto"/>
        </w:rPr>
      </w:pPr>
      <w:r>
        <w:rPr>
          <w:rFonts w:ascii="Arial" w:cs="Arial" w:eastAsia="Arial" w:hAnsi="Arial"/>
          <w:sz w:val="16"/>
          <w:szCs w:val="16"/>
          <w:b w:val="1"/>
          <w:bCs w:val="1"/>
          <w:color w:val="auto"/>
        </w:rPr>
        <w:t>Identification Number)</w:t>
      </w:r>
    </w:p>
    <w:p>
      <w:pPr>
        <w:spacing w:after="0" w:line="222" w:lineRule="exact"/>
        <w:rPr>
          <w:sz w:val="24"/>
          <w:szCs w:val="24"/>
          <w:color w:val="auto"/>
        </w:rPr>
      </w:pPr>
    </w:p>
    <w:p>
      <w:pPr>
        <w:sectPr>
          <w:pgSz w:w="11900" w:h="16838" w:orient="portrait"/>
          <w:cols w:equalWidth="0" w:num="3">
            <w:col w:w="4400" w:space="720"/>
            <w:col w:w="2520" w:space="720"/>
            <w:col w:w="2680"/>
          </w:cols>
          <w:pgMar w:left="440" w:top="368" w:right="419" w:bottom="1440" w:gutter="0" w:footer="0" w:header="0"/>
          <w:type w:val="continuous"/>
        </w:sectPr>
      </w:pP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34175 Ardenwood Blvd.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Fremont, CA 94555</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ectPr>
          <w:pgSz w:w="11900" w:h="16838" w:orient="portrait"/>
          <w:cols w:equalWidth="0" w:num="1">
            <w:col w:w="11040"/>
          </w:cols>
          <w:pgMar w:left="440" w:top="368" w:right="419" w:bottom="1440" w:gutter="0" w:footer="0" w:header="0"/>
          <w:type w:val="continuous"/>
        </w:sectPr>
      </w:pPr>
    </w:p>
    <w:p>
      <w:pPr>
        <w:spacing w:after="0" w:line="21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 (510) 745-1700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248920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p>
      <w:pPr>
        <w:ind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0" w:hanging="436"/>
        <w:spacing w:after="0"/>
        <w:tabs>
          <w:tab w:leader="none" w:pos="4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3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0"/>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ARDX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Global Market</w:t>
            </w:r>
          </w:p>
        </w:tc>
        <w:tc>
          <w:tcPr>
            <w:tcW w:w="0" w:type="dxa"/>
            <w:vAlign w:val="bottom"/>
          </w:tcPr>
          <w:p>
            <w:pPr>
              <w:spacing w:after="0"/>
              <w:rPr>
                <w:sz w:val="1"/>
                <w:szCs w:val="1"/>
                <w:color w:val="auto"/>
              </w:rPr>
            </w:pPr>
          </w:p>
        </w:tc>
      </w:tr>
      <w:tr>
        <w:trPr>
          <w:trHeight w:val="211"/>
        </w:trPr>
        <w:tc>
          <w:tcPr>
            <w:tcW w:w="37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37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35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5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368" w:right="419" w:bottom="1440" w:gutter="0" w:footer="0" w:header="0"/>
          <w:type w:val="continuous"/>
        </w:sectPr>
      </w:pPr>
    </w:p>
    <w:bookmarkStart w:id="1" w:name="page2"/>
    <w:bookmarkEnd w:id="1"/>
    <w:p>
      <w:pPr>
        <w:ind w:left="1100" w:right="1080" w:hanging="1093"/>
        <w:spacing w:after="0" w:line="282" w:lineRule="auto"/>
        <w:tabs>
          <w:tab w:leader="none" w:pos="10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w:t>
      </w:r>
    </w:p>
    <w:p>
      <w:pPr>
        <w:spacing w:after="0" w:line="16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November 25, 2019, Mark Kaufmann informed Ardelyx, Inc. (the “Company”) of his resignation, effective in March 2020, as the Company’s Chief Financial Officer, in order to pursue other career opportunities.</w:t>
      </w:r>
    </w:p>
    <w:p>
      <w:pPr>
        <w:spacing w:after="0" w:line="170"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In connection with Mr. Kaufmann’s resignation, on November 25, 2019 (the “Effective Date”), the Company and Mr. Kaufmann entered into a Transition and Separation Agreement (the “Agreement”), pursuant to which Mr. Kaufmann is expected to continue to serve as the Company’s Chief Financial Officer until the later of March 13, 2020 or the date that is five business days after the filing of the Company’s Annual Report on Form 10-K for the fiscal year ending December 31, 2019 (such later date, the “Planned Separation Date”). Under the Agreement, for so long as Mr. Kaufmann serves as the Company’s Chief Financial Officer, Mr. Kaufmann will continue to receive his base salary as in effect immediately prior to the Effective Date (the “Base Salary”), and be eligible to receive up to his annual target bonus of 40% of his Base Salary (the “Target Bonus”) for the year ending December 31, 2019, and Mr. Kaufmann’s outstanding equity awards will continue to vest. In addition, the Agreement provides that if Mr. Kaufmann continues to serve as Chief Financial Officer until the Planned Separation Date and timely provides the Company a general release of claims,</w:t>
      </w:r>
    </w:p>
    <w:p>
      <w:pPr>
        <w:spacing w:after="0" w:line="1"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Mr. Kaufmann would receive, after the Planned Separation Date, among other things: (i) a severance payment equal to $300,000, which represents nine months of Mr. Kaufmann’s Base Salary, (ii) continued health care coverage for himself and his covered dependents under the provisions of the Consolidated Omnibus Budget Reconciliation Act of 1985, as amended, until the earlier of the one year anniversary of the Planned Separation Date or the date he becomes eligible for healthcare coverage from another employer, and (iii) continued eligibility to vest in 100,000 restricted stock units in the event the Company’s new drug application for tenapanor for the treatment of hyperphosphatemia is accepted for filing by the U.S. Food and Drug Administration on or before December 31, 2020. The Agreement further provides that the benefits and compensation provided under Mr. Kaufmann’s existing Change in Control and Severance Agreement with respect to any Change in Control of the Company continue to apply. The Agreement also includes a general release of claims in favor of the Company.</w:t>
      </w:r>
    </w:p>
    <w:p>
      <w:pPr>
        <w:spacing w:after="0" w:line="18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foregoing is only a summary of the material terms of the Agreement, does not purport to be a complete description of the rights and obligations of the parties thereunder and is qualified in its entirety by reference to the Agreement, which the Company expects to file as an exhibit to its Annual Report on Form 10-K for the year ending December 31, 2019.</w:t>
      </w:r>
    </w:p>
    <w:p>
      <w:pPr>
        <w:sectPr>
          <w:pgSz w:w="11900" w:h="16838" w:orient="portrait"/>
          <w:cols w:equalWidth="0" w:num="1">
            <w:col w:w="11000"/>
          </w:cols>
          <w:pgMar w:left="440" w:top="270" w:right="4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97"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November 26, 2019</w:t>
      </w:r>
      <w:r>
        <w:rPr>
          <w:sz w:val="20"/>
          <w:szCs w:val="20"/>
          <w:color w:val="auto"/>
        </w:rPr>
        <w:tab/>
      </w:r>
      <w:r>
        <w:rPr>
          <w:rFonts w:ascii="Arial" w:cs="Arial" w:eastAsia="Arial" w:hAnsi="Arial"/>
          <w:sz w:val="17"/>
          <w:szCs w:val="17"/>
          <w:color w:val="auto"/>
        </w:rPr>
        <w:t>ARDELYX, INC.</w:t>
      </w:r>
    </w:p>
    <w:p>
      <w:pPr>
        <w:spacing w:after="0" w:line="225" w:lineRule="exact"/>
        <w:rPr>
          <w:sz w:val="20"/>
          <w:szCs w:val="20"/>
          <w:color w:val="auto"/>
        </w:rPr>
      </w:pPr>
    </w:p>
    <w:p>
      <w:pPr>
        <w:ind w:left="5640"/>
        <w:spacing w:after="0"/>
        <w:tabs>
          <w:tab w:leader="none" w:pos="60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Elizabeth Grammer</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Elizabeth Grammer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-130810</wp:posOffset>
            </wp:positionV>
            <wp:extent cx="321564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1564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Executive Vice President, General Counsel and Secretary</w:t>
      </w:r>
    </w:p>
    <w:sectPr>
      <w:pgSz w:w="11900" w:h="16838" w:orient="portrait"/>
      <w:cols w:equalWidth="0" w:num="1">
        <w:col w:w="10960"/>
      </w:cols>
      <w:pgMar w:left="440" w:top="270"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2019-11-27T23:40:16Z</dcterms:created>
  <dcterms:modified xsi:type="dcterms:W3CDTF">2019-11-27T23:40:16Z</dcterms:modified>
</cp:coreProperties>
</file>