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152400</wp:posOffset>
            </wp:positionV>
            <wp:extent cx="277876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Up to $50,000,000</w:t>
      </w:r>
    </w:p>
    <w:p>
      <w:pPr>
        <w:spacing w:after="0" w:line="224"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140" w:firstLine="348"/>
        <w:spacing w:after="0" w:line="306" w:lineRule="auto"/>
        <w:rPr>
          <w:sz w:val="20"/>
          <w:szCs w:val="20"/>
          <w:color w:val="auto"/>
        </w:rPr>
      </w:pPr>
      <w:r>
        <w:rPr>
          <w:rFonts w:ascii="Arial" w:cs="Arial" w:eastAsia="Arial" w:hAnsi="Arial"/>
          <w:sz w:val="16"/>
          <w:szCs w:val="16"/>
          <w:color w:val="auto"/>
        </w:rPr>
        <w:t>We have entered into a sales agreement with Leerink Partners LLC, or Leerink, relating to shares of our common stock offered by this prospectus supplement. In accordance with the terms of the sales agreement, under this prospectus supplement we may offer and sell shares of our common stock, $0.0001 par value per share, having an aggregate offering price of up to $50,000,000 from time to time through Leerink, acting as agent.</w:t>
      </w:r>
    </w:p>
    <w:p>
      <w:pPr>
        <w:spacing w:after="0" w:line="161"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"ARDX." On August 7, 2018, the last reported sale price of our common stock on The Nasdaq Global Market was $4.20 per share.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Sales of our common stock, if any, under this prospectus supplement may be made in sales deemed to be an "at the market offering" as defined in</w:t>
      </w:r>
    </w:p>
    <w:p>
      <w:pPr>
        <w:spacing w:after="0" w:line="38" w:lineRule="exact"/>
        <w:rPr>
          <w:sz w:val="24"/>
          <w:szCs w:val="24"/>
          <w:color w:val="auto"/>
        </w:rPr>
      </w:pPr>
    </w:p>
    <w:p>
      <w:pPr>
        <w:jc w:val="both"/>
        <w:spacing w:after="0" w:line="295" w:lineRule="auto"/>
        <w:rPr>
          <w:sz w:val="20"/>
          <w:szCs w:val="20"/>
          <w:color w:val="auto"/>
        </w:rPr>
      </w:pPr>
      <w:r>
        <w:rPr>
          <w:rFonts w:ascii="Arial" w:cs="Arial" w:eastAsia="Arial" w:hAnsi="Arial"/>
          <w:sz w:val="16"/>
          <w:szCs w:val="16"/>
          <w:color w:val="auto"/>
        </w:rPr>
        <w:t>Rule 415(a)(4) promulgated under the Securities Act of 1933, as amended, or the Securities Act, including sales made directly on or through The Nasdaq Global Market or any other existing trading market for our common stock. Leerink will act as sales agent on a best efforts basis and use commercially reasonable efforts to sell on our behalf all of the shares of common stock requested to be sold by us, consistent with its normal trading and sales practices, on mutually agreed terms between Leerink and us. There is no arrangement for funds to be received in any escrow, trust or similar arrangement.</w:t>
      </w:r>
    </w:p>
    <w:p>
      <w:pPr>
        <w:spacing w:after="0" w:line="169" w:lineRule="exact"/>
        <w:rPr>
          <w:sz w:val="24"/>
          <w:szCs w:val="24"/>
          <w:color w:val="auto"/>
        </w:rPr>
      </w:pPr>
    </w:p>
    <w:p>
      <w:pPr>
        <w:ind w:right="220" w:firstLine="351"/>
        <w:spacing w:after="0" w:line="259" w:lineRule="auto"/>
        <w:rPr>
          <w:sz w:val="20"/>
          <w:szCs w:val="20"/>
          <w:color w:val="auto"/>
        </w:rPr>
      </w:pPr>
      <w:r>
        <w:rPr>
          <w:rFonts w:ascii="Arial" w:cs="Arial" w:eastAsia="Arial" w:hAnsi="Arial"/>
          <w:sz w:val="18"/>
          <w:szCs w:val="18"/>
          <w:color w:val="auto"/>
        </w:rPr>
        <w:t>Leerink will be entitled to compensation at a fixed commission rate of 3.0% of the gross sales price per share sold. In connection with the sale of our common stock on our behalf, Leerink will be deemed to be an "underwriter" within the meaning of the Securities Act and the compensation of Leerink will be deemed to be underwriting commissions or discounts.</w:t>
      </w:r>
    </w:p>
    <w:p>
      <w:pPr>
        <w:spacing w:after="0" w:line="175" w:lineRule="exact"/>
        <w:rPr>
          <w:sz w:val="24"/>
          <w:szCs w:val="24"/>
          <w:color w:val="auto"/>
        </w:rPr>
      </w:pPr>
    </w:p>
    <w:p>
      <w:pPr>
        <w:ind w:right="140" w:firstLine="351"/>
        <w:spacing w:after="0" w:line="243" w:lineRule="auto"/>
        <w:rPr>
          <w:sz w:val="20"/>
          <w:szCs w:val="20"/>
          <w:color w:val="auto"/>
        </w:rPr>
      </w:pPr>
      <w:r>
        <w:rPr>
          <w:rFonts w:ascii="Arial" w:cs="Arial" w:eastAsia="Arial" w:hAnsi="Arial"/>
          <w:sz w:val="22"/>
          <w:szCs w:val="22"/>
          <w:b w:val="1"/>
          <w:bCs w:val="1"/>
          <w:color w:val="auto"/>
        </w:rPr>
        <w:t>Investing in our common stock involves a high degree of risk. Before making an investment decision, please read the information under the heading "Risk Factors" beginning on page S-6 of this prospectus supplement and in the documents incorporated by reference into this prospectus supplement.</w:t>
      </w:r>
    </w:p>
    <w:p>
      <w:pPr>
        <w:spacing w:after="0" w:line="190" w:lineRule="exact"/>
        <w:rPr>
          <w:sz w:val="24"/>
          <w:szCs w:val="24"/>
          <w:color w:val="auto"/>
        </w:rPr>
      </w:pPr>
    </w:p>
    <w:p>
      <w:pPr>
        <w:ind w:right="8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Leerink Partners</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date of this prospectus supplement is August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60" w:type="dxa"/>
            <w:vAlign w:val="bottom"/>
            <w:gridSpan w:val="6"/>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52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4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520" w:type="dxa"/>
            <w:vAlign w:val="bottom"/>
            <w:gridSpan w:val="24"/>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60" w:type="dxa"/>
            <w:vAlign w:val="bottom"/>
            <w:tcBorders>
              <w:bottom w:val="single" w:sz="8" w:color="0000EE"/>
            </w:tcBorders>
            <w:gridSpan w:val="17"/>
          </w:tcPr>
          <w:p>
            <w:pPr>
              <w:spacing w:after="0" w:line="184"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ABOUT THIS PROSPECTUS SUPPLEMENT</w:t>
              </w:r>
            </w:hyperlink>
          </w:p>
        </w:tc>
        <w:tc>
          <w:tcPr>
            <w:tcW w:w="5160" w:type="dxa"/>
            <w:vAlign w:val="bottom"/>
            <w:gridSpan w:val="7"/>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3">
              <w:r>
                <w:rPr>
                  <w:rFonts w:ascii="Arial" w:cs="Arial" w:eastAsia="Arial" w:hAnsi="Arial"/>
                  <w:sz w:val="14"/>
                  <w:szCs w:val="14"/>
                  <w:color w:val="0000EE"/>
                  <w:w w:val="73"/>
                </w:rPr>
                <w:t>S-1</w:t>
              </w:r>
            </w:hyperlink>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MARKET, INDUSTRY AND OTHER DATA</w:t>
              </w:r>
            </w:hyperlink>
          </w:p>
        </w:tc>
        <w:tc>
          <w:tcPr>
            <w:tcW w:w="52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4">
              <w:r>
                <w:rPr>
                  <w:rFonts w:ascii="Arial" w:cs="Arial" w:eastAsia="Arial" w:hAnsi="Arial"/>
                  <w:sz w:val="14"/>
                  <w:szCs w:val="14"/>
                  <w:color w:val="0000EE"/>
                  <w:w w:val="73"/>
                </w:rPr>
                <w:t>S-2</w:t>
              </w:r>
            </w:hyperlink>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PROSPECTUS SUPPLEMENT SUMMARY</w:t>
              </w:r>
            </w:hyperlink>
          </w:p>
        </w:tc>
        <w:tc>
          <w:tcPr>
            <w:tcW w:w="530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5">
              <w:r>
                <w:rPr>
                  <w:rFonts w:ascii="Arial" w:cs="Arial" w:eastAsia="Arial" w:hAnsi="Arial"/>
                  <w:sz w:val="14"/>
                  <w:szCs w:val="14"/>
                  <w:color w:val="0000EE"/>
                  <w:w w:val="73"/>
                </w:rPr>
                <w:t>S-3</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THE OFFERING</w:t>
              </w:r>
            </w:hyperlink>
          </w:p>
        </w:tc>
        <w:tc>
          <w:tcPr>
            <w:tcW w:w="726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7">
              <w:r>
                <w:rPr>
                  <w:rFonts w:ascii="Arial" w:cs="Arial" w:eastAsia="Arial" w:hAnsi="Arial"/>
                  <w:sz w:val="14"/>
                  <w:szCs w:val="14"/>
                  <w:color w:val="0000EE"/>
                  <w:w w:val="73"/>
                </w:rPr>
                <w:t>S-5</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8">
              <w:r>
                <w:rPr>
                  <w:rFonts w:ascii="Arial" w:cs="Arial" w:eastAsia="Arial" w:hAnsi="Arial"/>
                  <w:sz w:val="14"/>
                  <w:szCs w:val="14"/>
                  <w:color w:val="0000EE"/>
                  <w:w w:val="73"/>
                </w:rPr>
                <w:t>S-6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SPECIAL NOTE REGARDING FORWARD-LOOKING STATEMENTS</w:t>
              </w:r>
            </w:hyperlink>
          </w:p>
        </w:tc>
        <w:tc>
          <w:tcPr>
            <w:tcW w:w="33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9">
              <w:r>
                <w:rPr>
                  <w:rFonts w:ascii="Arial" w:cs="Arial" w:eastAsia="Arial" w:hAnsi="Arial"/>
                  <w:sz w:val="14"/>
                  <w:szCs w:val="14"/>
                  <w:color w:val="0000EE"/>
                  <w:w w:val="73"/>
                </w:rPr>
                <w:t>S-7</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USE OF PROCEEDS</w:t>
              </w:r>
            </w:hyperlink>
          </w:p>
        </w:tc>
        <w:tc>
          <w:tcPr>
            <w:tcW w:w="696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11">
              <w:r>
                <w:rPr>
                  <w:rFonts w:ascii="Arial" w:cs="Arial" w:eastAsia="Arial" w:hAnsi="Arial"/>
                  <w:sz w:val="14"/>
                  <w:szCs w:val="14"/>
                  <w:color w:val="0000EE"/>
                  <w:w w:val="73"/>
                </w:rPr>
                <w:t>S-9</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DILUTION</w:t>
              </w:r>
            </w:hyperlink>
          </w:p>
        </w:tc>
        <w:tc>
          <w:tcPr>
            <w:tcW w:w="1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12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652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10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WHERE YOU CAN FIND MORE INFORMATION</w:t>
              </w:r>
            </w:hyperlink>
          </w:p>
        </w:tc>
        <w:tc>
          <w:tcPr>
            <w:tcW w:w="47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INFORMATION INCORPORATED BY REFERENCE</w:t>
              </w:r>
            </w:hyperlink>
          </w:p>
        </w:tc>
        <w:tc>
          <w:tcPr>
            <w:tcW w:w="45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444"/>
        </w:trPr>
        <w:tc>
          <w:tcPr>
            <w:tcW w:w="8520" w:type="dxa"/>
            <w:vAlign w:val="bottom"/>
            <w:gridSpan w:val="24"/>
          </w:tcPr>
          <w:p>
            <w:pPr>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520" w:type="dxa"/>
            <w:vAlign w:val="bottom"/>
            <w:gridSpan w:val="24"/>
          </w:tcPr>
          <w:p>
            <w:pPr>
              <w:spacing w:after="0" w:line="184" w:lineRule="exact"/>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460" w:type="dxa"/>
            <w:vAlign w:val="bottom"/>
            <w:gridSpan w:val="4"/>
          </w:tcPr>
          <w:p>
            <w:pPr>
              <w:jc w:val="right"/>
              <w:spacing w:after="0" w:line="184" w:lineRule="exact"/>
              <w:rPr>
                <w:rFonts w:ascii="Arial" w:cs="Arial" w:eastAsia="Arial" w:hAnsi="Arial"/>
                <w:sz w:val="18"/>
                <w:szCs w:val="18"/>
                <w:color w:val="0000EE"/>
              </w:rPr>
            </w:pPr>
            <w:hyperlink w:anchor="page19">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WHERE YOU CAN FIND MORE INFORMATION; INCORPORATION BY REFERENCE</w:t>
              </w:r>
            </w:hyperlink>
          </w:p>
        </w:tc>
        <w:tc>
          <w:tcPr>
            <w:tcW w:w="194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ABOUT ARDELYX</w:t>
              </w:r>
            </w:hyperlink>
          </w:p>
        </w:tc>
        <w:tc>
          <w:tcPr>
            <w:tcW w:w="7040" w:type="dxa"/>
            <w:vAlign w:val="bottom"/>
            <w:gridSpan w:val="18"/>
          </w:tcPr>
          <w:p>
            <w:pPr>
              <w:spacing w:after="0"/>
              <w:rPr>
                <w:sz w:val="17"/>
                <w:szCs w:val="17"/>
                <w:color w:val="auto"/>
              </w:rPr>
            </w:pPr>
          </w:p>
        </w:tc>
        <w:tc>
          <w:tcPr>
            <w:tcW w:w="3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460" w:type="dxa"/>
            <w:vAlign w:val="bottom"/>
            <w:gridSpan w:val="4"/>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USE OF PROCEEDS</w:t>
              </w:r>
            </w:hyperlink>
          </w:p>
        </w:tc>
        <w:tc>
          <w:tcPr>
            <w:tcW w:w="6960" w:type="dxa"/>
            <w:vAlign w:val="bottom"/>
            <w:gridSpan w:val="17"/>
          </w:tcPr>
          <w:p>
            <w:pPr>
              <w:spacing w:after="0"/>
              <w:rPr>
                <w:sz w:val="17"/>
                <w:szCs w:val="17"/>
                <w:color w:val="auto"/>
              </w:rPr>
            </w:pPr>
          </w:p>
        </w:tc>
        <w:tc>
          <w:tcPr>
            <w:tcW w:w="3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600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RATIO OF EARNINGS TO FIXED CHARGES AND PREFERENCE DIVIDENDS</w:t>
              </w:r>
            </w:hyperlink>
          </w:p>
        </w:tc>
        <w:tc>
          <w:tcPr>
            <w:tcW w:w="2520" w:type="dxa"/>
            <w:vAlign w:val="bottom"/>
            <w:gridSpan w:val="2"/>
          </w:tcPr>
          <w:p>
            <w:pPr>
              <w:spacing w:after="0"/>
              <w:rPr>
                <w:sz w:val="17"/>
                <w:szCs w:val="17"/>
                <w:color w:val="auto"/>
              </w:rPr>
            </w:pPr>
          </w:p>
        </w:tc>
        <w:tc>
          <w:tcPr>
            <w:tcW w:w="3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460" w:type="dxa"/>
            <w:vAlign w:val="bottom"/>
            <w:gridSpan w:val="4"/>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7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DESCRIPTION OF DEBT SECURITIES</w:t>
              </w:r>
            </w:hyperlink>
          </w:p>
        </w:tc>
        <w:tc>
          <w:tcPr>
            <w:tcW w:w="5560" w:type="dxa"/>
            <w:vAlign w:val="bottom"/>
            <w:gridSpan w:val="10"/>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WARRANTS</w:t>
              </w:r>
            </w:hyperlink>
          </w:p>
        </w:tc>
        <w:tc>
          <w:tcPr>
            <w:tcW w:w="46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7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PURCHASE CONTRACTS</w:t>
              </w:r>
            </w:hyperlink>
          </w:p>
        </w:tc>
        <w:tc>
          <w:tcPr>
            <w:tcW w:w="460" w:type="dxa"/>
            <w:vAlign w:val="bottom"/>
            <w:gridSpan w:val="4"/>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96"/>
        </w:trPr>
        <w:tc>
          <w:tcPr>
            <w:tcW w:w="1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DESCRIPTION OF UNITS</w:t>
              </w:r>
            </w:hyperlink>
          </w:p>
        </w:tc>
        <w:tc>
          <w:tcPr>
            <w:tcW w:w="1480" w:type="dxa"/>
            <w:vAlign w:val="bottom"/>
            <w:tcBorders>
              <w:top w:val="single" w:sz="8" w:color="0000EE"/>
            </w:tcBorders>
            <w:gridSpan w:val="9"/>
          </w:tcPr>
          <w:p>
            <w:pPr>
              <w:spacing w:after="0"/>
              <w:rPr>
                <w:sz w:val="17"/>
                <w:szCs w:val="17"/>
                <w:color w:val="auto"/>
              </w:rPr>
            </w:pPr>
          </w:p>
        </w:tc>
        <w:tc>
          <w:tcPr>
            <w:tcW w:w="5060" w:type="dxa"/>
            <w:vAlign w:val="bottom"/>
            <w:gridSpan w:val="6"/>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GLOBAL SECURITIES</w:t>
              </w:r>
            </w:hyperlink>
          </w:p>
        </w:tc>
        <w:tc>
          <w:tcPr>
            <w:tcW w:w="6760" w:type="dxa"/>
            <w:vAlign w:val="bottom"/>
            <w:gridSpan w:val="16"/>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460" w:type="dxa"/>
            <w:vAlign w:val="bottom"/>
            <w:gridSpan w:val="4"/>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6520" w:type="dxa"/>
            <w:vAlign w:val="bottom"/>
            <w:gridSpan w:val="14"/>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100" w:type="dxa"/>
            <w:vAlign w:val="bottom"/>
            <w:gridSpan w:val="19"/>
          </w:tcPr>
          <w:p>
            <w:pPr>
              <w:spacing w:after="0"/>
              <w:rPr>
                <w:sz w:val="17"/>
                <w:szCs w:val="17"/>
                <w:color w:val="auto"/>
              </w:rPr>
            </w:pPr>
          </w:p>
        </w:tc>
        <w:tc>
          <w:tcPr>
            <w:tcW w:w="2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This prospectus supplement is part of a registration statement that we have filed with the U.S. Securities and Exchange Commission, or the SEC, utilizing a "shelf" registration process. By using a shelf registration statement, we may offer shares of our common stock having an aggregate offering price of up to $50,000,000 from time to time under this prospectus supplement at prices and on terms to be determined by market conditions at the time of offering.</w:t>
      </w:r>
    </w:p>
    <w:p>
      <w:pPr>
        <w:spacing w:after="0" w:line="16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72" w:lineRule="exact"/>
        <w:rPr>
          <w:sz w:val="20"/>
          <w:szCs w:val="20"/>
          <w:color w:val="auto"/>
        </w:rPr>
      </w:pPr>
    </w:p>
    <w:p>
      <w:pPr>
        <w:ind w:firstLine="345"/>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and in any free writing prospectus that we may authorize for use in connection with this offering. We have not, and Leerink Partners, or Leerink, has not, authorized any other person to provide you with different information. If anyone provides you with different or inconsistent information, you should not rely on it. We are not, and Leerink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18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70"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common stock of the Company.</w:t>
      </w:r>
    </w:p>
    <w:p>
      <w:pPr>
        <w:spacing w:after="0" w:line="18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Ardelyx® and our logo are some of our trademarks used in this prospectus. This prospectus also includes trademarks, tradenames, and service marks that are the property of other organizations. Solely for convenience, our trademarks and tradenames referred to in this prospectus supplement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INDUSTRY AND OTHER DATA</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including the information incorporated by reference,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S-6 and incorporated by reference to our annual report on Form 10-K, our quarterly reports on Form 10-Q and our current reports on Form 8-K that include risk factors.</w:t>
      </w: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Ardelyx,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80" w:firstLine="348"/>
        <w:spacing w:after="0" w:line="294" w:lineRule="auto"/>
        <w:rPr>
          <w:sz w:val="20"/>
          <w:szCs w:val="20"/>
          <w:color w:val="auto"/>
        </w:rPr>
      </w:pPr>
      <w:r>
        <w:rPr>
          <w:rFonts w:ascii="Arial" w:cs="Arial" w:eastAsia="Arial" w:hAnsi="Arial"/>
          <w:sz w:val="16"/>
          <w:szCs w:val="16"/>
          <w:color w:val="auto"/>
        </w:rPr>
        <w:t>We are a specialized biopharmaceutical company focused on developing first-in-class, disruptive medicines for the treatment of renal diseases. Our primary therapeutic focus is on treating people with renal diseases, which affect both the heart and the kidneys. This includes patients with end-stage renal disease, or ESRD, who suffer from elevated serum phosphorus, or hyperphosphatemia; patients with chronic kidney disease, or CKD, and/or heart failure patients with elevated serum potassium, or hyperkalemia. We have also developed a number of programs directed toward treating gastrointestinal, or GI, disorders, including the treatment of irritable bowel syndrome with constipation, or IBS-C.</w:t>
      </w:r>
    </w:p>
    <w:p>
      <w:pPr>
        <w:spacing w:after="0" w:line="170" w:lineRule="exact"/>
        <w:rPr>
          <w:sz w:val="20"/>
          <w:szCs w:val="20"/>
          <w:color w:val="auto"/>
        </w:rPr>
      </w:pPr>
    </w:p>
    <w:p>
      <w:pPr>
        <w:ind w:left="240" w:firstLine="351"/>
        <w:spacing w:after="0" w:line="290" w:lineRule="auto"/>
        <w:rPr>
          <w:sz w:val="20"/>
          <w:szCs w:val="20"/>
          <w:color w:val="auto"/>
        </w:rPr>
      </w:pPr>
      <w:r>
        <w:rPr>
          <w:rFonts w:ascii="Arial" w:cs="Arial" w:eastAsia="Arial" w:hAnsi="Arial"/>
          <w:sz w:val="16"/>
          <w:szCs w:val="16"/>
          <w:color w:val="auto"/>
        </w:rPr>
        <w:t>Our portfolio is led by the development of tenapanor, a first-in-class inhibitor of NHE3. In our renal pipeline, tenapanor is being evaluated in a second Phase 3 trial for the treatment of hyperphosphatemia in patients with ESRD who are on dialysis. This registration trial follows a successful first Phase 3 trial completed in 2017, which achieved statistical significance for the primary endpoint. We are also advancing a small molecule potassium secretagogue program, RDX013, for the potential treatment of hyperkalemia. We believe that both tenapanor and RDX013 have the potential to provide treatment options that are differentiated significantly from binders, the current standards of care in both of these markets. We believe our small molecule approach to treating these conditions could significantly reduce the pill burden for patients, leading to higher compliance, and offer completely new mechanisms of action that interact with receptors in the gut, potentially allowing improved efficacy in some patients.</w:t>
      </w:r>
    </w:p>
    <w:p>
      <w:pPr>
        <w:spacing w:after="0" w:line="172" w:lineRule="exact"/>
        <w:rPr>
          <w:sz w:val="20"/>
          <w:szCs w:val="20"/>
          <w:color w:val="auto"/>
        </w:rPr>
      </w:pPr>
    </w:p>
    <w:p>
      <w:pPr>
        <w:ind w:left="240" w:right="80" w:firstLine="351"/>
        <w:spacing w:after="0" w:line="254" w:lineRule="auto"/>
        <w:rPr>
          <w:sz w:val="20"/>
          <w:szCs w:val="20"/>
          <w:color w:val="auto"/>
        </w:rPr>
      </w:pPr>
      <w:r>
        <w:rPr>
          <w:rFonts w:ascii="Arial" w:cs="Arial" w:eastAsia="Arial" w:hAnsi="Arial"/>
          <w:sz w:val="18"/>
          <w:szCs w:val="18"/>
          <w:color w:val="auto"/>
        </w:rPr>
        <w:t>In addition to the development for renal diseases, we have developed tenapanor for the treatment of patients with IBS-C. In 2017, we completed the T3MPO program for this indication, including two Phase 3 trials, both of which achieved statistical significance for the primary endpoint, and a long-term safety extension study. We believe that data from the T3MPO program collectively demonstrated the ability of tenapanor to provide sustained relief of constipation and reduced abdominal pain with a generally favorable tolerability profile. Based on the results of the T3MPO clinical program in IBS-C, we are preparing to submit our first New Drug Application, or NDA, to the U.S. Food and Drug Administration, or FDA, early in the fourth quarter of 2018 for tenapanor for the treatment of IBS-C.</w:t>
      </w:r>
    </w:p>
    <w:p>
      <w:pPr>
        <w:spacing w:after="0" w:line="198" w:lineRule="exact"/>
        <w:rPr>
          <w:sz w:val="20"/>
          <w:szCs w:val="20"/>
          <w:color w:val="auto"/>
        </w:rPr>
      </w:pPr>
    </w:p>
    <w:p>
      <w:pPr>
        <w:ind w:left="240" w:right="100" w:firstLine="348"/>
        <w:spacing w:after="0" w:line="332" w:lineRule="auto"/>
        <w:rPr>
          <w:sz w:val="20"/>
          <w:szCs w:val="20"/>
          <w:color w:val="auto"/>
        </w:rPr>
      </w:pPr>
      <w:r>
        <w:rPr>
          <w:rFonts w:ascii="Arial" w:cs="Arial" w:eastAsia="Arial" w:hAnsi="Arial"/>
          <w:sz w:val="16"/>
          <w:szCs w:val="16"/>
          <w:color w:val="auto"/>
        </w:rPr>
        <w:t>We believe that tenapanor for the treatment of hyperphosphatemia could represent a market opportunity of between $500 million and $700 million in the United States and that tenapanor for the treatment of IBS-C could represent a market opportunity of over $500 million in the United States.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200" w:firstLine="348"/>
        <w:spacing w:after="0" w:line="259" w:lineRule="auto"/>
        <w:rPr>
          <w:sz w:val="20"/>
          <w:szCs w:val="20"/>
          <w:color w:val="auto"/>
        </w:rPr>
      </w:pPr>
      <w:r>
        <w:rPr>
          <w:rFonts w:ascii="Arial" w:cs="Arial" w:eastAsia="Arial" w:hAnsi="Arial"/>
          <w:sz w:val="18"/>
          <w:szCs w:val="18"/>
          <w:color w:val="auto"/>
        </w:rPr>
        <w:t>We were founded in October 2007 as a Delaware corporation under the name Nteryx, Inc. We changed our name to Ardelyx, Inc. in June 2008. Our principal executive offices are located at 34175 Ardenwood Blvd., Suite 200, Fremont, CA 94555, and our telephone number is (510) 745-1700. Our website address is www.ardelyx.com. The information on, or that can be accessed through, our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676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67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website is not part of this prospectus. We have included our website address as an inactive textual reference only.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are an "emerging growth company," as defined in the Jumpstart Our Business Startups Act of 2012. We will remain an emerging growth company</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until the earlier of (1) the last day of the fiscal year following the fifth anniversary of the completion of our initial public offering of common stock</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(December 31, 2019), (2) the last day of the fiscal year in which we have total annual gross revenue of at least $1.07 billion, (3) the last day of the fiscal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year in which we are deemed to be a large accelerated filer, which means the market value of our common stock that is held by non-affiliates exceeds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$700 million as of the prior June 30th, and (4) the date on which we have issued more than $1.0 billion in non-convertible debt during the prior three-year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2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82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131" w:right="479" w:bottom="1440" w:gutter="0" w:footer="0" w:header="0"/>
        </w:sectPr>
      </w:pPr>
    </w:p>
    <w:p>
      <w:pPr>
        <w:spacing w:after="0" w:line="254" w:lineRule="exact"/>
        <w:rPr>
          <w:sz w:val="20"/>
          <w:szCs w:val="20"/>
          <w:color w:val="auto"/>
        </w:rPr>
      </w:pPr>
    </w:p>
    <w:p>
      <w:pPr>
        <w:jc w:val="right"/>
        <w:ind w:left="240"/>
        <w:spacing w:after="0" w:line="332" w:lineRule="auto"/>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having an aggregate offering price of up to $50,000,000.</w:t>
      </w:r>
    </w:p>
    <w:p>
      <w:pPr>
        <w:spacing w:after="0" w:line="259" w:lineRule="exact"/>
        <w:rPr>
          <w:sz w:val="20"/>
          <w:szCs w:val="20"/>
          <w:color w:val="auto"/>
        </w:rPr>
      </w:pPr>
    </w:p>
    <w:p>
      <w:pPr>
        <w:sectPr>
          <w:pgSz w:w="11900" w:h="16838" w:orient="portrait"/>
          <w:cols w:equalWidth="0" w:num="2">
            <w:col w:w="1340" w:space="280"/>
            <w:col w:w="956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Common stock</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be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outstanding</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after this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Up to 73,958,512 shares (as more fully described in the notes following this table), assuming sales of 11,904,761 shares of our common stock in this offering at an offering price of $4.20 per share, which was the last reported sale price of our common stock on The Nasdaq Global Market on August 7, 2018. The actual number of shares issued will vary depending on the sales price under this offering.</w:t>
      </w:r>
    </w:p>
    <w:p>
      <w:pPr>
        <w:spacing w:after="0" w:line="142" w:lineRule="exact"/>
        <w:rPr>
          <w:sz w:val="20"/>
          <w:szCs w:val="20"/>
          <w:color w:val="auto"/>
        </w:rPr>
      </w:pPr>
    </w:p>
    <w:p>
      <w:pPr>
        <w:sectPr>
          <w:pgSz w:w="11900" w:h="16838" w:orient="portrait"/>
          <w:cols w:equalWidth="0" w:num="2">
            <w:col w:w="1320" w:space="300"/>
            <w:col w:w="9560"/>
          </w:cols>
          <w:pgMar w:left="240" w:top="131" w:right="479" w:bottom="1440" w:gutter="0" w:footer="0" w:header="0"/>
          <w:type w:val="continuous"/>
        </w:sectPr>
      </w:pPr>
    </w:p>
    <w:p>
      <w:pPr>
        <w:jc w:val="right"/>
        <w:spacing w:after="0"/>
        <w:rPr>
          <w:sz w:val="20"/>
          <w:szCs w:val="20"/>
          <w:color w:val="auto"/>
        </w:rPr>
      </w:pPr>
      <w:r>
        <w:rPr>
          <w:rFonts w:ascii="Arial" w:cs="Arial" w:eastAsia="Arial" w:hAnsi="Arial"/>
          <w:sz w:val="16"/>
          <w:szCs w:val="16"/>
          <w:color w:val="auto"/>
        </w:rPr>
        <w:t>Manner of</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"At the market offering" that may be made from time to time through our sales agent, Leerink Partners LLC. See "Plan of Distribution" on page S-12.</w:t>
      </w:r>
    </w:p>
    <w:p>
      <w:pPr>
        <w:spacing w:after="0" w:line="186" w:lineRule="exact"/>
        <w:rPr>
          <w:sz w:val="20"/>
          <w:szCs w:val="20"/>
          <w:color w:val="auto"/>
        </w:rPr>
      </w:pPr>
    </w:p>
    <w:p>
      <w:pPr>
        <w:sectPr>
          <w:pgSz w:w="11900" w:h="16838" w:orient="portrait"/>
          <w:cols w:equalWidth="0" w:num="2">
            <w:col w:w="980" w:space="640"/>
            <w:col w:w="9560"/>
          </w:cols>
          <w:pgMar w:left="240" w:top="131" w:right="479" w:bottom="1440" w:gutter="0" w:footer="0" w:header="0"/>
          <w:type w:val="continuous"/>
        </w:sectPr>
      </w:pPr>
    </w:p>
    <w:p>
      <w:pPr>
        <w:jc w:val="center"/>
        <w:ind w:left="2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260"/>
        <w:spacing w:after="0" w:line="370" w:lineRule="auto"/>
        <w:rPr>
          <w:sz w:val="20"/>
          <w:szCs w:val="20"/>
          <w:color w:val="auto"/>
        </w:rPr>
      </w:pPr>
      <w:r>
        <w:rPr>
          <w:rFonts w:ascii="Arial" w:cs="Arial" w:eastAsia="Arial" w:hAnsi="Arial"/>
          <w:sz w:val="15"/>
          <w:szCs w:val="15"/>
          <w:color w:val="auto"/>
        </w:rPr>
        <w:t>We intend to use the net proceeds from this offering, if any, for general corporate purposes, which may include, among other things, increasing our working capital and funding research and development, and capital expenditures. See "Use of Proceeds" on page S-9.</w:t>
      </w:r>
    </w:p>
    <w:p>
      <w:pPr>
        <w:spacing w:after="0" w:line="116" w:lineRule="exact"/>
        <w:rPr>
          <w:sz w:val="20"/>
          <w:szCs w:val="20"/>
          <w:color w:val="auto"/>
        </w:rPr>
      </w:pPr>
    </w:p>
    <w:p>
      <w:pPr>
        <w:sectPr>
          <w:pgSz w:w="11900" w:h="16838" w:orient="portrait"/>
          <w:cols w:equalWidth="0" w:num="2">
            <w:col w:w="1380" w:space="240"/>
            <w:col w:w="956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You should read the "Risk Factors" section of this prospectus and in the documents incorporated by reference in this prospectus for a discussion of factors to consider before deciding to purchase shares of our common stock.</w:t>
      </w:r>
    </w:p>
    <w:p>
      <w:pPr>
        <w:spacing w:after="0" w:line="186" w:lineRule="exact"/>
        <w:rPr>
          <w:sz w:val="20"/>
          <w:szCs w:val="20"/>
          <w:color w:val="auto"/>
        </w:rPr>
      </w:pPr>
    </w:p>
    <w:p>
      <w:pPr>
        <w:sectPr>
          <w:pgSz w:w="11900" w:h="16838" w:orient="portrait"/>
          <w:cols w:equalWidth="0" w:num="2">
            <w:col w:w="1120" w:space="500"/>
            <w:col w:w="9560"/>
          </w:cols>
          <w:pgMar w:left="240" w:top="131" w:right="479" w:bottom="1440" w:gutter="0" w:footer="0" w:header="0"/>
          <w:type w:val="continuous"/>
        </w:sectPr>
      </w:pPr>
    </w:p>
    <w:p>
      <w:pPr>
        <w:ind w:left="240"/>
        <w:spacing w:after="0"/>
        <w:rPr>
          <w:sz w:val="20"/>
          <w:szCs w:val="20"/>
          <w:color w:val="auto"/>
        </w:rPr>
      </w:pPr>
      <w:r>
        <w:rPr>
          <w:rFonts w:ascii="Arial" w:cs="Arial" w:eastAsia="Arial" w:hAnsi="Arial"/>
          <w:sz w:val="18"/>
          <w:szCs w:val="18"/>
          <w:color w:val="auto"/>
        </w:rPr>
        <w:t>Symbol on The</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Nasdaq</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Global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"ARDX"</w:t>
      </w:r>
    </w:p>
    <w:p>
      <w:pPr>
        <w:spacing w:after="0" w:line="200" w:lineRule="exact"/>
        <w:rPr>
          <w:sz w:val="20"/>
          <w:szCs w:val="20"/>
          <w:color w:val="auto"/>
        </w:rPr>
      </w:pPr>
    </w:p>
    <w:p>
      <w:pPr>
        <w:sectPr>
          <w:pgSz w:w="11900" w:h="16838" w:orient="portrait"/>
          <w:cols w:equalWidth="0" w:num="2">
            <w:col w:w="1460" w:space="160"/>
            <w:col w:w="9560"/>
          </w:cols>
          <w:pgMar w:left="240" w:top="131" w:right="479" w:bottom="1440" w:gutter="0" w:footer="0" w:header="0"/>
          <w:type w:val="continuous"/>
        </w:sectPr>
      </w:pPr>
    </w:p>
    <w:p>
      <w:pPr>
        <w:spacing w:after="0" w:line="25" w:lineRule="exact"/>
        <w:rPr>
          <w:sz w:val="20"/>
          <w:szCs w:val="20"/>
          <w:color w:val="auto"/>
        </w:rPr>
      </w:pPr>
    </w:p>
    <w:p>
      <w:pPr>
        <w:ind w:left="240" w:firstLine="348"/>
        <w:spacing w:after="0" w:line="268" w:lineRule="auto"/>
        <w:rPr>
          <w:sz w:val="20"/>
          <w:szCs w:val="20"/>
          <w:color w:val="auto"/>
        </w:rPr>
      </w:pPr>
      <w:r>
        <w:rPr>
          <w:rFonts w:ascii="Arial" w:cs="Arial" w:eastAsia="Arial" w:hAnsi="Arial"/>
          <w:sz w:val="18"/>
          <w:szCs w:val="18"/>
          <w:color w:val="auto"/>
        </w:rPr>
        <w:t>The number of shares of common stock to be outstanding after this offering is based on 62,053,751 shares of common stock outstanding as of June 30, 2018, and excludes, in each case as of June 30, 2018:</w:t>
      </w:r>
    </w:p>
    <w:p>
      <w:pPr>
        <w:spacing w:after="0" w:line="213" w:lineRule="exact"/>
        <w:rPr>
          <w:sz w:val="20"/>
          <w:szCs w:val="20"/>
          <w:color w:val="auto"/>
        </w:rPr>
      </w:pPr>
    </w:p>
    <w:p>
      <w:pPr>
        <w:ind w:left="1320" w:right="36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5,098,029 shares of common stock issuable upon the exercise of outstanding stock options having a weighted-average exercise price of $9.09 per share;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2,172,899 shares of common stock issuable upon the exercise of outstanding warrants having an exercise price of $13.91 per share;</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611,445 shares of common stock issuable upon the settlement of outstanding restricted stock units;</w:t>
      </w:r>
    </w:p>
    <w:p>
      <w:pPr>
        <w:spacing w:after="0" w:line="252" w:lineRule="exact"/>
        <w:rPr>
          <w:rFonts w:ascii="Arial" w:cs="Arial" w:eastAsia="Arial" w:hAnsi="Arial"/>
          <w:sz w:val="18"/>
          <w:szCs w:val="18"/>
          <w:color w:val="auto"/>
        </w:rPr>
      </w:pPr>
    </w:p>
    <w:p>
      <w:pPr>
        <w:ind w:left="1320" w:right="100" w:hanging="538"/>
        <w:spacing w:after="0" w:line="332" w:lineRule="auto"/>
        <w:tabs>
          <w:tab w:leader="none" w:pos="1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1,796,753 shares of common stock reserved for issuance pursuant to future awards under our 2014 Equity Incentive Award Plan, as well as any automatic increases in the number of shares of our common stock reserved for future issuance under this plan;</w:t>
      </w:r>
    </w:p>
    <w:p>
      <w:pPr>
        <w:spacing w:after="0" w:line="152" w:lineRule="exact"/>
        <w:rPr>
          <w:rFonts w:ascii="Arial" w:cs="Arial" w:eastAsia="Arial" w:hAnsi="Arial"/>
          <w:sz w:val="16"/>
          <w:szCs w:val="16"/>
          <w:color w:val="auto"/>
        </w:rPr>
      </w:pPr>
    </w:p>
    <w:p>
      <w:pPr>
        <w:ind w:left="1320" w:right="12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110,088 shares of common stock reserved for future issuance under our Employee Stock Purchase Plan, as well as any automatic increases in the number of shares of our common stock reserved for future issuance under this plan; and</w:t>
      </w:r>
    </w:p>
    <w:p>
      <w:pPr>
        <w:spacing w:after="0" w:line="199" w:lineRule="exact"/>
        <w:rPr>
          <w:rFonts w:ascii="Arial" w:cs="Arial" w:eastAsia="Arial" w:hAnsi="Arial"/>
          <w:sz w:val="18"/>
          <w:szCs w:val="18"/>
          <w:color w:val="auto"/>
        </w:rPr>
      </w:pPr>
    </w:p>
    <w:p>
      <w:pPr>
        <w:ind w:left="1320" w:right="780" w:hanging="538"/>
        <w:spacing w:after="0" w:line="268" w:lineRule="auto"/>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86" w:lineRule="exact"/>
        <w:rPr>
          <w:sz w:val="20"/>
          <w:szCs w:val="20"/>
          <w:color w:val="auto"/>
        </w:rPr>
      </w:pPr>
    </w:p>
    <w:p>
      <w:pPr>
        <w:ind w:left="240" w:right="200" w:firstLine="351"/>
        <w:spacing w:after="0" w:line="268" w:lineRule="auto"/>
        <w:rPr>
          <w:sz w:val="20"/>
          <w:szCs w:val="20"/>
          <w:color w:val="auto"/>
        </w:rPr>
      </w:pPr>
      <w:r>
        <w:rPr>
          <w:rFonts w:ascii="Arial" w:cs="Arial" w:eastAsia="Arial" w:hAnsi="Arial"/>
          <w:sz w:val="18"/>
          <w:szCs w:val="18"/>
          <w:color w:val="auto"/>
        </w:rPr>
        <w:t>Unless otherwise stated, all information contained in this prospectus supplement reflects an assumed public offering price of $4.20 per share, which was the last reported sale price of our common stock on The Nasdaq Global Market on August 7, 2018.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You should consider carefully the risks described below and discussed under the section captioned "Risk Factors" contained in our quarterly report for the quarterly period ended September 30, 2017, as updated by our subsequent filings under the Securities Exchange Act of 1934, as amended, or the Exchange Act, each of which is incorporated by reference in this prospectus in their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management will have broad discretion over the use of proceeds from this offering. The net proceeds from this offering will be used for general corporate purposes, which may include, among other things, increasing our working capital and funding research and development, and capital expenditures.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immediate and substantial dilution in the net tangible book value per share of the common stock you purchase.</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common stock outstanding prior to this offering. Assuming that an aggregate of 11,904,761 shares are sold at a price of $4.20 per share, the last reported sale price of our common stock on The Nasdaq Global Market on August 7, 2018, for aggregate proceeds of $50,000,000 in this offering, and after deducting commissions and estimated aggregate offering expenses payable by us, you will suffer immediate and substantial dilution of $1.34 per share, representing the difference between the as adjusted net tangible book value per share of our common stock as of June 30, 2018 after giving effect to this offering and the assumed offering price. See the section entitled "Dilution" below for a more detailed discussion of the dilution you will incur if you purchase common stock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June 30, 2018, 8,616,315 shares of common stock are either subject to outstanding options or restricted stock unit awards, or reserved for future issuance under our equity incentive plans are eligible for sale in the public market to the extent permitted by the provisions of various vesting schedules. An additional 2,172,899 shares of common stock that are subject to outstanding warrants are eligible for sale in the public market.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This prospectus, including the documents incorporated by reference herein and therein, and any free writing prospectus that we have authorized for use in connection with this offering, contain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86" w:lineRule="exact"/>
        <w:rPr>
          <w:sz w:val="20"/>
          <w:szCs w:val="20"/>
          <w:color w:val="auto"/>
        </w:rPr>
      </w:pPr>
    </w:p>
    <w:p>
      <w:pPr>
        <w:ind w:left="1080" w:right="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 regarding the timing of our filing of a New Drug Application with the U.S. Food and Drug Administration requesting approval to market tenapanor for patients with irritable bowel syndrome with constipation, or IBS-C;</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 regarding the timing of receipt of results from our second Phase 3 clinical trial evaluating tenapanor for the treatment of hyperphosphatemia in patients with end-stage renal disease, or ESRD, on dialysis;</w:t>
      </w:r>
    </w:p>
    <w:p>
      <w:pPr>
        <w:spacing w:after="0" w:line="199"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our plans for and our participation in the commercialization of tenapanor for the treatment of hyperphosphatemia in ESRD patients on dialysis, including our expectations regarding our plans to build our own sales and marketing organization to market and sell tenapanor for such indication;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seek one or more collaboration partners to commercialize tenapanor for IBS-C;</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with respect to our pre-clinical programs;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and validate targets and novel drug candidates using our proprietary drug discovery and design platform including the Ardelyx Primary Enterocyte and Colonocyte Culture System;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261"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You should read this prospectus and the documents incorporated by reference herein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greater detail in the documents incorporated by reference herein, including under the heading "Risk Factors." These forward-looking statements represent our estimates and assumptions only as of the date of this prospectus and the documents incorporated by reference herein and therein, regardless of the time of delivery of this prospectus or any sale of our common stock and, except as required by law, we undertake no obligation to update or revise publicly any forward-looking statements, whether as a result of new information, future events or otherwise after the date of this prospectus. For all forward-looking statements, we claim the protection of the safe harbor for forward-looking statements contained in the Private Securities Litigation Reform Act of 1995.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Leerink as a source of financing. We intend to use the net proceeds, if any, from this offering for general corporate purposes, which may include, among other things, development of tenapanor, including clinical programs and manufacturing scale up, process validation and other pre-commercial activities, increasing our working capital and funding research and development and capital expenditures.</w:t>
      </w:r>
    </w:p>
    <w:p>
      <w:pPr>
        <w:spacing w:after="0" w:line="197"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amounts and timing of our actual expenditures will depend on numerous factors, including our clinical and pre-commercial activities with respect to tenapanor for the treatment of hyperphosphatemia in end-stage renal disease on dialysis, our manufacturing efforts for tenapanor,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interest-bearing investment-grade, securities, certificates of deposit or government securities.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Our historical net tangible book value as of June 30, 2018 was approximately $163.4 million, or $2.63 per share. Our net tangible book value represents total tangible assets less total liabilities and convertible preferred stock, all divided by the number of shares of common stock outstanding on June 30, 2018.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After giving effect to the sale of our common stock in the aggregate amount of $50.0 million in this offering at an assumed offering price of $4.20, the last reported sale price of our common stock on The Nasdaq Global Market on August 7, 2018, and after deducting commissions and estimated aggregate offering expenses payable by us, our as adjusted net tangible book value as of June 30, 2018 would have been approximately $211.7 million, or $2.86 per share. This represents an immediate increase in net tangible book value of $0.23 per share to existing stockholders and immediate dilution in net tangible book value of $1.34 per share to new investors purchasing our common stock in this offering. The following table illustrates this dilution on a per share basis: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w:t>
            </w:r>
          </w:p>
        </w:tc>
      </w:tr>
      <w:tr>
        <w:trPr>
          <w:trHeight w:val="216"/>
        </w:trPr>
        <w:tc>
          <w:tcPr>
            <w:tcW w:w="554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June 30, 2018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2"/>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new investors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r>
      <w:tr>
        <w:trPr>
          <w:trHeight w:val="20"/>
        </w:trPr>
        <w:tc>
          <w:tcPr>
            <w:tcW w:w="5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0"/>
        </w:trPr>
        <w:tc>
          <w:tcPr>
            <w:tcW w:w="5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shares sold in this offering, if any, will be sold from time to time at various prices. An increase of $1.00 per share in the price at which the shares are sold from the assumed offering price of $4.20 per share shown in the table above, assuming all of our common stock in the aggregate amount of $50.0 million is sold at that price, would cause our as adjusted net tangible book value per share after the offering to be $3.02 per share and would increase the dilution in net tangible book value per share to new investors to $2.18 per share, after deducting commissions and estimated aggregate offering expenses payable by us. A decrease of $1.00 per share in the price at which the shares are sold from the assumed offering price of $4.20 per share shown in the table above, assuming all of our common stock in the aggregate amount of $50.0 million is sold at that price, would cause our as adjusted net tangible book value per share after the offering to be $2.70 per share and would decrease the dilution in net tangible book value per share to new investors to $0.50 per share, after deducting commissions and estimated aggregate offering expenses payable by us. This information is supplied for illustrative purposes only.</w:t>
      </w:r>
    </w:p>
    <w:p>
      <w:pPr>
        <w:spacing w:after="0" w:line="172" w:lineRule="exact"/>
        <w:rPr>
          <w:sz w:val="20"/>
          <w:szCs w:val="20"/>
          <w:color w:val="auto"/>
        </w:rPr>
      </w:pPr>
    </w:p>
    <w:p>
      <w:pPr>
        <w:jc w:val="both"/>
        <w:ind w:right="40" w:firstLine="348"/>
        <w:spacing w:after="0" w:line="298" w:lineRule="auto"/>
        <w:rPr>
          <w:sz w:val="20"/>
          <w:szCs w:val="20"/>
          <w:color w:val="auto"/>
        </w:rPr>
      </w:pPr>
      <w:r>
        <w:rPr>
          <w:rFonts w:ascii="Arial" w:cs="Arial" w:eastAsia="Arial" w:hAnsi="Arial"/>
          <w:sz w:val="16"/>
          <w:szCs w:val="16"/>
          <w:color w:val="auto"/>
        </w:rPr>
        <w:t>To the extent that outstanding options are exercised or outstanding restricted stock awards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6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above discussion and table are based on 62,053,751 shares of common stock outstanding as of June 30, 2018, and excludes, in each case as of June 30, 2018:</w:t>
      </w:r>
    </w:p>
    <w:p>
      <w:pPr>
        <w:spacing w:after="0" w:line="199" w:lineRule="exact"/>
        <w:rPr>
          <w:sz w:val="20"/>
          <w:szCs w:val="20"/>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5,098,029 shares of common stock issuable upon the exercise of outstanding stock options having a weighted-average exercise price of $9.09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2,172,899 shares of common stock issuable upon the exercise of outstanding warrants having an exercise price of $13.91 per share;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611,445 shares of common stock issuable upon the settlement of outstanding restricted stock units;</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1,796,753 shares of common stock reserved for issuance pursuant to future awards under our 2014 Equity Incentive Award Plan, as well as any automatic increases in the number of shares of our common stock reserved for future issuance under this plan;</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110,088 shares of common stock reserved for future issuance under our Employee Stock Purchase Plan, as well as any automatic increases in the number of shares of our common stock reserved for future issuance under this plan;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have entered into a sales agreement with Leerink Partners LLC, or Leerink, under which we may issue and sell shares of our common stock having an aggregate gross sales price of up to $50,000,000 from time to time through Leerink acting as agent. The sales agreement will be filed as an exhibit to a Current Report on Form 8-K and is incorporated herein by reference.</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Upon delivery of a placement notice and subject to the terms and conditions of the sales agreement, Leerink may sell our common stock by any method permitted by law deemed to be an "at the market offering" as defined in Rule 415(a)(4) promulgated under the Securities Act, including sales made directly on The Nasdaq Global Market on any other existing trading market for our common stock. We may instruct Leerink not to sell common stock if the sales cannot be effected at or above the price designated by us from time to time. We or Leerink may suspend the offering of common stock upon notice and subject to other conditions.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Leerink commissions, in cash, for its services in acting as agent in the sale of our common stock. Leerink will be entitled to compensation at a fixed commission rate of 3.0% of the gross sales price per share sold. Because there is no minimum offering amount required as a condition to close this offering, the actual total public offering amount, commissions and proceeds to us, if any, are not determinable at this time. We have also agreed to reimburse Leerink for certain specified expenses, including the fees and disbursements of its legal counsel, in an amount not to exceed $50,000. We estimate that the total expenses for the offering, excluding discounts and commissions payable to Leerink under the terms of the sales agreement, will be approximately $205,000.</w:t>
      </w:r>
    </w:p>
    <w:p>
      <w:pPr>
        <w:spacing w:after="0" w:line="170"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Settlement for sales of common stock will occur on the second business day following the date on which any sales are made, or on some other date that is agreed upon by us and Leerink in connection with a particular transaction, in return for payment of the net proceeds to us. Sales of our common stock as contemplated in this prospectus will be settled through the facilities of The Depository Trust Company or by such other means as we and Leerink may agree upon. There is no arrangement for funds to be received in an escrow, trust or similar arrangement.</w:t>
      </w:r>
    </w:p>
    <w:p>
      <w:pPr>
        <w:spacing w:after="0" w:line="167"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Leerink will use its commercially reasonable efforts, consistent with its sales and trading practices, to solicit offers to purchase the common stock shares under the terms and subject to the conditions set forth in the sales agreement. In connection with the sale of the common stock on our behalf, Leerink will be deemed to be an "underwriter" within the meaning of the Securities Act and the compensation of Leerink will be deemed to be underwriting commissions or discounts. We have agreed to provide indemnification and contribution to Leerink against certain civil liabilities, including liabilities under the Securities Act.</w:t>
      </w:r>
    </w:p>
    <w:p>
      <w:pPr>
        <w:spacing w:after="0" w:line="15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offering of our common stock pursuant to the sales agreement will terminate upon the termination of the sales agreement as permitted therein. We and Leerink may each terminate the sales agreement at any time upon ten days' prior notice.</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Leerink and its affiliates may in the future provide various investment banking, commercial banking and other financial services for us and our affiliates, for which services they may in the future receive customary fees. To the extent required by Regulation M, Leerink will not engage in any market making activities involving our common stock while the offering is ongoing under this prospectus.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This prospectus in electronic format may be made available on a website maintained by Leerink and Leerink may distribute this prospectus electronically.</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validity of the issuance of the securities offered hereby will be passed upon by our counsel, Latham &amp; Watkins LLP, Menlo Park, California. Leerink Partners LLC is being represented in connection with this offering by Cooley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70"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 xml:space="preserve">We file reports, proxy statements and other information with the SEC under the Exchange Act. You may read and copy this information from the Public Reference Room of the SEC, 100 F Street, N.E., Room 1580, Washington, D.C. 20549, at prescribed rates.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212"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March 14, 2018;</w:t>
      </w:r>
    </w:p>
    <w:p>
      <w:pPr>
        <w:spacing w:after="0" w:line="252" w:lineRule="exact"/>
        <w:rPr>
          <w:rFonts w:ascii="Arial" w:cs="Arial" w:eastAsia="Arial" w:hAnsi="Arial"/>
          <w:sz w:val="18"/>
          <w:szCs w:val="18"/>
          <w:color w:val="auto"/>
        </w:rPr>
      </w:pPr>
    </w:p>
    <w:p>
      <w:pPr>
        <w:ind w:left="1080" w:right="9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with the SEC on April 26, 2018;</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and June 30, 2018, filed with the SEC on May 8, 2018 and August 7, 2018, respectively;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February 12, 2018, May 21, 2018, May 29, 2018, June 14, 2018 and July 9, 2018; 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9, 2014, including any amendments or reports filed for the purpose of updating such description.</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www.ardelyx.com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Ardelyx, Inc.</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ind w:left="5580" w:hanging="415"/>
        <w:spacing w:after="0"/>
        <w:tabs>
          <w:tab w:leader="none" w:pos="5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745-1700</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160020</wp:posOffset>
            </wp:positionV>
            <wp:extent cx="2778760"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 Preferred Stock, Debt Securities,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 Purchase Contracts,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may offer and sell up to $250,000,000 in the aggregate of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6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4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THE "RISK FACTORS" ON PAGE 5 OF THIS PROSPECTUS AND ANY SIMILAR SECTION CONTAINED IN THE APPLICABLE PROSPECTUS SUPPLEMENT CONCERNING FACTORS YOU SHOULD CONSIDER BEFORE INVESTING IN OUR SECURITIES.</w:t>
      </w:r>
    </w:p>
    <w:p>
      <w:pPr>
        <w:spacing w:after="0" w:line="17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"ARDX." On April 21, 2017, the last reported sale price of our common stock on The NASDAQ Global Market was $12.50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9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1480" w:type="dxa"/>
            <w:vAlign w:val="bottom"/>
            <w:gridSpan w:val="3"/>
          </w:tcPr>
          <w:p>
            <w:pPr>
              <w:jc w:val="right"/>
              <w:ind w:right="1300"/>
              <w:spacing w:after="0"/>
              <w:rPr>
                <w:rFonts w:ascii="Arial" w:cs="Arial" w:eastAsia="Arial" w:hAnsi="Arial"/>
                <w:sz w:val="18"/>
                <w:szCs w:val="18"/>
                <w:color w:val="0000EE"/>
              </w:rPr>
            </w:pPr>
            <w:hyperlink w:anchor="page19">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5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WHERE YOU CAN FIND MORE INFORMATION; INCORPORATION BY REFERENCE</w:t>
              </w:r>
            </w:hyperlink>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ABOUT ARDELYX</w:t>
              </w:r>
            </w:hyperlink>
          </w:p>
        </w:tc>
        <w:tc>
          <w:tcPr>
            <w:tcW w:w="732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480" w:type="dxa"/>
            <w:vAlign w:val="bottom"/>
            <w:gridSpan w:val="3"/>
          </w:tcPr>
          <w:p>
            <w:pPr>
              <w:jc w:val="right"/>
              <w:ind w:right="130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USE OF PROCEEDS</w:t>
              </w:r>
            </w:hyperlink>
          </w:p>
        </w:tc>
        <w:tc>
          <w:tcPr>
            <w:tcW w:w="724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0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RATIO OF EARNINGS TO FIXED CHARGES AND PREFERENCE DIVIDENDS</w:t>
              </w:r>
            </w:hyperlink>
          </w:p>
        </w:tc>
        <w:tc>
          <w:tcPr>
            <w:tcW w:w="28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7</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1480" w:type="dxa"/>
            <w:vAlign w:val="bottom"/>
            <w:gridSpan w:val="3"/>
          </w:tcPr>
          <w:p>
            <w:pPr>
              <w:jc w:val="right"/>
              <w:ind w:right="130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DESCRIPTION OF DEBT SECURITIES</w:t>
              </w:r>
            </w:hyperlink>
          </w:p>
        </w:tc>
        <w:tc>
          <w:tcPr>
            <w:tcW w:w="584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14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WARRANTS</w:t>
              </w:r>
            </w:hyperlink>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PURCHASE CONTRACTS</w:t>
              </w:r>
            </w:hyperlink>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24</w:t>
              </w:r>
            </w:hyperlink>
          </w:p>
        </w:tc>
      </w:tr>
      <w:tr>
        <w:trPr>
          <w:trHeight w:val="196"/>
        </w:trPr>
        <w:tc>
          <w:tcPr>
            <w:tcW w:w="114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DESCRIPTION OF UNITS</w:t>
              </w:r>
            </w:hyperlink>
          </w:p>
        </w:tc>
        <w:tc>
          <w:tcPr>
            <w:tcW w:w="1480" w:type="dxa"/>
            <w:vAlign w:val="bottom"/>
            <w:tcBorders>
              <w:top w:val="single" w:sz="8" w:color="0000EE"/>
            </w:tcBorders>
            <w:gridSpan w:val="6"/>
          </w:tcPr>
          <w:p>
            <w:pPr>
              <w:spacing w:after="0"/>
              <w:rPr>
                <w:sz w:val="17"/>
                <w:szCs w:val="17"/>
                <w:color w:val="auto"/>
              </w:rPr>
            </w:pPr>
          </w:p>
        </w:tc>
        <w:tc>
          <w:tcPr>
            <w:tcW w:w="534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25</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44">
              <w:r>
                <w:rPr>
                  <w:rFonts w:ascii="Arial" w:cs="Arial" w:eastAsia="Arial" w:hAnsi="Arial"/>
                  <w:sz w:val="18"/>
                  <w:szCs w:val="18"/>
                  <w:color w:val="0000EE"/>
                  <w:w w:val="93"/>
                </w:rPr>
                <w:t>GLOBAL SECURITIES</w:t>
              </w:r>
            </w:hyperlink>
          </w:p>
        </w:tc>
        <w:tc>
          <w:tcPr>
            <w:tcW w:w="7040" w:type="dxa"/>
            <w:vAlign w:val="bottom"/>
            <w:gridSpan w:val="10"/>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26</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1480" w:type="dxa"/>
            <w:vAlign w:val="bottom"/>
            <w:gridSpan w:val="3"/>
          </w:tcPr>
          <w:p>
            <w:pPr>
              <w:jc w:val="right"/>
              <w:ind w:right="1300"/>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29</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LEGAL MATTERS</w:t>
              </w:r>
            </w:hyperlink>
          </w:p>
        </w:tc>
        <w:tc>
          <w:tcPr>
            <w:tcW w:w="6800" w:type="dxa"/>
            <w:vAlign w:val="bottom"/>
            <w:gridSpan w:val="8"/>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31</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4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EXPERTS</w:t>
              </w:r>
            </w:hyperlink>
          </w:p>
        </w:tc>
        <w:tc>
          <w:tcPr>
            <w:tcW w:w="7380" w:type="dxa"/>
            <w:vAlign w:val="bottom"/>
            <w:gridSpan w:val="1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31</w:t>
              </w:r>
            </w:hyperlink>
          </w:p>
        </w:tc>
        <w:tc>
          <w:tcPr>
            <w:tcW w:w="130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5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Neither we nor any underwriter has authorized any other person to provide you with any information or to make any representations other than those contained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the applicable series of securities.</w:t>
      </w:r>
    </w:p>
    <w:p>
      <w:pPr>
        <w:spacing w:after="0" w:line="186"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Ardelxy®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our website, however, is not, and should not be deemed to be, a part of this prospectus. We have included our website address as an inactive textual reference only.</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February 17, 2017;</w:t>
      </w:r>
    </w:p>
    <w:p>
      <w:pPr>
        <w:spacing w:after="0" w:line="252" w:lineRule="exact"/>
        <w:rPr>
          <w:rFonts w:ascii="Arial" w:cs="Arial" w:eastAsia="Arial" w:hAnsi="Arial"/>
          <w:sz w:val="18"/>
          <w:szCs w:val="18"/>
          <w:color w:val="auto"/>
        </w:rPr>
      </w:pPr>
    </w:p>
    <w:p>
      <w:pPr>
        <w:ind w:left="5680" w:right="2120" w:hanging="5132"/>
        <w:spacing w:after="0" w:line="519" w:lineRule="auto"/>
        <w:tabs>
          <w:tab w:leader="none" w:pos="109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15, 2017, March 9, 2017 and March 21, 2017;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9, 2014, including any amendments or reports filed for the purpose of updating such description.</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67"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Ardelyx,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(510)745-1700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ARDELYX</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are a clinical-stage biopharmaceutical company focused on enhancing the way patients with cardiorenal and gastrointestinal, or GI, diseases are treated by using the gut as the gateway to delivering medicines that matter. We have pioneered the development of small molecule therapeutics that act predominantly in the GI tract, thereby avoiding potentially negative side effects on the rest of the body.</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 References in this prospectus to "we," "us," "our," "our company" or "Ardelyx" refer to Ardelyx, Inc.</w:t>
      </w:r>
    </w:p>
    <w:p>
      <w:pPr>
        <w:spacing w:after="0" w:line="167"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 AND PREFERENCE DIVIDENDS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table sets forth our ratio of earnings to fixed charges for the periods indicated (in thousands). The ratio of earnings to fixed charges is computed by dividing fixed charges into earnings before income taxes plus fixed charges. Fixed charges consist of interest expense and that portion of rental expense deemed representative of interest. We do not have any shares of preferred stock outstanding, so our ratio of earnings to fixed charges and preferred stock dividends for any given period is equivalent to our ratio of earnings to fixed charges. Our earnings have been inadequate to cover fixed charges and preference dividends. The following table sets forth the dollar amount of the deficiency to cover fixed charges for each of the years ended December 31, 2016, 2015, 2014, 2013 and 2012. We have derived the deficiency of earnings to cover fixed charges from our historical financial statements. The following should be read in conjunction with our financial statements, including the notes thereto, and the other financial information included or incorporated by reference herein. See Exhibit 12.1 hereto for additional detail regarding the computation of the deficiency of earnings to cover fixed charges.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9"/>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7"/>
              </w:rPr>
              <w:t>Deficiency of earnings available to cover fixed charges</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(112,387)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(29,650)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(6,423)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(9,785)</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periods indicated above, we had no outstanding shares of preferred stock with required dividend payments.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our investor rights agreement and registration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amended and restated investor rights agreement, and registration rights agreement, copies of which are incorporated by reference as exhibits to the registration statement of which this prospectus is a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60" w:firstLine="351"/>
        <w:spacing w:after="0" w:line="286"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w:t>
      </w:r>
    </w:p>
    <w:p>
      <w:pPr>
        <w:jc w:val="both"/>
        <w:ind w:right="160"/>
        <w:spacing w:after="0" w:line="221" w:lineRule="auto"/>
        <w:rPr>
          <w:sz w:val="20"/>
          <w:szCs w:val="20"/>
          <w:color w:val="auto"/>
        </w:rPr>
      </w:pPr>
      <w:r>
        <w:rPr>
          <w:rFonts w:ascii="Arial" w:cs="Arial" w:eastAsia="Arial" w:hAnsi="Arial"/>
          <w:sz w:val="18"/>
          <w:szCs w:val="18"/>
          <w:color w:val="auto"/>
        </w:rPr>
        <w:t>elect all of the directors. In addition, the affirmative vote of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Based on the number of shares outstanding as of December 31, 2016, under our amended and restated investor rights agreement, the holders of approximately 5.6 million shares of common stock, or their transferees have the right to require us to register their shares under the Securities Act of 1933, as amended, or the Securities Act, so that those shares may be publicly resold, or to include their shares in any registration statement we file, in each case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Based on the number of shares outstanding as of December 31, 2016, the holders of approximately 5.6 million shares of our common stock, or their transferees, will be entitled to certain demand registration rights. The holders of at least 25% of these shares can, on not more than two occasions, request that we register all or a portion of their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Based on the number of shares outstanding as of December 31, 2016, in the event that we determine to register any of our securities under the Securities Act (subject to certain exceptions), either for our own account or for the account of other security holders, the holders of approximately 5.6 million shares of our common stock,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Based on the number of shares outstanding as of December 31, 2016, the holders of approximately 5.6 million shares of our common stock, or their transferees, are entitled to certain Form S-3 registration rights. The holders of these shares can make a written request that we register their shares on Form S-3 if we are eligible to file a registration statement on Form S-3 and if the aggregate price to the public of the shares offered is at least $1.0 million. These stockholders may make an unlimited number of requests for registration on Form S-3. In addition, to fulfill our obligation to file a Form S-3 registration statement on behalf of the holders of 22,016,121 million shares of our common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including shares issuable upon exercise of warrants, on July 13, 2015 and August 11, 2016, we filed registration statements on Form S-3 (File Nos. 333-205630 and 333-213085) for the resale of an aggregate of 22,016,121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reasonable fees (up to a maximum of $35,000) for one counsel for the selling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demand, piggyback and Form S-3 registration rights described above (other than with respect to the Form S-3 registration statements filed on July 13, 2015 and August 11, 2016) will expire, with respect to any particular stockholder, upon the earlier of five years after the consummation of our initial public offering in June 2014 or when that stockholder can sell all of its shares under Rule 144 of the Securities Act during any 90 day period.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Provisions of our Amended and Restated Certificate of Incorporation, our Amended and Restated Bylaws and Delaware Law</w:t>
      </w:r>
    </w:p>
    <w:p>
      <w:pPr>
        <w:spacing w:after="0" w:line="25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ind w:right="220" w:firstLine="351"/>
        <w:spacing w:after="0" w:line="283"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removal of any of our directors only for cause and requires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court could find that such a provision is inapplicable for a particular claim or action or that such provision is unenforceable.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right="100" w:firstLine="348"/>
        <w:spacing w:after="0" w:line="282"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then outstanding voting stock.</w:t>
      </w:r>
    </w:p>
    <w:p>
      <w:pPr>
        <w:spacing w:after="0" w:line="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20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74"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7"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used in this section only, "Ardelyx," "we," "our" or "us" refer to Ardelyx, Inc. excluding our subsidiaries, unless expressly stated or the context otherwise requires.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6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4"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10"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registration of transfer or exchange, and where notices and demands to us in respect of the debt securities may be delivered;</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75"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07"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issued, if other than denominations of $1,000 and any integral multiple thereof;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99" w:lineRule="exact"/>
        <w:rPr>
          <w:rFonts w:ascii="Arial" w:cs="Arial" w:eastAsia="Arial" w:hAnsi="Arial"/>
          <w:sz w:val="18"/>
          <w:szCs w:val="18"/>
          <w:color w:val="auto"/>
        </w:rPr>
      </w:pPr>
    </w:p>
    <w:p>
      <w:pPr>
        <w:ind w:left="1080" w:right="64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99"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52"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38"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261"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6"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Global Debt Securities and Book-Entry System. </w:t>
      </w:r>
      <w:r>
        <w:rPr>
          <w:rFonts w:ascii="Arial" w:cs="Arial" w:eastAsia="Arial" w:hAnsi="Arial"/>
          <w:sz w:val="18"/>
          <w:szCs w:val="18"/>
          <w:color w:val="auto"/>
        </w:rPr>
        <w:t>Each global debt security representing book-entry debt securities will be deposited with, or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and registered in the name of the Depositary or a nominee of the Depositary. Please see "Global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change in control or in the event of a highly leveraged transaction (whether or not such transaction results in a change in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99" w:lineRule="exact"/>
        <w:rPr>
          <w:sz w:val="20"/>
          <w:szCs w:val="20"/>
          <w:color w:val="auto"/>
        </w:rPr>
      </w:pPr>
    </w:p>
    <w:p>
      <w:pPr>
        <w:ind w:left="1080" w:right="18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39" w:lineRule="exact"/>
        <w:rPr>
          <w:sz w:val="20"/>
          <w:szCs w:val="20"/>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52"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7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9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and the trustee may modify, amend or supplement the indenture or the debt securities of any series without the consent of any holder of any debt security:</w:t>
      </w:r>
    </w:p>
    <w:p>
      <w:pPr>
        <w:spacing w:after="0" w:line="27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1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8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those debt securities and to institute suit for the enforcement of any such payment and to waivers or amendments; or</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213" w:lineRule="exact"/>
        <w:rPr>
          <w:sz w:val="20"/>
          <w:szCs w:val="20"/>
          <w:color w:val="auto"/>
        </w:rPr>
      </w:pPr>
    </w:p>
    <w:p>
      <w:pPr>
        <w:ind w:left="1080" w:right="2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spacing w:after="0" w:line="306" w:lineRule="auto"/>
        <w:rPr>
          <w:sz w:val="20"/>
          <w:szCs w:val="20"/>
          <w:color w:val="auto"/>
        </w:rPr>
      </w:pPr>
      <w:r>
        <w:rPr>
          <w:rFonts w:ascii="Arial" w:cs="Arial" w:eastAsia="Arial" w:hAnsi="Arial"/>
          <w:sz w:val="16"/>
          <w:szCs w:val="16"/>
          <w:color w:val="auto"/>
        </w:rPr>
        <w:t>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4" w:lineRule="exact"/>
        <w:rPr>
          <w:sz w:val="20"/>
          <w:szCs w:val="20"/>
          <w:color w:val="auto"/>
        </w:rPr>
      </w:pPr>
    </w:p>
    <w:p>
      <w:pPr>
        <w:ind w:left="1080" w:hanging="532"/>
        <w:spacing w:after="0" w:line="29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9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particular terms of any issue of warrants will be described in the prospectus supplement relating to the issue. Those terms may include:</w:t>
      </w:r>
    </w:p>
    <w:p>
      <w:pPr>
        <w:spacing w:after="0" w:line="262"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52" w:lineRule="exact"/>
        <w:rPr>
          <w:rFonts w:ascii="Arial" w:cs="Arial" w:eastAsia="Arial" w:hAnsi="Arial"/>
          <w:sz w:val="18"/>
          <w:szCs w:val="18"/>
          <w:color w:val="auto"/>
        </w:rPr>
      </w:pPr>
    </w:p>
    <w:p>
      <w:pPr>
        <w:ind w:left="360" w:firstLine="188"/>
        <w:spacing w:after="0" w:line="501"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PURCHASE CONTRACTS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39" w:lineRule="exact"/>
        <w:rPr>
          <w:sz w:val="20"/>
          <w:szCs w:val="20"/>
          <w:color w:val="auto"/>
        </w:rPr>
      </w:pPr>
    </w:p>
    <w:p>
      <w:pPr>
        <w:ind w:left="1080" w:right="6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or equity securities issued by us, a basket of such securities, an index or indices of such securities or any combination of the above as specified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applicable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0"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which may or may not be the beneficial owners. The participants are responsible for keeping account of their holdings on behalf of their customers.</w:t>
      </w:r>
    </w:p>
    <w:p>
      <w:pPr>
        <w:spacing w:after="0" w:line="24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3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99" w:lineRule="exact"/>
        <w:rPr>
          <w:sz w:val="20"/>
          <w:szCs w:val="20"/>
          <w:color w:val="auto"/>
        </w:rPr>
      </w:pPr>
    </w:p>
    <w:p>
      <w:pPr>
        <w:ind w:left="1080" w:right="4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7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20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Latham &amp; Watkins LLP will pass upon certain legal matters relating to the issuance and sale of the securities offered hereby on behalf of Ardelyx,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624840</wp:posOffset>
            </wp:positionV>
            <wp:extent cx="2778760" cy="4718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Up to $50,000,000</w:t>
      </w:r>
    </w:p>
    <w:p>
      <w:pPr>
        <w:spacing w:after="0" w:line="224"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160020</wp:posOffset>
            </wp:positionV>
            <wp:extent cx="26327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155575</wp:posOffset>
            </wp:positionV>
            <wp:extent cx="26327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510"/>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2019-12-07T13:05:04Z</dcterms:created>
  <dcterms:modified xsi:type="dcterms:W3CDTF">2019-12-07T13:05:04Z</dcterms:modified>
</cp:coreProperties>
</file>