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594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448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4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MOTT DAVID M</w:t>
              </w:r>
            </w:hyperlink>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2"/>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3920" w:type="dxa"/>
            <w:vAlign w:val="bottom"/>
            <w:gridSpan w:val="3"/>
            <w:vMerge w:val="restart"/>
          </w:tcPr>
          <w:p>
            <w:pPr>
              <w:ind w:left="160"/>
              <w:spacing w:after="0" w:line="193" w:lineRule="exact"/>
              <w:rPr>
                <w:sz w:val="20"/>
                <w:szCs w:val="20"/>
                <w:color w:val="auto"/>
              </w:rPr>
            </w:pPr>
            <w:r>
              <w:rPr>
                <w:rFonts w:ascii="Arial" w:cs="Arial" w:eastAsia="Arial" w:hAnsi="Arial"/>
                <w:sz w:val="17"/>
                <w:szCs w:val="17"/>
                <w:color w:val="0000FF"/>
              </w:rPr>
              <w:t>06/09/2020</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C/O ARDELYX, INC. 34175 ARDENWOOD BLVD</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3"/>
        <w:spacing w:after="0"/>
        <w:tabs>
          <w:tab w:leader="none" w:pos="512" w:val="left"/>
          <w:tab w:leader="none" w:pos="209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1"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0"/>
          <w:szCs w:val="20"/>
          <w:color w:val="auto"/>
        </w:rPr>
      </w:pPr>
    </w:p>
    <w:p>
      <w:pPr>
        <w:sectPr>
          <w:pgSz w:w="11900" w:h="16838" w:orient="portrait"/>
          <w:cols w:equalWidth="0" w:num="2">
            <w:col w:w="7660" w:space="67"/>
            <w:col w:w="3353"/>
          </w:cols>
          <w:pgMar w:left="460" w:top="220" w:right="359" w:bottom="1440" w:gutter="0" w:footer="0" w:header="0"/>
          <w:type w:val="continuous"/>
        </w:sectPr>
      </w:pPr>
    </w:p>
    <w:p>
      <w:pPr>
        <w:spacing w:after="0" w:line="238"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94555</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196850</wp:posOffset>
            </wp:positionV>
            <wp:extent cx="6969760" cy="128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287145"/>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3"/>
              <w:spacing w:after="0"/>
              <w:rPr>
                <w:sz w:val="20"/>
                <w:szCs w:val="20"/>
                <w:color w:val="auto"/>
              </w:rPr>
            </w:pPr>
            <w:r>
              <w:rPr>
                <w:rFonts w:ascii="Arial" w:cs="Arial" w:eastAsia="Arial" w:hAnsi="Arial"/>
                <w:sz w:val="17"/>
                <w:szCs w:val="17"/>
                <w:color w:val="0000FF"/>
                <w:w w:val="89"/>
              </w:rPr>
              <w:t>06/09/2020</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13"/>
                <w:szCs w:val="13"/>
                <w:color w:val="0000FF"/>
                <w:w w:val="91"/>
              </w:rPr>
              <w:t>A</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12,995</w:t>
            </w:r>
            <w:r>
              <w:rPr>
                <w:rFonts w:ascii="Arial" w:cs="Arial" w:eastAsia="Arial" w:hAnsi="Arial"/>
                <w:sz w:val="21"/>
                <w:szCs w:val="21"/>
                <w:color w:val="008000"/>
                <w:vertAlign w:val="superscript"/>
              </w:rPr>
              <w:t>(1)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100,561</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3"/>
              <w:spacing w:after="0"/>
              <w:rPr>
                <w:sz w:val="20"/>
                <w:szCs w:val="20"/>
                <w:color w:val="auto"/>
              </w:rPr>
            </w:pPr>
            <w:r>
              <w:rPr>
                <w:rFonts w:ascii="Arial" w:cs="Arial" w:eastAsia="Arial" w:hAnsi="Arial"/>
                <w:sz w:val="17"/>
                <w:szCs w:val="17"/>
                <w:color w:val="0000FF"/>
                <w:w w:val="89"/>
              </w:rPr>
              <w:t>06/10/2020</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(3)</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1,079</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101,640</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060" w:type="dxa"/>
            <w:vAlign w:val="bottom"/>
          </w:tcPr>
          <w:p>
            <w:pPr>
              <w:jc w:val="right"/>
              <w:ind w:right="160"/>
              <w:spacing w:after="0"/>
              <w:rPr>
                <w:sz w:val="20"/>
                <w:szCs w:val="20"/>
                <w:color w:val="auto"/>
              </w:rPr>
            </w:pPr>
            <w:r>
              <w:rPr>
                <w:rFonts w:ascii="Arial" w:cs="Arial" w:eastAsia="Arial" w:hAnsi="Arial"/>
                <w:sz w:val="13"/>
                <w:szCs w:val="13"/>
                <w:color w:val="0000FF"/>
              </w:rPr>
              <w:t>06/09/2020</w:t>
            </w:r>
          </w:p>
        </w:tc>
        <w:tc>
          <w:tcPr>
            <w:tcW w:w="1080" w:type="dxa"/>
            <w:vAlign w:val="bottom"/>
          </w:tcPr>
          <w:p>
            <w:pPr>
              <w:spacing w:after="0"/>
              <w:rPr>
                <w:sz w:val="17"/>
                <w:szCs w:val="17"/>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w w:val="91"/>
              </w:rPr>
              <w:t>A</w:t>
            </w:r>
          </w:p>
        </w:tc>
        <w:tc>
          <w:tcPr>
            <w:tcW w:w="720" w:type="dxa"/>
            <w:vAlign w:val="bottom"/>
          </w:tcPr>
          <w:p>
            <w:pPr>
              <w:jc w:val="center"/>
              <w:ind w:right="42"/>
              <w:spacing w:after="0" w:line="200" w:lineRule="exact"/>
              <w:rPr>
                <w:sz w:val="20"/>
                <w:szCs w:val="20"/>
                <w:color w:val="auto"/>
              </w:rPr>
            </w:pPr>
            <w:r>
              <w:rPr>
                <w:rFonts w:ascii="Arial" w:cs="Arial" w:eastAsia="Arial" w:hAnsi="Arial"/>
                <w:sz w:val="13"/>
                <w:szCs w:val="13"/>
                <w:color w:val="0000FF"/>
              </w:rPr>
              <w:t>23,500</w:t>
            </w:r>
            <w:r>
              <w:rPr>
                <w:rFonts w:ascii="Arial" w:cs="Arial" w:eastAsia="Arial" w:hAnsi="Arial"/>
                <w:sz w:val="21"/>
                <w:szCs w:val="21"/>
                <w:color w:val="008000"/>
                <w:vertAlign w:val="superscript"/>
              </w:rPr>
              <w:t>(4)</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06/09/2030</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23,500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23,500</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ind w:left="60"/>
              <w:spacing w:after="0" w:line="81" w:lineRule="exact"/>
              <w:rPr>
                <w:sz w:val="20"/>
                <w:szCs w:val="20"/>
                <w:color w:val="auto"/>
              </w:rPr>
            </w:pPr>
            <w:r>
              <w:rPr>
                <w:rFonts w:ascii="Arial" w:cs="Arial" w:eastAsia="Arial" w:hAnsi="Arial"/>
                <w:sz w:val="8"/>
                <w:szCs w:val="8"/>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060" w:type="dxa"/>
            <w:vAlign w:val="bottom"/>
          </w:tcPr>
          <w:p>
            <w:pPr>
              <w:jc w:val="right"/>
              <w:ind w:right="160"/>
              <w:spacing w:after="0"/>
              <w:rPr>
                <w:sz w:val="20"/>
                <w:szCs w:val="20"/>
                <w:color w:val="auto"/>
              </w:rPr>
            </w:pPr>
            <w:r>
              <w:rPr>
                <w:rFonts w:ascii="Arial" w:cs="Arial" w:eastAsia="Arial" w:hAnsi="Arial"/>
                <w:sz w:val="13"/>
                <w:szCs w:val="13"/>
                <w:color w:val="0000FF"/>
              </w:rPr>
              <w:t>06/09/2020</w:t>
            </w:r>
          </w:p>
        </w:tc>
        <w:tc>
          <w:tcPr>
            <w:tcW w:w="1080" w:type="dxa"/>
            <w:vAlign w:val="bottom"/>
          </w:tcPr>
          <w:p>
            <w:pPr>
              <w:spacing w:after="0"/>
              <w:rPr>
                <w:sz w:val="16"/>
                <w:szCs w:val="16"/>
                <w:color w:val="auto"/>
              </w:rPr>
            </w:pPr>
          </w:p>
        </w:tc>
        <w:tc>
          <w:tcPr>
            <w:tcW w:w="760" w:type="dxa"/>
            <w:vAlign w:val="bottom"/>
          </w:tcPr>
          <w:p>
            <w:pPr>
              <w:jc w:val="center"/>
              <w:ind w:right="261"/>
              <w:spacing w:after="0"/>
              <w:rPr>
                <w:sz w:val="20"/>
                <w:szCs w:val="20"/>
                <w:color w:val="auto"/>
              </w:rPr>
            </w:pPr>
            <w:r>
              <w:rPr>
                <w:rFonts w:ascii="Arial" w:cs="Arial" w:eastAsia="Arial" w:hAnsi="Arial"/>
                <w:sz w:val="13"/>
                <w:szCs w:val="13"/>
                <w:color w:val="0000FF"/>
                <w:w w:val="91"/>
              </w:rPr>
              <w:t>A</w:t>
            </w:r>
          </w:p>
        </w:tc>
        <w:tc>
          <w:tcPr>
            <w:tcW w:w="720" w:type="dxa"/>
            <w:vAlign w:val="bottom"/>
          </w:tcPr>
          <w:p>
            <w:pPr>
              <w:jc w:val="right"/>
              <w:ind w:right="122"/>
              <w:spacing w:after="0"/>
              <w:rPr>
                <w:sz w:val="20"/>
                <w:szCs w:val="20"/>
                <w:color w:val="auto"/>
              </w:rPr>
            </w:pPr>
            <w:r>
              <w:rPr>
                <w:rFonts w:ascii="Arial" w:cs="Arial" w:eastAsia="Arial" w:hAnsi="Arial"/>
                <w:sz w:val="13"/>
                <w:szCs w:val="13"/>
                <w:color w:val="0000FF"/>
              </w:rPr>
              <w:t>75,000</w:t>
            </w:r>
          </w:p>
        </w:tc>
        <w:tc>
          <w:tcPr>
            <w:tcW w:w="28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06/09/2030</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line="187" w:lineRule="exact"/>
              <w:rPr>
                <w:sz w:val="20"/>
                <w:szCs w:val="20"/>
                <w:color w:val="auto"/>
              </w:rPr>
            </w:pPr>
            <w:r>
              <w:rPr>
                <w:rFonts w:ascii="Arial" w:cs="Arial" w:eastAsia="Arial" w:hAnsi="Arial"/>
                <w:sz w:val="17"/>
                <w:szCs w:val="17"/>
                <w:color w:val="0000FF"/>
                <w:w w:val="96"/>
              </w:rPr>
              <w:t>75,000</w:t>
            </w:r>
          </w:p>
        </w:tc>
        <w:tc>
          <w:tcPr>
            <w:tcW w:w="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75,000</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Arial" w:cs="Arial" w:eastAsia="Arial" w:hAnsi="Arial"/>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ind w:left="60"/>
              <w:spacing w:after="0" w:line="103" w:lineRule="exact"/>
              <w:rPr>
                <w:sz w:val="20"/>
                <w:szCs w:val="20"/>
                <w:color w:val="auto"/>
              </w:rPr>
            </w:pPr>
            <w:r>
              <w:rPr>
                <w:rFonts w:ascii="Arial" w:cs="Arial" w:eastAsia="Arial" w:hAnsi="Arial"/>
                <w:sz w:val="11"/>
                <w:szCs w:val="11"/>
                <w:color w:val="0000FF"/>
              </w:rPr>
              <w:t>Stock</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-2209800</wp:posOffset>
            </wp:positionV>
            <wp:extent cx="7034530" cy="2347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3475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3" w:lineRule="exact"/>
        <w:rPr>
          <w:rFonts w:ascii="Arial" w:cs="Arial" w:eastAsia="Arial" w:hAnsi="Arial"/>
          <w:sz w:val="12"/>
          <w:szCs w:val="12"/>
          <w:color w:val="008000"/>
        </w:rPr>
      </w:pPr>
    </w:p>
    <w:p>
      <w:pPr>
        <w:ind w:left="40" w:right="4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Pro rata distributions from New Enterprise Associates 15, L.P. and NEA 15 Opportunity Fund, L.P., of which the reporting person is a limited partner.</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7" w:lineRule="exact"/>
        <w:rPr>
          <w:rFonts w:ascii="Arial" w:cs="Arial" w:eastAsia="Arial" w:hAnsi="Arial"/>
          <w:sz w:val="13"/>
          <w:szCs w:val="13"/>
          <w:color w:val="008000"/>
        </w:rPr>
      </w:pPr>
    </w:p>
    <w:p>
      <w:pPr>
        <w:ind w:left="40" w:right="2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36 successive, equal monthly installments from June 9, 2020, subject to the Reporting Person's continued employment or service relationship with the Issuer on each such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3"/>
          <w:szCs w:val="13"/>
          <w:color w:val="0000FF"/>
        </w:rPr>
        <w:t>06/11/2020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0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0447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color w:val="auto"/>
        </w:rPr>
        <w:t>POWER OF ATTORNEY</w:t>
      </w:r>
    </w:p>
    <w:p>
      <w:pPr>
        <w:spacing w:after="0" w:line="208" w:lineRule="exact"/>
        <w:rPr>
          <w:sz w:val="20"/>
          <w:szCs w:val="20"/>
          <w:color w:val="auto"/>
        </w:rPr>
      </w:pPr>
    </w:p>
    <w:p>
      <w:pPr>
        <w:ind w:right="160" w:firstLine="612"/>
        <w:spacing w:after="0" w:line="267" w:lineRule="auto"/>
        <w:rPr>
          <w:sz w:val="20"/>
          <w:szCs w:val="20"/>
          <w:color w:val="auto"/>
        </w:rPr>
      </w:pPr>
      <w:r>
        <w:rPr>
          <w:rFonts w:ascii="Arial" w:cs="Arial" w:eastAsia="Arial" w:hAnsi="Arial"/>
          <w:sz w:val="19"/>
          <w:szCs w:val="19"/>
          <w:color w:val="auto"/>
        </w:rPr>
        <w:t>Know all by these presents, that the undersigned hereby constitutes and appoints each of (i) the Chief Executive Officer of Ardelyx,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who is currently Michael Raab, (ii) the Company's Chief Financial Officer or principal financial officer and (iii) the Chief Legal and Administrative Officer, who is currently Elizabeth Grammer, and their respective successors, signing singly, with full power of substitution, as the undersigned's true and lawful attorney-in-fact to:</w:t>
      </w:r>
    </w:p>
    <w:p>
      <w:pPr>
        <w:spacing w:after="0" w:line="158" w:lineRule="exact"/>
        <w:rPr>
          <w:sz w:val="20"/>
          <w:szCs w:val="20"/>
          <w:color w:val="auto"/>
        </w:rPr>
      </w:pPr>
    </w:p>
    <w:p>
      <w:pPr>
        <w:ind w:left="1220" w:right="140" w:hanging="564"/>
        <w:spacing w:after="0" w:line="262" w:lineRule="auto"/>
        <w:tabs>
          <w:tab w:leader="none" w:pos="1220" w:val="left"/>
        </w:tabs>
        <w:numPr>
          <w:ilvl w:val="1"/>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175" w:lineRule="exact"/>
        <w:rPr>
          <w:rFonts w:ascii="Arial" w:cs="Arial" w:eastAsia="Arial" w:hAnsi="Arial"/>
          <w:sz w:val="17"/>
          <w:szCs w:val="17"/>
          <w:color w:val="auto"/>
        </w:rPr>
      </w:pPr>
    </w:p>
    <w:p>
      <w:pPr>
        <w:jc w:val="both"/>
        <w:ind w:left="1220" w:right="200" w:hanging="606"/>
        <w:spacing w:after="0" w:line="262"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175" w:lineRule="exact"/>
        <w:rPr>
          <w:rFonts w:ascii="Arial" w:cs="Arial" w:eastAsia="Arial" w:hAnsi="Arial"/>
          <w:sz w:val="17"/>
          <w:szCs w:val="17"/>
          <w:color w:val="auto"/>
        </w:rPr>
      </w:pPr>
    </w:p>
    <w:p>
      <w:pPr>
        <w:ind w:left="1220" w:right="20" w:hanging="606"/>
        <w:spacing w:after="0" w:line="258"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6" w:lineRule="exact"/>
        <w:rPr>
          <w:sz w:val="20"/>
          <w:szCs w:val="20"/>
          <w:color w:val="auto"/>
        </w:rPr>
      </w:pPr>
    </w:p>
    <w:p>
      <w:pPr>
        <w:ind w:firstLine="612"/>
        <w:spacing w:after="0" w:line="276"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9" w:lineRule="exact"/>
        <w:rPr>
          <w:sz w:val="20"/>
          <w:szCs w:val="20"/>
          <w:color w:val="auto"/>
        </w:rPr>
      </w:pPr>
    </w:p>
    <w:p>
      <w:pPr>
        <w:ind w:firstLine="612"/>
        <w:spacing w:after="0" w:line="259"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85" w:lineRule="exact"/>
        <w:rPr>
          <w:sz w:val="20"/>
          <w:szCs w:val="20"/>
          <w:color w:val="auto"/>
        </w:rPr>
      </w:pPr>
    </w:p>
    <w:p>
      <w:pPr>
        <w:jc w:val="both"/>
        <w:ind w:right="440" w:firstLine="612"/>
        <w:spacing w:after="0" w:line="254" w:lineRule="auto"/>
        <w:rPr>
          <w:sz w:val="20"/>
          <w:szCs w:val="20"/>
          <w:color w:val="auto"/>
        </w:rPr>
      </w:pPr>
      <w:r>
        <w:rPr>
          <w:rFonts w:ascii="Arial" w:cs="Arial" w:eastAsia="Arial" w:hAnsi="Arial"/>
          <w:sz w:val="20"/>
          <w:szCs w:val="20"/>
          <w:color w:val="auto"/>
        </w:rPr>
        <w:t>This Power of Attorney supersedes any power of attorney previously executed by the undersigned regarding the purposes outlined in the first paragraph hereof (“</w:t>
      </w:r>
      <w:r>
        <w:rPr>
          <w:rFonts w:ascii="Arial" w:cs="Arial" w:eastAsia="Arial" w:hAnsi="Arial"/>
          <w:sz w:val="20"/>
          <w:szCs w:val="20"/>
          <w:b w:val="1"/>
          <w:bCs w:val="1"/>
          <w:i w:val="1"/>
          <w:iCs w:val="1"/>
          <w:color w:val="auto"/>
        </w:rPr>
        <w:t>Prior Powers of Attorney</w:t>
      </w:r>
      <w:r>
        <w:rPr>
          <w:rFonts w:ascii="Arial" w:cs="Arial" w:eastAsia="Arial" w:hAnsi="Arial"/>
          <w:sz w:val="20"/>
          <w:szCs w:val="20"/>
          <w:color w:val="auto"/>
        </w:rPr>
        <w:t>”), and the authority of the attorneys-in-fact named in any Prior Powers of Attorney is hereby revoked.</w:t>
      </w:r>
    </w:p>
    <w:p>
      <w:pPr>
        <w:spacing w:after="0" w:line="188" w:lineRule="exact"/>
        <w:rPr>
          <w:sz w:val="20"/>
          <w:szCs w:val="20"/>
          <w:color w:val="auto"/>
        </w:rPr>
      </w:pPr>
    </w:p>
    <w:p>
      <w:pPr>
        <w:ind w:right="140" w:firstLine="612"/>
        <w:spacing w:after="0" w:line="249"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June,</w:t>
      </w:r>
    </w:p>
    <w:p>
      <w:pPr>
        <w:spacing w:after="0"/>
        <w:rPr>
          <w:sz w:val="20"/>
          <w:szCs w:val="20"/>
          <w:color w:val="auto"/>
        </w:rPr>
      </w:pPr>
      <w:r>
        <w:rPr>
          <w:rFonts w:ascii="Arial" w:cs="Arial" w:eastAsia="Arial" w:hAnsi="Arial"/>
          <w:sz w:val="20"/>
          <w:szCs w:val="20"/>
          <w:color w:val="auto"/>
        </w:rPr>
        <w:t>2020.</w:t>
      </w:r>
    </w:p>
    <w:p>
      <w:pPr>
        <w:spacing w:after="0" w:line="200" w:lineRule="exact"/>
        <w:rPr>
          <w:sz w:val="20"/>
          <w:szCs w:val="20"/>
          <w:color w:val="auto"/>
        </w:rPr>
      </w:pPr>
    </w:p>
    <w:p>
      <w:pPr>
        <w:spacing w:after="0" w:line="215" w:lineRule="exact"/>
        <w:rPr>
          <w:sz w:val="20"/>
          <w:szCs w:val="20"/>
          <w:color w:val="auto"/>
        </w:rPr>
      </w:pPr>
    </w:p>
    <w:p>
      <w:pPr>
        <w:ind w:left="4740"/>
        <w:spacing w:after="0"/>
        <w:rPr>
          <w:sz w:val="20"/>
          <w:szCs w:val="20"/>
          <w:color w:val="auto"/>
        </w:rPr>
      </w:pPr>
      <w:r>
        <w:rPr>
          <w:rFonts w:ascii="Arial" w:cs="Arial" w:eastAsia="Arial" w:hAnsi="Arial"/>
          <w:sz w:val="20"/>
          <w:szCs w:val="20"/>
          <w:u w:val="single" w:color="auto"/>
          <w:color w:val="auto"/>
        </w:rPr>
        <w:t>/s/ David Mott</w:t>
      </w:r>
    </w:p>
    <w:p>
      <w:pPr>
        <w:spacing w:after="0" w:line="17"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David M. Mott</w:t>
      </w:r>
    </w:p>
    <w:sectPr>
      <w:pgSz w:w="11900" w:h="16838" w:orient="portrait"/>
      <w:cols w:equalWidth="0" w:num="1">
        <w:col w:w="10960"/>
      </w:cols>
      <w:pgMar w:left="460" w:top="11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2020-06-11T18:54:48Z</dcterms:created>
  <dcterms:modified xsi:type="dcterms:W3CDTF">2020-06-11T18:54:48Z</dcterms:modified>
</cp:coreProperties>
</file>