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039697107</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jc w:val="right"/>
        <w:ind w:right="381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039697107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6799" w:hanging="620"/>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Future Fund Board of Guardians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00" w:hanging="620"/>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28" w:lineRule="exact"/>
        <w:rPr>
          <w:rFonts w:ascii="Arial" w:cs="Arial" w:eastAsia="Arial" w:hAnsi="Arial"/>
          <w:sz w:val="17"/>
          <w:szCs w:val="17"/>
          <w:color w:val="auto"/>
        </w:rPr>
      </w:pPr>
    </w:p>
    <w:p>
      <w:pPr>
        <w:ind w:left="2160" w:hanging="1159"/>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53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37"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37"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box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37"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039697107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6"/>
          <w:szCs w:val="16"/>
          <w:color w:val="auto"/>
        </w:rPr>
        <w:t>Future Fund Investment Company No.4 Pty Ltd (ACN 134 338 908)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54610</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000" w:hanging="620"/>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-164465</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right="6539"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00" w:hanging="62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Check box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60" w:right="8440" w:hanging="499"/>
        <w:spacing w:after="0" w:line="342"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 of Issuer: Ardelyx, Inc.</w:t>
      </w:r>
    </w:p>
    <w:p>
      <w:pPr>
        <w:spacing w:after="0" w:line="29" w:lineRule="exact"/>
        <w:rPr>
          <w:rFonts w:ascii="Arial" w:cs="Arial" w:eastAsia="Arial" w:hAnsi="Arial"/>
          <w:sz w:val="16"/>
          <w:szCs w:val="16"/>
          <w:color w:val="auto"/>
        </w:rPr>
      </w:pPr>
    </w:p>
    <w:p>
      <w:pPr>
        <w:ind w:left="1460" w:hanging="499"/>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34175 Ardenwood Blvd., Suite 200, Fremont, CA 94555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40005</wp:posOffset>
            </wp:positionV>
            <wp:extent cx="6320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-311150</wp:posOffset>
            </wp:positionV>
            <wp:extent cx="63201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60" w:hanging="499"/>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Future Fund Board of Guardians</w:t>
      </w:r>
    </w:p>
    <w:p>
      <w:pPr>
        <w:spacing w:after="0" w:line="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Future Fund Investment Company No.4 Pty Ltd (ACN 134 338 908)</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460"/>
        <w:spacing w:after="0" w:line="286" w:lineRule="auto"/>
        <w:rPr>
          <w:rFonts w:ascii="Arial" w:cs="Arial" w:eastAsia="Arial" w:hAnsi="Arial"/>
          <w:sz w:val="18"/>
          <w:szCs w:val="18"/>
          <w:color w:val="auto"/>
        </w:rPr>
      </w:pPr>
      <w:r>
        <w:rPr>
          <w:rFonts w:ascii="Arial" w:cs="Arial" w:eastAsia="Arial" w:hAnsi="Arial"/>
          <w:sz w:val="17"/>
          <w:szCs w:val="17"/>
          <w:color w:val="auto"/>
        </w:rPr>
        <w:t>The Reporting Persons have entered into a Joint Filing Agreement, a copy of which is attached as Exhibit 99.1 to this statement, pursuant to which the Reporting Persons have agreed to file the statement and any amendments thereto jointly in accordance with the provisions of Rule 13d-1(k)(1) promulgated under the Securities Exchange Act of 1934, as amended.</w:t>
      </w:r>
    </w:p>
    <w:p>
      <w:pPr>
        <w:spacing w:after="0" w:line="70" w:lineRule="exact"/>
        <w:rPr>
          <w:rFonts w:ascii="Arial" w:cs="Arial" w:eastAsia="Arial" w:hAnsi="Arial"/>
          <w:sz w:val="18"/>
          <w:szCs w:val="18"/>
          <w:color w:val="auto"/>
        </w:rPr>
      </w:pPr>
    </w:p>
    <w:p>
      <w:pPr>
        <w:jc w:val="both"/>
        <w:ind w:left="1460" w:right="5280" w:hanging="499"/>
        <w:spacing w:after="0" w:line="342" w:lineRule="auto"/>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Level 42, 120 Collins Street, Melbourne VIC 300, Australia</w:t>
      </w:r>
    </w:p>
    <w:p>
      <w:pPr>
        <w:spacing w:after="0" w:line="29" w:lineRule="exact"/>
        <w:rPr>
          <w:rFonts w:ascii="Arial" w:cs="Arial" w:eastAsia="Arial" w:hAnsi="Arial"/>
          <w:sz w:val="16"/>
          <w:szCs w:val="16"/>
          <w:color w:val="auto"/>
        </w:rPr>
      </w:pPr>
    </w:p>
    <w:p>
      <w:pPr>
        <w:ind w:left="1460" w:right="8720" w:hanging="499"/>
        <w:spacing w:after="0" w:line="308" w:lineRule="auto"/>
        <w:tabs>
          <w:tab w:leader="none" w:pos="1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Citizenship: Australia</w:t>
      </w:r>
    </w:p>
    <w:p>
      <w:pPr>
        <w:spacing w:after="0" w:line="51" w:lineRule="exact"/>
        <w:rPr>
          <w:rFonts w:ascii="Arial" w:cs="Arial" w:eastAsia="Arial" w:hAnsi="Arial"/>
          <w:sz w:val="17"/>
          <w:szCs w:val="17"/>
          <w:color w:val="auto"/>
        </w:rPr>
      </w:pPr>
    </w:p>
    <w:p>
      <w:pPr>
        <w:ind w:left="1460" w:hanging="499"/>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Title and Class of Securities:</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Common Stock, $0.0001 par value per share</w:t>
      </w:r>
    </w:p>
    <w:p>
      <w:pPr>
        <w:spacing w:after="0" w:line="116" w:lineRule="exact"/>
        <w:rPr>
          <w:rFonts w:ascii="Arial" w:cs="Arial" w:eastAsia="Arial" w:hAnsi="Arial"/>
          <w:sz w:val="18"/>
          <w:szCs w:val="18"/>
          <w:color w:val="auto"/>
        </w:rPr>
      </w:pPr>
    </w:p>
    <w:p>
      <w:pPr>
        <w:jc w:val="both"/>
        <w:ind w:left="1460" w:right="8720" w:hanging="499"/>
        <w:spacing w:after="0" w:line="308" w:lineRule="auto"/>
        <w:tabs>
          <w:tab w:leader="none" w:pos="1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CUSIP No.: 039697107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0</wp:posOffset>
            </wp:positionV>
            <wp:extent cx="63201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-351790</wp:posOffset>
            </wp:positionV>
            <wp:extent cx="6320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-703580</wp:posOffset>
            </wp:positionV>
            <wp:extent cx="6320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-1054735</wp:posOffset>
            </wp:positionV>
            <wp:extent cx="63201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-1406525</wp:posOffset>
            </wp:positionV>
            <wp:extent cx="63201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300" w:top="391" w:right="539" w:bottom="1440" w:gutter="0" w:footer="0" w:header="0"/>
        </w:sectPr>
      </w:pPr>
    </w:p>
    <w:bookmarkStart w:id="4" w:name="page5"/>
    <w:bookmarkEnd w:id="4"/>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520" w:right="7120" w:hanging="379"/>
        <w:spacing w:after="0" w:line="340"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29" w:lineRule="exact"/>
        <w:rPr>
          <w:rFonts w:ascii="Arial" w:cs="Arial" w:eastAsia="Arial" w:hAnsi="Arial"/>
          <w:sz w:val="18"/>
          <w:szCs w:val="18"/>
          <w:color w:val="auto"/>
        </w:rPr>
      </w:pPr>
    </w:p>
    <w:p>
      <w:pPr>
        <w:ind w:left="1520" w:hanging="384"/>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0.0%</w:t>
      </w:r>
    </w:p>
    <w:p>
      <w:pPr>
        <w:spacing w:after="0" w:line="238" w:lineRule="exact"/>
        <w:rPr>
          <w:rFonts w:ascii="Arial" w:cs="Arial" w:eastAsia="Arial" w:hAnsi="Arial"/>
          <w:sz w:val="18"/>
          <w:szCs w:val="18"/>
          <w:color w:val="auto"/>
        </w:rPr>
      </w:pPr>
    </w:p>
    <w:p>
      <w:pPr>
        <w:ind w:left="1520" w:hanging="379"/>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255270</wp:posOffset>
            </wp:positionV>
            <wp:extent cx="59601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-198755</wp:posOffset>
            </wp:positionV>
            <wp:extent cx="59601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0110" cy="8890"/>
                    </a:xfrm>
                    <a:prstGeom prst="rect">
                      <a:avLst/>
                    </a:prstGeom>
                    <a:noFill/>
                  </pic:spPr>
                </pic:pic>
              </a:graphicData>
            </a:graphic>
          </wp:anchor>
        </w:drawing>
        <w:drawing>
          <wp:anchor simplePos="0" relativeHeight="251657728" behindDoc="1" locked="0" layoutInCell="0" allowOverlap="1">
            <wp:simplePos x="0" y="0"/>
            <wp:positionH relativeFrom="column">
              <wp:posOffset>933450</wp:posOffset>
            </wp:positionH>
            <wp:positionV relativeFrom="paragraph">
              <wp:posOffset>-653415</wp:posOffset>
            </wp:positionV>
            <wp:extent cx="59601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120" w:right="5720" w:hanging="438"/>
        <w:spacing w:after="0" w:line="340" w:lineRule="auto"/>
        <w:tabs>
          <w:tab w:leader="none" w:pos="2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13970</wp:posOffset>
            </wp:positionV>
            <wp:extent cx="5582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09" w:lineRule="exact"/>
        <w:rPr>
          <w:sz w:val="20"/>
          <w:szCs w:val="20"/>
          <w:color w:val="auto"/>
        </w:rPr>
      </w:pPr>
    </w:p>
    <w:p>
      <w:pPr>
        <w:ind w:left="2120" w:right="5540" w:hanging="463"/>
        <w:spacing w:after="0" w:line="340" w:lineRule="auto"/>
        <w:tabs>
          <w:tab w:leader="none" w:pos="2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13970</wp:posOffset>
            </wp:positionV>
            <wp:extent cx="5582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09" w:lineRule="exact"/>
        <w:rPr>
          <w:sz w:val="20"/>
          <w:szCs w:val="20"/>
          <w:color w:val="auto"/>
        </w:rPr>
      </w:pPr>
    </w:p>
    <w:p>
      <w:pPr>
        <w:ind w:left="2120" w:right="4820" w:hanging="488"/>
        <w:spacing w:after="0" w:line="340" w:lineRule="auto"/>
        <w:tabs>
          <w:tab w:leader="none" w:pos="2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29" w:lineRule="exact"/>
        <w:rPr>
          <w:rFonts w:ascii="Arial" w:cs="Arial" w:eastAsia="Arial" w:hAnsi="Arial"/>
          <w:sz w:val="18"/>
          <w:szCs w:val="18"/>
          <w:color w:val="auto"/>
        </w:rPr>
      </w:pPr>
    </w:p>
    <w:p>
      <w:pPr>
        <w:ind w:left="2120" w:right="4640" w:hanging="483"/>
        <w:spacing w:after="0" w:line="340" w:lineRule="auto"/>
        <w:tabs>
          <w:tab w:leader="none" w:pos="2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13970</wp:posOffset>
            </wp:positionV>
            <wp:extent cx="5582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-440055</wp:posOffset>
            </wp:positionV>
            <wp:extent cx="55829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36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60" w:right="280" w:hanging="1066"/>
        <w:spacing w:after="0" w:line="282" w:lineRule="auto"/>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520" w:top="391" w:right="679" w:bottom="1440" w:gutter="0" w:footer="0" w:header="0"/>
        </w:sectPr>
      </w:pPr>
    </w:p>
    <w:bookmarkStart w:id="5" w:name="page6"/>
    <w:bookmarkEnd w:id="5"/>
    <w:p>
      <w:pPr>
        <w:ind w:left="12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760" w:right="2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Future Fund Board of Guardians </w:t>
      </w:r>
      <w:r>
        <w:rPr>
          <w:rFonts w:ascii="Arial" w:cs="Arial" w:eastAsia="Arial" w:hAnsi="Arial"/>
          <w:sz w:val="18"/>
          <w:szCs w:val="18"/>
          <w:color w:val="auto"/>
        </w:rPr>
        <w:t>by: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/s/ Paul Mann</w:t>
            </w:r>
          </w:p>
        </w:tc>
        <w:tc>
          <w:tcPr>
            <w:tcW w:w="3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Cameron Price</w:t>
            </w: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Authorised Signatory</w:t>
            </w:r>
          </w:p>
        </w:tc>
        <w:tc>
          <w:tcPr>
            <w:tcW w:w="36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Authorised Signatory</w:t>
            </w:r>
          </w:p>
        </w:tc>
        <w:tc>
          <w:tcPr>
            <w:tcW w:w="40" w:type="dxa"/>
            <w:vAlign w:val="bottom"/>
          </w:tcPr>
          <w:p>
            <w:pPr>
              <w:spacing w:after="0"/>
              <w:rPr>
                <w:sz w:val="19"/>
                <w:szCs w:val="19"/>
                <w:color w:val="auto"/>
              </w:rPr>
            </w:pPr>
          </w:p>
        </w:tc>
      </w:tr>
      <w:tr>
        <w:trPr>
          <w:trHeight w:val="445"/>
        </w:trPr>
        <w:tc>
          <w:tcPr>
            <w:tcW w:w="20" w:type="dxa"/>
            <w:vAlign w:val="bottom"/>
          </w:tcPr>
          <w:p>
            <w:pPr>
              <w:spacing w:after="0"/>
              <w:rPr>
                <w:sz w:val="24"/>
                <w:szCs w:val="24"/>
                <w:color w:val="auto"/>
              </w:rPr>
            </w:pPr>
          </w:p>
        </w:tc>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Paul Mann</w:t>
            </w:r>
          </w:p>
        </w:tc>
        <w:tc>
          <w:tcPr>
            <w:tcW w:w="36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Cameron Price</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Name of Authorised Signatory</w:t>
            </w:r>
          </w:p>
        </w:tc>
        <w:tc>
          <w:tcPr>
            <w:tcW w:w="36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Name of Authorised Signatory</w:t>
            </w:r>
          </w:p>
        </w:tc>
        <w:tc>
          <w:tcPr>
            <w:tcW w:w="40" w:type="dxa"/>
            <w:vAlign w:val="bottom"/>
          </w:tcPr>
          <w:p>
            <w:pPr>
              <w:spacing w:after="0"/>
              <w:rPr>
                <w:sz w:val="19"/>
                <w:szCs w:val="19"/>
                <w:color w:val="auto"/>
              </w:rPr>
            </w:pPr>
          </w:p>
        </w:tc>
      </w:tr>
      <w:tr>
        <w:trPr>
          <w:trHeight w:val="661"/>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Future Fund Investment Company No.4 Pty Ltd </w:t>
            </w: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5540" w:type="dxa"/>
            <w:vAlign w:val="bottom"/>
            <w:gridSpan w:val="2"/>
          </w:tcPr>
          <w:p>
            <w:pPr>
              <w:spacing w:after="0"/>
              <w:rPr>
                <w:sz w:val="20"/>
                <w:szCs w:val="20"/>
                <w:color w:val="auto"/>
              </w:rPr>
            </w:pPr>
            <w:r>
              <w:rPr>
                <w:rFonts w:ascii="Arial" w:cs="Arial" w:eastAsia="Arial" w:hAnsi="Arial"/>
                <w:sz w:val="18"/>
                <w:szCs w:val="18"/>
                <w:color w:val="auto"/>
              </w:rPr>
              <w:t>/s/ Paul Mann</w:t>
            </w:r>
          </w:p>
        </w:tc>
        <w:tc>
          <w:tcPr>
            <w:tcW w:w="36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 Kylie Yong</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36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Company Secretary</w:t>
            </w:r>
          </w:p>
        </w:tc>
        <w:tc>
          <w:tcPr>
            <w:tcW w:w="40" w:type="dxa"/>
            <w:vAlign w:val="bottom"/>
          </w:tcPr>
          <w:p>
            <w:pPr>
              <w:spacing w:after="0"/>
              <w:rPr>
                <w:sz w:val="19"/>
                <w:szCs w:val="19"/>
                <w:color w:val="auto"/>
              </w:rPr>
            </w:pPr>
          </w:p>
        </w:tc>
      </w:tr>
      <w:tr>
        <w:trPr>
          <w:trHeight w:val="418"/>
        </w:trPr>
        <w:tc>
          <w:tcPr>
            <w:tcW w:w="5540" w:type="dxa"/>
            <w:vAlign w:val="bottom"/>
            <w:gridSpan w:val="2"/>
          </w:tcPr>
          <w:p>
            <w:pPr>
              <w:spacing w:after="0"/>
              <w:rPr>
                <w:sz w:val="20"/>
                <w:szCs w:val="20"/>
                <w:color w:val="auto"/>
              </w:rPr>
            </w:pPr>
            <w:r>
              <w:rPr>
                <w:rFonts w:ascii="Arial" w:cs="Arial" w:eastAsia="Arial" w:hAnsi="Arial"/>
                <w:sz w:val="18"/>
                <w:szCs w:val="18"/>
                <w:color w:val="auto"/>
              </w:rPr>
              <w:t>Paul Mann</w:t>
            </w:r>
          </w:p>
        </w:tc>
        <w:tc>
          <w:tcPr>
            <w:tcW w:w="36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Kylie Yong</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Director</w:t>
            </w:r>
          </w:p>
        </w:tc>
        <w:tc>
          <w:tcPr>
            <w:tcW w:w="360" w:type="dxa"/>
            <w:vAlign w:val="bottom"/>
          </w:tcPr>
          <w:p>
            <w:pPr>
              <w:spacing w:after="0"/>
              <w:rPr>
                <w:sz w:val="19"/>
                <w:szCs w:val="19"/>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Company Secretary</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5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1"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1460" w:hanging="1444"/>
        <w:spacing w:after="0" w:line="277" w:lineRule="auto"/>
        <w:tabs>
          <w:tab w:leader="none" w:pos="14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Joint Filing Agreement, dated as of July 21, 2016, by and between Future Fund Board of Guardians and Future Fund Investment Company No.4 Pty Ltd.</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240" w:top="337" w:right="9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JOINT FILING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21, 2016, by and between Future Fund Board of Guardians (“</w:t>
      </w:r>
      <w:r>
        <w:rPr>
          <w:rFonts w:ascii="Arial" w:cs="Arial" w:eastAsia="Arial" w:hAnsi="Arial"/>
          <w:sz w:val="18"/>
          <w:szCs w:val="18"/>
          <w:u w:val="single" w:color="auto"/>
          <w:color w:val="auto"/>
        </w:rPr>
        <w:t>FFBG</w:t>
      </w:r>
      <w:r>
        <w:rPr>
          <w:rFonts w:ascii="Arial" w:cs="Arial" w:eastAsia="Arial" w:hAnsi="Arial"/>
          <w:sz w:val="18"/>
          <w:szCs w:val="18"/>
          <w:color w:val="auto"/>
        </w:rPr>
        <w:t>”) and Future Fund Investment Company No.4 Pty Ltd (“</w:t>
      </w:r>
      <w:r>
        <w:rPr>
          <w:rFonts w:ascii="Arial" w:cs="Arial" w:eastAsia="Arial" w:hAnsi="Arial"/>
          <w:sz w:val="18"/>
          <w:szCs w:val="18"/>
          <w:u w:val="single" w:color="auto"/>
          <w:color w:val="auto"/>
        </w:rPr>
        <w:t>FF</w:t>
      </w:r>
      <w:r>
        <w:rPr>
          <w:rFonts w:ascii="Arial" w:cs="Arial" w:eastAsia="Arial" w:hAnsi="Arial"/>
          <w:sz w:val="18"/>
          <w:szCs w:val="18"/>
          <w:color w:val="auto"/>
        </w:rPr>
        <w:t>” and together with FFBG, the “</w:t>
      </w:r>
      <w:r>
        <w:rPr>
          <w:rFonts w:ascii="Arial" w:cs="Arial" w:eastAsia="Arial" w:hAnsi="Arial"/>
          <w:sz w:val="18"/>
          <w:szCs w:val="18"/>
          <w:u w:val="single" w:color="auto"/>
          <w:color w:val="auto"/>
        </w:rPr>
        <w:t>FF Parties</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FF Parties hereby acknowledge and agree that the Statement on Schedule 13G to which this Agreement is attached as an exhibit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Statement</w:t>
      </w:r>
      <w:r>
        <w:rPr>
          <w:rFonts w:ascii="Arial" w:cs="Arial" w:eastAsia="Arial" w:hAnsi="Arial"/>
          <w:sz w:val="16"/>
          <w:szCs w:val="16"/>
          <w:color w:val="auto"/>
        </w:rPr>
        <w:t>”), relating to the common stock, par value $0.0001 per share, of Ardelyx, Inc., is filed with the Securities and Exchange Commission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13d-1(k) under the Securities Exchange Act of 1934, as amended, on behalf of each of the FF Parties and that any subsequent amendments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shall be filed on behalf of each of the FF Parties without the necessity of filing additional joint filing agreements. Each FF Party acknowledges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shall be responsible for the timely filing of any such amendments and for the completeness and accuracy of the information concerning him or it contained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and therein, but shall not be responsible for the completeness or accuracy of the information concerning the other FF Party, except to the extent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knows or has reason to believe that such information is inaccurate.</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undersigned hereby executes this Agreement as of the date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Future Fund Board of Guardians </w:t>
            </w:r>
            <w:r>
              <w:rPr>
                <w:rFonts w:ascii="Arial" w:cs="Arial" w:eastAsia="Arial" w:hAnsi="Arial"/>
                <w:sz w:val="18"/>
                <w:szCs w:val="18"/>
                <w:color w:val="auto"/>
              </w:rPr>
              <w:t>by:</w:t>
            </w: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700" w:type="dxa"/>
            <w:vAlign w:val="bottom"/>
            <w:gridSpan w:val="2"/>
          </w:tcPr>
          <w:p>
            <w:pPr>
              <w:ind w:left="40"/>
              <w:spacing w:after="0"/>
              <w:rPr>
                <w:sz w:val="20"/>
                <w:szCs w:val="20"/>
                <w:color w:val="auto"/>
              </w:rPr>
            </w:pPr>
            <w:r>
              <w:rPr>
                <w:rFonts w:ascii="Arial" w:cs="Arial" w:eastAsia="Arial" w:hAnsi="Arial"/>
                <w:sz w:val="18"/>
                <w:szCs w:val="18"/>
                <w:color w:val="auto"/>
              </w:rPr>
              <w:t>/s/ Cameron Price</w:t>
            </w:r>
          </w:p>
        </w:tc>
        <w:tc>
          <w:tcPr>
            <w:tcW w:w="5700" w:type="dxa"/>
            <w:vAlign w:val="bottom"/>
          </w:tcPr>
          <w:p>
            <w:pPr>
              <w:spacing w:after="0"/>
              <w:rPr>
                <w:sz w:val="20"/>
                <w:szCs w:val="20"/>
                <w:color w:val="auto"/>
              </w:rPr>
            </w:pPr>
            <w:r>
              <w:rPr>
                <w:rFonts w:ascii="Arial" w:cs="Arial" w:eastAsia="Arial" w:hAnsi="Arial"/>
                <w:sz w:val="18"/>
                <w:szCs w:val="18"/>
                <w:color w:val="auto"/>
              </w:rPr>
              <w:t>/s/ Paul Mann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Authorised Signatory</w:t>
            </w:r>
          </w:p>
        </w:tc>
        <w:tc>
          <w:tcPr>
            <w:tcW w:w="38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Authorised Signatory</w:t>
            </w:r>
          </w:p>
        </w:tc>
        <w:tc>
          <w:tcPr>
            <w:tcW w:w="40" w:type="dxa"/>
            <w:vAlign w:val="bottom"/>
          </w:tcPr>
          <w:p>
            <w:pPr>
              <w:spacing w:after="0"/>
              <w:rPr>
                <w:sz w:val="19"/>
                <w:szCs w:val="19"/>
                <w:color w:val="auto"/>
              </w:rPr>
            </w:pPr>
          </w:p>
        </w:tc>
      </w:tr>
      <w:tr>
        <w:trPr>
          <w:trHeight w:val="418"/>
        </w:trPr>
        <w:tc>
          <w:tcPr>
            <w:tcW w:w="5720" w:type="dxa"/>
            <w:vAlign w:val="bottom"/>
            <w:gridSpan w:val="3"/>
          </w:tcPr>
          <w:p>
            <w:pPr>
              <w:spacing w:after="0"/>
              <w:rPr>
                <w:sz w:val="20"/>
                <w:szCs w:val="20"/>
                <w:color w:val="auto"/>
              </w:rPr>
            </w:pPr>
            <w:r>
              <w:rPr>
                <w:rFonts w:ascii="Arial" w:cs="Arial" w:eastAsia="Arial" w:hAnsi="Arial"/>
                <w:sz w:val="18"/>
                <w:szCs w:val="18"/>
                <w:color w:val="auto"/>
              </w:rPr>
              <w:t>Cameron Price</w:t>
            </w:r>
          </w:p>
        </w:tc>
        <w:tc>
          <w:tcPr>
            <w:tcW w:w="5700" w:type="dxa"/>
            <w:vAlign w:val="bottom"/>
          </w:tcPr>
          <w:p>
            <w:pPr>
              <w:spacing w:after="0"/>
              <w:rPr>
                <w:sz w:val="20"/>
                <w:szCs w:val="20"/>
                <w:color w:val="auto"/>
              </w:rPr>
            </w:pPr>
            <w:r>
              <w:rPr>
                <w:rFonts w:ascii="Arial" w:cs="Arial" w:eastAsia="Arial" w:hAnsi="Arial"/>
                <w:sz w:val="18"/>
                <w:szCs w:val="18"/>
                <w:color w:val="auto"/>
              </w:rPr>
              <w:t>Paul Mann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Authorised Signatory</w:t>
            </w:r>
          </w:p>
        </w:tc>
        <w:tc>
          <w:tcPr>
            <w:tcW w:w="38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Authorised Signatory</w:t>
            </w:r>
          </w:p>
        </w:tc>
        <w:tc>
          <w:tcPr>
            <w:tcW w:w="40" w:type="dxa"/>
            <w:vAlign w:val="bottom"/>
          </w:tcPr>
          <w:p>
            <w:pPr>
              <w:spacing w:after="0"/>
              <w:rPr>
                <w:sz w:val="19"/>
                <w:szCs w:val="19"/>
                <w:color w:val="auto"/>
              </w:rPr>
            </w:pPr>
          </w:p>
        </w:tc>
      </w:tr>
      <w:tr>
        <w:trPr>
          <w:trHeight w:val="418"/>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Future Fund Investment Company No.4 Pty Ltd </w:t>
            </w:r>
            <w:r>
              <w:rPr>
                <w:rFonts w:ascii="Arial" w:cs="Arial" w:eastAsia="Arial" w:hAnsi="Arial"/>
                <w:sz w:val="18"/>
                <w:szCs w:val="18"/>
                <w:color w:val="auto"/>
              </w:rPr>
              <w:t>by:</w:t>
            </w: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color w:val="auto"/>
              </w:rPr>
              <w:t>/s/ Paul Mann</w:t>
            </w:r>
          </w:p>
        </w:tc>
        <w:tc>
          <w:tcPr>
            <w:tcW w:w="5700" w:type="dxa"/>
            <w:vAlign w:val="bottom"/>
          </w:tcPr>
          <w:p>
            <w:pPr>
              <w:spacing w:after="0"/>
              <w:rPr>
                <w:sz w:val="20"/>
                <w:szCs w:val="20"/>
                <w:color w:val="auto"/>
              </w:rPr>
            </w:pPr>
            <w:r>
              <w:rPr>
                <w:rFonts w:ascii="Arial" w:cs="Arial" w:eastAsia="Arial" w:hAnsi="Arial"/>
                <w:sz w:val="18"/>
                <w:szCs w:val="18"/>
                <w:color w:val="auto"/>
              </w:rPr>
              <w:t>/s/ Kylie Yong</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Director</w:t>
            </w:r>
          </w:p>
        </w:tc>
        <w:tc>
          <w:tcPr>
            <w:tcW w:w="38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Company Secretary</w:t>
            </w:r>
          </w:p>
        </w:tc>
        <w:tc>
          <w:tcPr>
            <w:tcW w:w="40" w:type="dxa"/>
            <w:vAlign w:val="bottom"/>
          </w:tcPr>
          <w:p>
            <w:pPr>
              <w:spacing w:after="0"/>
              <w:rPr>
                <w:sz w:val="19"/>
                <w:szCs w:val="19"/>
                <w:color w:val="auto"/>
              </w:rPr>
            </w:pPr>
          </w:p>
        </w:tc>
      </w:tr>
      <w:tr>
        <w:trPr>
          <w:trHeight w:val="418"/>
        </w:trPr>
        <w:tc>
          <w:tcPr>
            <w:tcW w:w="5720" w:type="dxa"/>
            <w:vAlign w:val="bottom"/>
            <w:gridSpan w:val="3"/>
          </w:tcPr>
          <w:p>
            <w:pPr>
              <w:spacing w:after="0"/>
              <w:rPr>
                <w:sz w:val="20"/>
                <w:szCs w:val="20"/>
                <w:color w:val="auto"/>
              </w:rPr>
            </w:pPr>
            <w:r>
              <w:rPr>
                <w:rFonts w:ascii="Arial" w:cs="Arial" w:eastAsia="Arial" w:hAnsi="Arial"/>
                <w:sz w:val="18"/>
                <w:szCs w:val="18"/>
                <w:color w:val="auto"/>
              </w:rPr>
              <w:t>Paul Mann</w:t>
            </w:r>
          </w:p>
        </w:tc>
        <w:tc>
          <w:tcPr>
            <w:tcW w:w="5700" w:type="dxa"/>
            <w:vAlign w:val="bottom"/>
          </w:tcPr>
          <w:p>
            <w:pPr>
              <w:spacing w:after="0"/>
              <w:rPr>
                <w:sz w:val="20"/>
                <w:szCs w:val="20"/>
                <w:color w:val="auto"/>
              </w:rPr>
            </w:pPr>
            <w:r>
              <w:rPr>
                <w:rFonts w:ascii="Arial" w:cs="Arial" w:eastAsia="Arial" w:hAnsi="Arial"/>
                <w:sz w:val="18"/>
                <w:szCs w:val="18"/>
                <w:color w:val="auto"/>
              </w:rPr>
              <w:t>Kylie Yong</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Director</w:t>
            </w:r>
          </w:p>
        </w:tc>
        <w:tc>
          <w:tcPr>
            <w:tcW w:w="38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Company Secretary</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9"/>
      <w:numFmt w:val="bullet"/>
      <w:start w:val="1"/>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2"/>
      <w:numFmt w:val="bullet"/>
      <w:start w:val="1"/>
    </w:lvl>
    <w:lvl w:ilvl="1">
      <w:lvlJc w:val="left"/>
      <w:lvlText w:val="(%2)"/>
      <w:numFmt w:val="lowerLetter"/>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4"/>
      <w:numFmt w:val="bullet"/>
      <w:start w:val="1"/>
    </w:lvl>
  </w:abstractNum>
  <w:abstractNum w:abstractNumId="11">
    <w:nsid w:val="41A7C4C9"/>
    <w:multiLevelType w:val="hybridMultilevel"/>
    <w:lvl w:ilvl="0">
      <w:lvlJc w:val="left"/>
      <w:lvlText w:val="9"/>
      <w:numFmt w:val="bullet"/>
      <w:start w:val="1"/>
    </w:lvl>
  </w:abstractNum>
  <w:abstractNum w:abstractNumId="12">
    <w:nsid w:val="6B68079A"/>
    <w:multiLevelType w:val="hybridMultilevel"/>
    <w:lvl w:ilvl="0">
      <w:lvlJc w:val="left"/>
      <w:lvlText w:val="%1"/>
      <w:numFmt w:val="decimal"/>
      <w:start w:val="10"/>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2020-02-12T05:44:33Z</dcterms:created>
  <dcterms:modified xsi:type="dcterms:W3CDTF">2020-02-12T05:44:33Z</dcterms:modified>
</cp:coreProperties>
</file>