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16, 2014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Ardelyx, Inc.</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(SEC File No. 333-196090)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above-referenced Registration Statement, and pursuant to Rule 461 under the Securities Act of 1933, as amended (the “Act”), we hereby join in the request of Ardelyx, Inc. that the effective date of the Registration Statement be accelerated so that it will be declared effective at 4:30 p.m., Washington, D.C. time, on June 18, 2014 or as soon thereafter as practicable.</w:t>
      </w:r>
    </w:p>
    <w:p>
      <w:pPr>
        <w:spacing w:after="0" w:line="1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Pursuant to Rule 460 under the Act, we wish to advise you that we have distributed approximately 1,431 copies of the Preliminary Prospectus dated June 9, 2014 (the “Preliminary Prospectus”) through the date hereof, to underwriters, dealers, institutions and others.</w:t>
      </w:r>
    </w:p>
    <w:p>
      <w:pPr>
        <w:spacing w:after="0" w:line="132"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Preliminary Prospectus distribution for the above-referenced issue, the prospective underwriters have confirmed that they are complying with the 48-hour requirement as promulgated by Rule 15c2-8 under the Securities Exchange Act of 1934, as amended.</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340"/>
          </w:cols>
          <w:pgMar w:left="240" w:top="23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Jarrett</w:t>
            </w: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Jennifer Jarrett</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LEERINK PARTNERS LLC</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Civiterese</w:t>
            </w:r>
          </w:p>
        </w:tc>
      </w:t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Jon Civiterese</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w:t>
      </w:r>
    </w:p>
    <w:p>
      <w:pPr>
        <w:spacing w:after="0" w:line="171" w:lineRule="exact"/>
        <w:rPr>
          <w:sz w:val="20"/>
          <w:szCs w:val="20"/>
          <w:color w:val="auto"/>
        </w:rPr>
      </w:pPr>
    </w:p>
    <w:p>
      <w:pPr>
        <w:jc w:val="right"/>
        <w:ind w:right="2419"/>
        <w:spacing w:after="0"/>
        <w:rPr>
          <w:sz w:val="20"/>
          <w:szCs w:val="20"/>
          <w:color w:val="auto"/>
        </w:rPr>
      </w:pPr>
      <w:r>
        <w:rPr>
          <w:rFonts w:ascii="Arial" w:cs="Arial" w:eastAsia="Arial" w:hAnsi="Arial"/>
          <w:sz w:val="18"/>
          <w:szCs w:val="18"/>
          <w:color w:val="auto"/>
        </w:rPr>
        <w:t>[Signature Page to Ardelyx, Inc. S-1 Acceleration Request]</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2019-12-07T18:39:17Z</dcterms:created>
  <dcterms:modified xsi:type="dcterms:W3CDTF">2019-12-07T18:39:17Z</dcterms:modified>
</cp:coreProperties>
</file>