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3)*</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8820" w:hanging="86"/>
        <w:spacing w:after="0" w:line="264" w:lineRule="auto"/>
        <w:tabs>
          <w:tab w:leader="none" w:pos="1026"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Rule 13d-1(b) ý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11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8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306" w:right="619" w:bottom="1440" w:gutter="0" w:footer="0" w:header="0"/>
        </w:sectPr>
      </w:pPr>
    </w:p>
    <w:bookmarkStart w:id="1" w:name="page2"/>
    <w:bookmarkEnd w:id="1"/>
    <w:p>
      <w:pPr>
        <w:spacing w:after="0"/>
        <w:tabs>
          <w:tab w:leader="none" w:pos="5360" w:val="left"/>
          <w:tab w:leader="none" w:pos="9820" w:val="left"/>
        </w:tabs>
        <w:rPr>
          <w:sz w:val="20"/>
          <w:szCs w:val="20"/>
          <w:color w:val="auto"/>
        </w:rPr>
      </w:pPr>
      <w:r>
        <w:rPr>
          <w:rFonts w:ascii="Times New Roman" w:cs="Times New Roman" w:eastAsia="Times New Roman" w:hAnsi="Times New Roman"/>
          <w:sz w:val="20"/>
          <w:szCs w:val="20"/>
          <w:b w:val="1"/>
          <w:bCs w:val="1"/>
          <w:color w:val="auto"/>
        </w:rPr>
        <w:t>CUSIP No. 039697107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30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600" w:type="dxa"/>
            <w:vAlign w:val="bottom"/>
            <w:vMerge w:val="continue"/>
          </w:tcPr>
          <w:p>
            <w:pPr>
              <w:spacing w:after="0"/>
              <w:rPr>
                <w:sz w:val="15"/>
                <w:szCs w:val="15"/>
                <w:color w:val="auto"/>
              </w:rPr>
            </w:pPr>
          </w:p>
        </w:tc>
        <w:tc>
          <w:tcPr>
            <w:tcW w:w="3000" w:type="dxa"/>
            <w:vAlign w:val="bottom"/>
            <w:vMerge w:val="restart"/>
          </w:tcPr>
          <w:p>
            <w:pPr>
              <w:ind w:left="760"/>
              <w:spacing w:after="0"/>
              <w:rPr>
                <w:sz w:val="20"/>
                <w:szCs w:val="20"/>
                <w:color w:val="auto"/>
              </w:rPr>
            </w:pPr>
            <w:r>
              <w:rPr>
                <w:rFonts w:ascii="Times New Roman" w:cs="Times New Roman" w:eastAsia="Times New Roman" w:hAnsi="Times New Roman"/>
                <w:sz w:val="20"/>
                <w:szCs w:val="20"/>
                <w:color w:val="auto"/>
                <w:w w:val="96"/>
              </w:rPr>
              <w:t>Adage Capital Partners, L.P.</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1" w:lineRule="auto"/>
        <w:tabs>
          <w:tab w:leader="none" w:pos="182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820" w:hanging="1033"/>
        <w:spacing w:after="0"/>
        <w:tabs>
          <w:tab w:leader="none" w:pos="182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4</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rPr>
              <w:t>Delaware</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40" w:type="dxa"/>
            <w:vAlign w:val="bottom"/>
          </w:tcPr>
          <w:p>
            <w:pPr>
              <w:spacing w:after="0"/>
              <w:rPr>
                <w:sz w:val="8"/>
                <w:szCs w:val="8"/>
                <w:color w:val="auto"/>
              </w:rPr>
            </w:pP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5</w:t>
            </w:r>
          </w:p>
        </w:tc>
        <w:tc>
          <w:tcPr>
            <w:tcW w:w="120" w:type="dxa"/>
            <w:vAlign w:val="bottom"/>
          </w:tcPr>
          <w:p>
            <w:pPr>
              <w:spacing w:after="0"/>
              <w:rPr>
                <w:sz w:val="8"/>
                <w:szCs w:val="8"/>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NUMBER OF</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color w:val="auto"/>
              </w:rPr>
              <w:t>SHARES</w:t>
            </w: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OWNED BY</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8</w:t>
            </w:r>
          </w:p>
        </w:tc>
        <w:tc>
          <w:tcPr>
            <w:tcW w:w="120" w:type="dxa"/>
            <w:vAlign w:val="bottom"/>
            <w:tcBorders>
              <w:left w:val="single" w:sz="8" w:color="auto"/>
            </w:tcBorders>
          </w:tcPr>
          <w:p>
            <w:pPr>
              <w:spacing w:after="0"/>
              <w:rPr>
                <w:sz w:val="18"/>
                <w:szCs w:val="18"/>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w w:val="97"/>
              </w:rPr>
              <w:t>5,000,000</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2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color w:val="auto"/>
              </w:rPr>
              <w:t>5.54%</w:t>
            </w:r>
          </w:p>
        </w:tc>
        <w:tc>
          <w:tcPr>
            <w:tcW w:w="1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rPr>
              <w:t>PN</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73" w:hanging="273"/>
        <w:spacing w:after="0" w:line="263" w:lineRule="exact"/>
        <w:tabs>
          <w:tab w:leader="none" w:pos="27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1" w:right="339" w:bottom="1440" w:gutter="0" w:footer="0" w:header="0"/>
          <w:type w:val="continuous"/>
        </w:sectPr>
      </w:pPr>
    </w:p>
    <w:bookmarkStart w:id="2" w:name="page3"/>
    <w:bookmarkEnd w:id="2"/>
    <w:p>
      <w:pPr>
        <w:spacing w:after="0"/>
        <w:tabs>
          <w:tab w:leader="none" w:pos="5360" w:val="left"/>
          <w:tab w:leader="none" w:pos="9820" w:val="left"/>
        </w:tabs>
        <w:rPr>
          <w:sz w:val="20"/>
          <w:szCs w:val="20"/>
          <w:color w:val="auto"/>
        </w:rPr>
      </w:pPr>
      <w:r>
        <w:rPr>
          <w:rFonts w:ascii="Times New Roman" w:cs="Times New Roman" w:eastAsia="Times New Roman" w:hAnsi="Times New Roman"/>
          <w:sz w:val="20"/>
          <w:szCs w:val="20"/>
          <w:b w:val="1"/>
          <w:bCs w:val="1"/>
          <w:color w:val="auto"/>
        </w:rPr>
        <w:t>CUSIP No. 039697107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4620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3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600" w:type="dxa"/>
            <w:vAlign w:val="bottom"/>
            <w:vMerge w:val="continue"/>
          </w:tcPr>
          <w:p>
            <w:pPr>
              <w:spacing w:after="0"/>
              <w:rPr>
                <w:sz w:val="15"/>
                <w:szCs w:val="15"/>
                <w:color w:val="auto"/>
              </w:rPr>
            </w:pPr>
          </w:p>
        </w:tc>
        <w:tc>
          <w:tcPr>
            <w:tcW w:w="3500" w:type="dxa"/>
            <w:vAlign w:val="bottom"/>
            <w:vMerge w:val="restart"/>
          </w:tcPr>
          <w:p>
            <w:pPr>
              <w:ind w:left="760"/>
              <w:spacing w:after="0"/>
              <w:rPr>
                <w:sz w:val="20"/>
                <w:szCs w:val="20"/>
                <w:color w:val="auto"/>
              </w:rPr>
            </w:pPr>
            <w:r>
              <w:rPr>
                <w:rFonts w:ascii="Times New Roman" w:cs="Times New Roman" w:eastAsia="Times New Roman" w:hAnsi="Times New Roman"/>
                <w:sz w:val="20"/>
                <w:szCs w:val="20"/>
                <w:color w:val="auto"/>
                <w:w w:val="97"/>
              </w:rPr>
              <w:t>Adage Capital Partners GP, L.L.C.</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1" w:lineRule="auto"/>
        <w:tabs>
          <w:tab w:leader="none" w:pos="1820" w:val="left"/>
        </w:tabs>
        <w:numPr>
          <w:ilvl w:val="0"/>
          <w:numId w:val="5"/>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820" w:hanging="1033"/>
        <w:spacing w:after="0"/>
        <w:tabs>
          <w:tab w:leader="none" w:pos="182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4</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rPr>
              <w:t>Delaware</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40" w:type="dxa"/>
            <w:vAlign w:val="bottom"/>
          </w:tcPr>
          <w:p>
            <w:pPr>
              <w:spacing w:after="0"/>
              <w:rPr>
                <w:sz w:val="8"/>
                <w:szCs w:val="8"/>
                <w:color w:val="auto"/>
              </w:rPr>
            </w:pP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5</w:t>
            </w:r>
          </w:p>
        </w:tc>
        <w:tc>
          <w:tcPr>
            <w:tcW w:w="120" w:type="dxa"/>
            <w:vAlign w:val="bottom"/>
          </w:tcPr>
          <w:p>
            <w:pPr>
              <w:spacing w:after="0"/>
              <w:rPr>
                <w:sz w:val="8"/>
                <w:szCs w:val="8"/>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NUMBER OF</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color w:val="auto"/>
              </w:rPr>
              <w:t>SHARES</w:t>
            </w: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OWNED BY</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8</w:t>
            </w:r>
          </w:p>
        </w:tc>
        <w:tc>
          <w:tcPr>
            <w:tcW w:w="120" w:type="dxa"/>
            <w:vAlign w:val="bottom"/>
            <w:tcBorders>
              <w:left w:val="single" w:sz="8" w:color="auto"/>
            </w:tcBorders>
          </w:tcPr>
          <w:p>
            <w:pPr>
              <w:spacing w:after="0"/>
              <w:rPr>
                <w:sz w:val="18"/>
                <w:szCs w:val="18"/>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w w:val="97"/>
              </w:rPr>
              <w:t>5,000,000</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2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color w:val="auto"/>
              </w:rPr>
              <w:t>5.54%</w:t>
            </w:r>
          </w:p>
        </w:tc>
        <w:tc>
          <w:tcPr>
            <w:tcW w:w="1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rPr>
              <w:t>OO</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73" w:hanging="273"/>
        <w:spacing w:after="0" w:line="263" w:lineRule="exact"/>
        <w:tabs>
          <w:tab w:leader="none" w:pos="27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1" w:right="339" w:bottom="1440" w:gutter="0" w:footer="0" w:header="0"/>
          <w:type w:val="continuous"/>
        </w:sectPr>
      </w:pPr>
    </w:p>
    <w:bookmarkStart w:id="3" w:name="page4"/>
    <w:bookmarkEnd w:id="3"/>
    <w:p>
      <w:pPr>
        <w:spacing w:after="0"/>
        <w:tabs>
          <w:tab w:leader="none" w:pos="5360" w:val="left"/>
          <w:tab w:leader="none" w:pos="9820" w:val="left"/>
        </w:tabs>
        <w:rPr>
          <w:sz w:val="20"/>
          <w:szCs w:val="20"/>
          <w:color w:val="auto"/>
        </w:rPr>
      </w:pPr>
      <w:r>
        <w:rPr>
          <w:rFonts w:ascii="Times New Roman" w:cs="Times New Roman" w:eastAsia="Times New Roman" w:hAnsi="Times New Roman"/>
          <w:sz w:val="20"/>
          <w:szCs w:val="20"/>
          <w:b w:val="1"/>
          <w:bCs w:val="1"/>
          <w:color w:val="auto"/>
        </w:rPr>
        <w:t>CUSIP No. 039697107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32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600" w:type="dxa"/>
            <w:vAlign w:val="bottom"/>
            <w:vMerge w:val="continue"/>
          </w:tcPr>
          <w:p>
            <w:pPr>
              <w:spacing w:after="0"/>
              <w:rPr>
                <w:sz w:val="15"/>
                <w:szCs w:val="15"/>
                <w:color w:val="auto"/>
              </w:rPr>
            </w:pPr>
          </w:p>
        </w:tc>
        <w:tc>
          <w:tcPr>
            <w:tcW w:w="3280" w:type="dxa"/>
            <w:vAlign w:val="bottom"/>
            <w:vMerge w:val="restart"/>
          </w:tcPr>
          <w:p>
            <w:pPr>
              <w:ind w:left="760"/>
              <w:spacing w:after="0"/>
              <w:rPr>
                <w:sz w:val="20"/>
                <w:szCs w:val="20"/>
                <w:color w:val="auto"/>
              </w:rPr>
            </w:pPr>
            <w:r>
              <w:rPr>
                <w:rFonts w:ascii="Times New Roman" w:cs="Times New Roman" w:eastAsia="Times New Roman" w:hAnsi="Times New Roman"/>
                <w:sz w:val="20"/>
                <w:szCs w:val="20"/>
                <w:color w:val="auto"/>
                <w:w w:val="98"/>
              </w:rPr>
              <w:t>Adage Capital Advisors, L.L.C.</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3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1" w:lineRule="auto"/>
        <w:tabs>
          <w:tab w:leader="none" w:pos="1820" w:val="left"/>
        </w:tabs>
        <w:numPr>
          <w:ilvl w:val="0"/>
          <w:numId w:val="8"/>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820" w:hanging="1033"/>
        <w:spacing w:after="0"/>
        <w:tabs>
          <w:tab w:leader="none" w:pos="1820" w:val="left"/>
        </w:tabs>
        <w:numPr>
          <w:ilvl w:val="0"/>
          <w:numId w:val="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4</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rPr>
              <w:t>Delaware</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40" w:type="dxa"/>
            <w:vAlign w:val="bottom"/>
          </w:tcPr>
          <w:p>
            <w:pPr>
              <w:spacing w:after="0"/>
              <w:rPr>
                <w:sz w:val="8"/>
                <w:szCs w:val="8"/>
                <w:color w:val="auto"/>
              </w:rPr>
            </w:pP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5</w:t>
            </w:r>
          </w:p>
        </w:tc>
        <w:tc>
          <w:tcPr>
            <w:tcW w:w="120" w:type="dxa"/>
            <w:vAlign w:val="bottom"/>
          </w:tcPr>
          <w:p>
            <w:pPr>
              <w:spacing w:after="0"/>
              <w:rPr>
                <w:sz w:val="8"/>
                <w:szCs w:val="8"/>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NUMBER OF</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color w:val="auto"/>
              </w:rPr>
              <w:t>SHARES</w:t>
            </w: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OWNED BY</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8</w:t>
            </w:r>
          </w:p>
        </w:tc>
        <w:tc>
          <w:tcPr>
            <w:tcW w:w="120" w:type="dxa"/>
            <w:vAlign w:val="bottom"/>
            <w:tcBorders>
              <w:left w:val="single" w:sz="8" w:color="auto"/>
            </w:tcBorders>
          </w:tcPr>
          <w:p>
            <w:pPr>
              <w:spacing w:after="0"/>
              <w:rPr>
                <w:sz w:val="18"/>
                <w:szCs w:val="18"/>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w w:val="97"/>
              </w:rPr>
              <w:t>5,000,000</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2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color w:val="auto"/>
              </w:rPr>
              <w:t>5.54%</w:t>
            </w:r>
          </w:p>
        </w:tc>
        <w:tc>
          <w:tcPr>
            <w:tcW w:w="1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rPr>
              <w:t>OO</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73" w:hanging="273"/>
        <w:spacing w:after="0" w:line="263" w:lineRule="exact"/>
        <w:tabs>
          <w:tab w:leader="none" w:pos="273"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1" w:right="339" w:bottom="1440" w:gutter="0" w:footer="0" w:header="0"/>
          <w:type w:val="continuous"/>
        </w:sectPr>
      </w:pPr>
    </w:p>
    <w:bookmarkStart w:id="4" w:name="page5"/>
    <w:bookmarkEnd w:id="4"/>
    <w:p>
      <w:pPr>
        <w:spacing w:after="0"/>
        <w:tabs>
          <w:tab w:leader="none" w:pos="5360" w:val="left"/>
          <w:tab w:leader="none" w:pos="9820" w:val="left"/>
        </w:tabs>
        <w:rPr>
          <w:sz w:val="20"/>
          <w:szCs w:val="20"/>
          <w:color w:val="auto"/>
        </w:rPr>
      </w:pPr>
      <w:r>
        <w:rPr>
          <w:rFonts w:ascii="Times New Roman" w:cs="Times New Roman" w:eastAsia="Times New Roman" w:hAnsi="Times New Roman"/>
          <w:sz w:val="20"/>
          <w:szCs w:val="20"/>
          <w:b w:val="1"/>
          <w:bCs w:val="1"/>
          <w:color w:val="auto"/>
        </w:rPr>
        <w:t>CUSIP No. 039697107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276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600" w:type="dxa"/>
            <w:vAlign w:val="bottom"/>
            <w:vMerge w:val="continue"/>
          </w:tcPr>
          <w:p>
            <w:pPr>
              <w:spacing w:after="0"/>
              <w:rPr>
                <w:sz w:val="15"/>
                <w:szCs w:val="15"/>
                <w:color w:val="auto"/>
              </w:rPr>
            </w:pPr>
          </w:p>
        </w:tc>
        <w:tc>
          <w:tcPr>
            <w:tcW w:w="2760" w:type="dxa"/>
            <w:vAlign w:val="bottom"/>
            <w:vMerge w:val="restart"/>
          </w:tcPr>
          <w:p>
            <w:pPr>
              <w:ind w:left="760"/>
              <w:spacing w:after="0"/>
              <w:rPr>
                <w:sz w:val="20"/>
                <w:szCs w:val="20"/>
                <w:color w:val="auto"/>
              </w:rPr>
            </w:pPr>
            <w:r>
              <w:rPr>
                <w:rFonts w:ascii="Times New Roman" w:cs="Times New Roman" w:eastAsia="Times New Roman" w:hAnsi="Times New Roman"/>
                <w:sz w:val="20"/>
                <w:szCs w:val="20"/>
                <w:color w:val="auto"/>
              </w:rPr>
              <w:t>Robert Atchinson</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1" w:lineRule="auto"/>
        <w:tabs>
          <w:tab w:leader="none" w:pos="1820" w:val="left"/>
        </w:tabs>
        <w:numPr>
          <w:ilvl w:val="0"/>
          <w:numId w:val="11"/>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820" w:hanging="1033"/>
        <w:spacing w:after="0"/>
        <w:tabs>
          <w:tab w:leader="none" w:pos="1820" w:val="left"/>
        </w:tabs>
        <w:numPr>
          <w:ilvl w:val="0"/>
          <w:numId w:val="1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4</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6560" w:type="dxa"/>
            <w:vAlign w:val="bottom"/>
            <w:gridSpan w:val="3"/>
            <w:vMerge w:val="restart"/>
          </w:tcPr>
          <w:p>
            <w:pPr>
              <w:ind w:left="52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6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40" w:type="dxa"/>
            <w:vAlign w:val="bottom"/>
          </w:tcPr>
          <w:p>
            <w:pPr>
              <w:spacing w:after="0"/>
              <w:rPr>
                <w:sz w:val="8"/>
                <w:szCs w:val="8"/>
                <w:color w:val="auto"/>
              </w:rPr>
            </w:pP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5</w:t>
            </w:r>
          </w:p>
        </w:tc>
        <w:tc>
          <w:tcPr>
            <w:tcW w:w="120" w:type="dxa"/>
            <w:vAlign w:val="bottom"/>
          </w:tcPr>
          <w:p>
            <w:pPr>
              <w:spacing w:after="0"/>
              <w:rPr>
                <w:sz w:val="8"/>
                <w:szCs w:val="8"/>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NUMBER OF</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color w:val="auto"/>
              </w:rPr>
              <w:t>SHARES</w:t>
            </w: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OWNED BY</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8</w:t>
            </w:r>
          </w:p>
        </w:tc>
        <w:tc>
          <w:tcPr>
            <w:tcW w:w="120" w:type="dxa"/>
            <w:vAlign w:val="bottom"/>
            <w:tcBorders>
              <w:left w:val="single" w:sz="8" w:color="auto"/>
            </w:tcBorders>
          </w:tcPr>
          <w:p>
            <w:pPr>
              <w:spacing w:after="0"/>
              <w:rPr>
                <w:sz w:val="18"/>
                <w:szCs w:val="18"/>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w w:val="97"/>
              </w:rPr>
              <w:t>5,000,000</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2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color w:val="auto"/>
              </w:rPr>
              <w:t>5.54%</w:t>
            </w:r>
          </w:p>
        </w:tc>
        <w:tc>
          <w:tcPr>
            <w:tcW w:w="1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rPr>
              <w:t>IN</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73" w:hanging="273"/>
        <w:spacing w:after="0" w:line="263" w:lineRule="exact"/>
        <w:tabs>
          <w:tab w:leader="none" w:pos="27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1" w:right="339" w:bottom="1440" w:gutter="0" w:footer="0" w:header="0"/>
          <w:type w:val="continuous"/>
        </w:sectPr>
      </w:pPr>
    </w:p>
    <w:bookmarkStart w:id="5" w:name="page6"/>
    <w:bookmarkEnd w:id="5"/>
    <w:p>
      <w:pPr>
        <w:spacing w:after="0"/>
        <w:tabs>
          <w:tab w:leader="none" w:pos="5360" w:val="left"/>
          <w:tab w:leader="none" w:pos="9820" w:val="left"/>
        </w:tabs>
        <w:rPr>
          <w:sz w:val="20"/>
          <w:szCs w:val="20"/>
          <w:color w:val="auto"/>
        </w:rPr>
      </w:pPr>
      <w:r>
        <w:rPr>
          <w:rFonts w:ascii="Times New Roman" w:cs="Times New Roman" w:eastAsia="Times New Roman" w:hAnsi="Times New Roman"/>
          <w:sz w:val="20"/>
          <w:szCs w:val="20"/>
          <w:b w:val="1"/>
          <w:bCs w:val="1"/>
          <w:color w:val="auto"/>
        </w:rPr>
        <w:t>CUSIP No. 039697107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4620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276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600" w:type="dxa"/>
            <w:vAlign w:val="bottom"/>
            <w:vMerge w:val="continue"/>
          </w:tcPr>
          <w:p>
            <w:pPr>
              <w:spacing w:after="0"/>
              <w:rPr>
                <w:sz w:val="15"/>
                <w:szCs w:val="15"/>
                <w:color w:val="auto"/>
              </w:rPr>
            </w:pPr>
          </w:p>
        </w:tc>
        <w:tc>
          <w:tcPr>
            <w:tcW w:w="2760" w:type="dxa"/>
            <w:vAlign w:val="bottom"/>
            <w:vMerge w:val="restart"/>
          </w:tcPr>
          <w:p>
            <w:pPr>
              <w:ind w:left="760"/>
              <w:spacing w:after="0"/>
              <w:rPr>
                <w:sz w:val="20"/>
                <w:szCs w:val="20"/>
                <w:color w:val="auto"/>
              </w:rPr>
            </w:pPr>
            <w:r>
              <w:rPr>
                <w:rFonts w:ascii="Times New Roman" w:cs="Times New Roman" w:eastAsia="Times New Roman" w:hAnsi="Times New Roman"/>
                <w:sz w:val="20"/>
                <w:szCs w:val="20"/>
                <w:color w:val="auto"/>
              </w:rPr>
              <w:t>Phillip Gross</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1" w:lineRule="auto"/>
        <w:tabs>
          <w:tab w:leader="none" w:pos="1820" w:val="left"/>
        </w:tabs>
        <w:numPr>
          <w:ilvl w:val="0"/>
          <w:numId w:val="14"/>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820" w:hanging="1033"/>
        <w:spacing w:after="0"/>
        <w:tabs>
          <w:tab w:leader="none" w:pos="1820" w:val="left"/>
        </w:tabs>
        <w:numPr>
          <w:ilvl w:val="0"/>
          <w:numId w:val="1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4</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6560" w:type="dxa"/>
            <w:vAlign w:val="bottom"/>
            <w:gridSpan w:val="3"/>
            <w:vMerge w:val="restart"/>
          </w:tcPr>
          <w:p>
            <w:pPr>
              <w:ind w:left="52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6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40" w:type="dxa"/>
            <w:vAlign w:val="bottom"/>
          </w:tcPr>
          <w:p>
            <w:pPr>
              <w:spacing w:after="0"/>
              <w:rPr>
                <w:sz w:val="8"/>
                <w:szCs w:val="8"/>
                <w:color w:val="auto"/>
              </w:rPr>
            </w:pP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5</w:t>
            </w:r>
          </w:p>
        </w:tc>
        <w:tc>
          <w:tcPr>
            <w:tcW w:w="120" w:type="dxa"/>
            <w:vAlign w:val="bottom"/>
          </w:tcPr>
          <w:p>
            <w:pPr>
              <w:spacing w:after="0"/>
              <w:rPr>
                <w:sz w:val="8"/>
                <w:szCs w:val="8"/>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Borders>
              <w:left w:val="single" w:sz="8" w:color="auto"/>
            </w:tcBorders>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NUMBER OF</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color w:val="auto"/>
              </w:rPr>
              <w:t>SHARES</w:t>
            </w: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OWNED BY</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00" w:type="dxa"/>
            <w:vAlign w:val="bottom"/>
            <w:vMerge w:val="restart"/>
          </w:tcPr>
          <w:p>
            <w:pPr>
              <w:ind w:left="580"/>
              <w:spacing w:after="0"/>
              <w:rPr>
                <w:sz w:val="20"/>
                <w:szCs w:val="20"/>
                <w:color w:val="auto"/>
              </w:rPr>
            </w:pPr>
            <w:r>
              <w:rPr>
                <w:rFonts w:ascii="Times New Roman" w:cs="Times New Roman" w:eastAsia="Times New Roman" w:hAnsi="Times New Roman"/>
                <w:sz w:val="29"/>
                <w:szCs w:val="29"/>
                <w:b w:val="1"/>
                <w:bCs w:val="1"/>
                <w:color w:val="auto"/>
              </w:rPr>
              <w:t>8</w:t>
            </w:r>
          </w:p>
        </w:tc>
        <w:tc>
          <w:tcPr>
            <w:tcW w:w="120" w:type="dxa"/>
            <w:vAlign w:val="bottom"/>
            <w:tcBorders>
              <w:left w:val="single" w:sz="8" w:color="auto"/>
            </w:tcBorders>
          </w:tcPr>
          <w:p>
            <w:pPr>
              <w:spacing w:after="0"/>
              <w:rPr>
                <w:sz w:val="18"/>
                <w:szCs w:val="18"/>
                <w:color w:val="auto"/>
              </w:rPr>
            </w:pPr>
          </w:p>
        </w:tc>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w w:val="97"/>
              </w:rPr>
              <w:t>5,000,000</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4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2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color w:val="auto"/>
              </w:rPr>
              <w:t>5.54%</w:t>
            </w:r>
          </w:p>
        </w:tc>
        <w:tc>
          <w:tcPr>
            <w:tcW w:w="1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4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40" w:type="dxa"/>
            <w:vAlign w:val="bottom"/>
            <w:vMerge w:val="continue"/>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rPr>
              <w:t>IN</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73" w:hanging="273"/>
        <w:spacing w:after="0" w:line="263" w:lineRule="exact"/>
        <w:tabs>
          <w:tab w:leader="none" w:pos="273"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1" w:right="339" w:bottom="1440" w:gutter="0" w:footer="0" w:header="0"/>
          <w:type w:val="continuous"/>
        </w:sectPr>
      </w:pPr>
    </w:p>
    <w:bookmarkStart w:id="6" w:name="page7"/>
    <w:bookmarkEnd w:id="6"/>
    <w:p>
      <w:pPr>
        <w:spacing w:after="0"/>
        <w:tabs>
          <w:tab w:leader="none" w:pos="5360" w:val="left"/>
          <w:tab w:leader="none" w:pos="9820" w:val="left"/>
        </w:tabs>
        <w:rPr>
          <w:sz w:val="20"/>
          <w:szCs w:val="20"/>
          <w:color w:val="auto"/>
        </w:rPr>
      </w:pPr>
      <w:r>
        <w:rPr>
          <w:rFonts w:ascii="Times New Roman" w:cs="Times New Roman" w:eastAsia="Times New Roman" w:hAnsi="Times New Roman"/>
          <w:sz w:val="20"/>
          <w:szCs w:val="20"/>
          <w:b w:val="1"/>
          <w:bCs w:val="1"/>
          <w:color w:val="auto"/>
        </w:rPr>
        <w:t>CUSIP No. 039697107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11 Pages</w:t>
      </w:r>
    </w:p>
    <w:p>
      <w:pPr>
        <w:sectPr>
          <w:pgSz w:w="11900" w:h="16838" w:orient="portrait"/>
          <w:cols w:equalWidth="0" w:num="1">
            <w:col w:w="11240"/>
          </w:cols>
          <w:pgMar w:left="320" w:top="2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name of the issuer is Ardelyx,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6" w:lineRule="exact"/>
        <w:rPr>
          <w:sz w:val="20"/>
          <w:szCs w:val="20"/>
          <w:color w:val="auto"/>
        </w:rPr>
      </w:pPr>
    </w:p>
    <w:p>
      <w:pPr>
        <w:ind w:left="1800" w:right="420"/>
        <w:spacing w:after="0" w:line="246" w:lineRule="auto"/>
        <w:rPr>
          <w:sz w:val="20"/>
          <w:szCs w:val="20"/>
          <w:color w:val="auto"/>
        </w:rPr>
      </w:pPr>
      <w:r>
        <w:rPr>
          <w:rFonts w:ascii="Times New Roman" w:cs="Times New Roman" w:eastAsia="Times New Roman" w:hAnsi="Times New Roman"/>
          <w:sz w:val="20"/>
          <w:szCs w:val="20"/>
          <w:color w:val="auto"/>
        </w:rPr>
        <w:t>The Company's principal executive offices are located at 34175 Ardenwood Blvd., Suite 200, Fremont, California 94555.</w:t>
      </w:r>
    </w:p>
    <w:p>
      <w:pPr>
        <w:spacing w:after="0" w:line="191"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This statement is filed by:</w:t>
      </w:r>
    </w:p>
    <w:p>
      <w:pPr>
        <w:spacing w:after="0" w:line="207" w:lineRule="exact"/>
        <w:rPr>
          <w:sz w:val="20"/>
          <w:szCs w:val="20"/>
          <w:color w:val="auto"/>
        </w:rPr>
      </w:pPr>
    </w:p>
    <w:p>
      <w:pPr>
        <w:ind w:left="2600" w:right="260" w:hanging="801"/>
        <w:spacing w:after="0" w:line="269"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 Delaware limited partnership ("</w:t>
      </w:r>
      <w:r>
        <w:rPr>
          <w:rFonts w:ascii="Times New Roman" w:cs="Times New Roman" w:eastAsia="Times New Roman" w:hAnsi="Times New Roman"/>
          <w:sz w:val="20"/>
          <w:szCs w:val="20"/>
          <w:u w:val="single" w:color="auto"/>
          <w:color w:val="auto"/>
        </w:rPr>
        <w:t>ACP</w:t>
      </w:r>
      <w:r>
        <w:rPr>
          <w:rFonts w:ascii="Times New Roman" w:cs="Times New Roman" w:eastAsia="Times New Roman" w:hAnsi="Times New Roman"/>
          <w:sz w:val="20"/>
          <w:szCs w:val="20"/>
          <w:color w:val="auto"/>
        </w:rPr>
        <w:t>") with respect to the shares of Common Stock directly owned by it;</w:t>
      </w:r>
    </w:p>
    <w:p>
      <w:pPr>
        <w:spacing w:after="0" w:line="172" w:lineRule="exact"/>
        <w:rPr>
          <w:rFonts w:ascii="Times New Roman" w:cs="Times New Roman" w:eastAsia="Times New Roman" w:hAnsi="Times New Roman"/>
          <w:sz w:val="20"/>
          <w:szCs w:val="20"/>
          <w:color w:val="auto"/>
        </w:rPr>
      </w:pPr>
    </w:p>
    <w:p>
      <w:pPr>
        <w:ind w:left="2600" w:right="160" w:hanging="801"/>
        <w:spacing w:after="0" w:line="254"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GP, L.L.C., a limited liability company organized under the laws of the State of Delaware ("</w:t>
      </w:r>
      <w:r>
        <w:rPr>
          <w:rFonts w:ascii="Times New Roman" w:cs="Times New Roman" w:eastAsia="Times New Roman" w:hAnsi="Times New Roman"/>
          <w:sz w:val="20"/>
          <w:szCs w:val="20"/>
          <w:u w:val="single" w:color="auto"/>
          <w:color w:val="auto"/>
        </w:rPr>
        <w:t>ACPGP</w:t>
      </w:r>
      <w:r>
        <w:rPr>
          <w:rFonts w:ascii="Times New Roman" w:cs="Times New Roman" w:eastAsia="Times New Roman" w:hAnsi="Times New Roman"/>
          <w:sz w:val="20"/>
          <w:szCs w:val="20"/>
          <w:color w:val="auto"/>
        </w:rPr>
        <w:t>"), as general partner of ACP with respect to the shares of Common Stock directly owned by ACP;</w:t>
      </w:r>
    </w:p>
    <w:p>
      <w:pPr>
        <w:spacing w:after="0" w:line="187" w:lineRule="exact"/>
        <w:rPr>
          <w:rFonts w:ascii="Times New Roman" w:cs="Times New Roman" w:eastAsia="Times New Roman" w:hAnsi="Times New Roman"/>
          <w:sz w:val="20"/>
          <w:szCs w:val="20"/>
          <w:color w:val="auto"/>
        </w:rPr>
      </w:pPr>
    </w:p>
    <w:p>
      <w:pPr>
        <w:ind w:left="2600" w:right="400" w:hanging="801"/>
        <w:spacing w:after="0" w:line="254"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Advisors, L.L.C., a limited liability company organized under the laws of the State of Delaware ("</w:t>
      </w:r>
      <w:r>
        <w:rPr>
          <w:rFonts w:ascii="Times New Roman" w:cs="Times New Roman" w:eastAsia="Times New Roman" w:hAnsi="Times New Roman"/>
          <w:sz w:val="20"/>
          <w:szCs w:val="20"/>
          <w:u w:val="single" w:color="auto"/>
          <w:color w:val="auto"/>
        </w:rPr>
        <w:t>ACA</w:t>
      </w:r>
      <w:r>
        <w:rPr>
          <w:rFonts w:ascii="Times New Roman" w:cs="Times New Roman" w:eastAsia="Times New Roman" w:hAnsi="Times New Roman"/>
          <w:sz w:val="20"/>
          <w:szCs w:val="20"/>
          <w:color w:val="auto"/>
        </w:rPr>
        <w:t>"), as managing member of ACPGP, general partner of ACP, with respect to the shares of Common Stock directly owned by ACP;</w:t>
      </w:r>
    </w:p>
    <w:p>
      <w:pPr>
        <w:spacing w:after="0" w:line="187" w:lineRule="exact"/>
        <w:rPr>
          <w:rFonts w:ascii="Times New Roman" w:cs="Times New Roman" w:eastAsia="Times New Roman" w:hAnsi="Times New Roman"/>
          <w:sz w:val="20"/>
          <w:szCs w:val="20"/>
          <w:color w:val="auto"/>
        </w:rPr>
      </w:pPr>
    </w:p>
    <w:p>
      <w:pPr>
        <w:ind w:left="2600" w:right="320" w:hanging="801"/>
        <w:spacing w:after="0" w:line="269"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Robert Atchinson ("</w:t>
      </w:r>
      <w:r>
        <w:rPr>
          <w:rFonts w:ascii="Times New Roman" w:cs="Times New Roman" w:eastAsia="Times New Roman" w:hAnsi="Times New Roman"/>
          <w:sz w:val="20"/>
          <w:szCs w:val="20"/>
          <w:u w:val="single" w:color="auto"/>
          <w:color w:val="auto"/>
        </w:rPr>
        <w:t>Mr. Atchinson</w:t>
      </w:r>
      <w:r>
        <w:rPr>
          <w:rFonts w:ascii="Times New Roman" w:cs="Times New Roman" w:eastAsia="Times New Roman" w:hAnsi="Times New Roman"/>
          <w:sz w:val="20"/>
          <w:szCs w:val="20"/>
          <w:color w:val="auto"/>
        </w:rPr>
        <w:t>"), as managing member of ACA, managing member of ACPGP, general partner of ACP with respect to the shares of Common Stock directly owned by ACP; and</w:t>
      </w:r>
    </w:p>
    <w:p>
      <w:pPr>
        <w:spacing w:after="0" w:line="172" w:lineRule="exact"/>
        <w:rPr>
          <w:rFonts w:ascii="Times New Roman" w:cs="Times New Roman" w:eastAsia="Times New Roman" w:hAnsi="Times New Roman"/>
          <w:sz w:val="20"/>
          <w:szCs w:val="20"/>
          <w:color w:val="auto"/>
        </w:rPr>
      </w:pPr>
    </w:p>
    <w:p>
      <w:pPr>
        <w:ind w:left="2600" w:right="220" w:hanging="801"/>
        <w:spacing w:after="0" w:line="269"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Phillip Gross ("</w:t>
      </w:r>
      <w:r>
        <w:rPr>
          <w:rFonts w:ascii="Times New Roman" w:cs="Times New Roman" w:eastAsia="Times New Roman" w:hAnsi="Times New Roman"/>
          <w:sz w:val="20"/>
          <w:szCs w:val="20"/>
          <w:u w:val="single" w:color="auto"/>
          <w:color w:val="auto"/>
        </w:rPr>
        <w:t>Mr. Gross</w:t>
      </w:r>
      <w:r>
        <w:rPr>
          <w:rFonts w:ascii="Times New Roman" w:cs="Times New Roman" w:eastAsia="Times New Roman" w:hAnsi="Times New Roman"/>
          <w:sz w:val="20"/>
          <w:szCs w:val="20"/>
          <w:color w:val="auto"/>
        </w:rPr>
        <w:t>"), as managing member of ACA, managing member of ACPGP, general partner of ACP with respect to the shares of Common Stock directly owned by ACP.</w:t>
      </w:r>
    </w:p>
    <w:p>
      <w:pPr>
        <w:spacing w:after="0" w:line="173" w:lineRule="exact"/>
        <w:rPr>
          <w:sz w:val="20"/>
          <w:szCs w:val="20"/>
          <w:color w:val="auto"/>
        </w:rPr>
      </w:pPr>
    </w:p>
    <w:p>
      <w:pPr>
        <w:ind w:left="1800" w:right="140"/>
        <w:spacing w:after="0" w:line="254" w:lineRule="auto"/>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 Any disclosures herein with respect to persons other than the Reporting Persons are made on information and belief after making inquiry to the appropriate party.</w:t>
      </w:r>
    </w:p>
    <w:p>
      <w:pPr>
        <w:spacing w:after="0" w:line="188" w:lineRule="exact"/>
        <w:rPr>
          <w:sz w:val="20"/>
          <w:szCs w:val="20"/>
          <w:color w:val="auto"/>
        </w:rPr>
      </w:pPr>
    </w:p>
    <w:p>
      <w:pPr>
        <w:ind w:left="1800" w:right="440"/>
        <w:spacing w:after="0" w:line="269" w:lineRule="auto"/>
        <w:rPr>
          <w:sz w:val="20"/>
          <w:szCs w:val="20"/>
          <w:color w:val="auto"/>
        </w:rPr>
      </w:pPr>
      <w:r>
        <w:rPr>
          <w:rFonts w:ascii="Times New Roman" w:cs="Times New Roman" w:eastAsia="Times New Roman" w:hAnsi="Times New Roman"/>
          <w:sz w:val="20"/>
          <w:szCs w:val="20"/>
          <w:color w:val="auto"/>
        </w:rPr>
        <w:t>The filing of this statement should not be construed in and of itself as an admission by any Reporting Person as to beneficial ownership of the securities reported herein.</w:t>
      </w:r>
    </w:p>
    <w:p>
      <w:pPr>
        <w:spacing w:after="0" w:line="169"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6" w:lineRule="exact"/>
        <w:rPr>
          <w:sz w:val="20"/>
          <w:szCs w:val="20"/>
          <w:color w:val="auto"/>
        </w:rPr>
      </w:pPr>
    </w:p>
    <w:p>
      <w:pPr>
        <w:ind w:left="1800" w:right="580"/>
        <w:spacing w:after="0" w:line="246" w:lineRule="auto"/>
        <w:rPr>
          <w:sz w:val="20"/>
          <w:szCs w:val="20"/>
          <w:color w:val="auto"/>
        </w:rPr>
      </w:pPr>
      <w:r>
        <w:rPr>
          <w:rFonts w:ascii="Times New Roman" w:cs="Times New Roman" w:eastAsia="Times New Roman" w:hAnsi="Times New Roman"/>
          <w:sz w:val="20"/>
          <w:szCs w:val="20"/>
          <w:color w:val="auto"/>
        </w:rPr>
        <w:t>The address of the business office of each of the Reporting Persons is 200 Clarendon Street, 52nd floor, Boston, Massachusetts 02116.</w:t>
      </w:r>
    </w:p>
    <w:p>
      <w:pPr>
        <w:sectPr>
          <w:pgSz w:w="11900" w:h="16838" w:orient="portrait"/>
          <w:cols w:equalWidth="0" w:num="1">
            <w:col w:w="11240"/>
          </w:cols>
          <w:pgMar w:left="320" w:top="2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62"/>
        </w:trPr>
        <w:tc>
          <w:tcPr>
            <w:tcW w:w="4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CUSIP No. 039697107</w:t>
            </w:r>
          </w:p>
        </w:tc>
        <w:tc>
          <w:tcPr>
            <w:tcW w:w="36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3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w w:val="97"/>
              </w:rPr>
              <w:t>Page 8 of 11 Pages</w:t>
            </w:r>
          </w:p>
        </w:tc>
      </w:tr>
      <w:tr>
        <w:trPr>
          <w:trHeight w:val="790"/>
        </w:trPr>
        <w:tc>
          <w:tcPr>
            <w:tcW w:w="13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2880" w:type="dxa"/>
            <w:vAlign w:val="bottom"/>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c>
          <w:tcPr>
            <w:tcW w:w="362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ind w:left="1800" w:right="300"/>
        <w:spacing w:after="0" w:line="242" w:lineRule="auto"/>
        <w:rPr>
          <w:sz w:val="20"/>
          <w:szCs w:val="20"/>
          <w:color w:val="auto"/>
        </w:rPr>
      </w:pPr>
      <w:r>
        <w:rPr>
          <w:rFonts w:ascii="Times New Roman" w:cs="Times New Roman" w:eastAsia="Times New Roman" w:hAnsi="Times New Roman"/>
          <w:sz w:val="20"/>
          <w:szCs w:val="20"/>
          <w:color w:val="auto"/>
        </w:rPr>
        <w:t>ACP is a limited partnership organized under the laws of the State of Delaware. ACPGP and ACA are limited liability companies organized under the laws of the State of Delaware. Messrs. Gross and Atchinson are citizens of the United States.</w:t>
      </w:r>
    </w:p>
    <w:p>
      <w:pPr>
        <w:spacing w:after="0" w:line="200" w:lineRule="exact"/>
        <w:rPr>
          <w:sz w:val="20"/>
          <w:szCs w:val="20"/>
          <w:color w:val="auto"/>
        </w:rPr>
      </w:pP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12"/>
        </w:trPr>
        <w:tc>
          <w:tcPr>
            <w:tcW w:w="1260" w:type="dxa"/>
            <w:vAlign w:val="bottom"/>
          </w:tcPr>
          <w:p>
            <w:pPr>
              <w:spacing w:after="0"/>
              <w:rPr>
                <w:sz w:val="18"/>
                <w:szCs w:val="18"/>
                <w:color w:val="auto"/>
              </w:rPr>
            </w:pPr>
          </w:p>
        </w:tc>
        <w:tc>
          <w:tcPr>
            <w:tcW w:w="9740" w:type="dxa"/>
            <w:vAlign w:val="bottom"/>
            <w:gridSpan w:val="5"/>
          </w:tcPr>
          <w:p>
            <w:pPr>
              <w:ind w:left="420"/>
              <w:spacing w:after="0" w:line="212" w:lineRule="exact"/>
              <w:rPr>
                <w:sz w:val="20"/>
                <w:szCs w:val="20"/>
                <w:color w:val="auto"/>
              </w:rPr>
            </w:pPr>
            <w:r>
              <w:rPr>
                <w:rFonts w:ascii="Times New Roman" w:cs="Times New Roman" w:eastAsia="Times New Roman" w:hAnsi="Times New Roman"/>
                <w:sz w:val="20"/>
                <w:szCs w:val="20"/>
                <w:color w:val="auto"/>
              </w:rPr>
              <w:t>Common Stock, par value $0.0001 (the "Common Stock").</w:t>
            </w: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366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840" w:type="dxa"/>
            <w:vAlign w:val="bottom"/>
          </w:tcPr>
          <w:p>
            <w:pPr>
              <w:spacing w:after="0"/>
              <w:rPr>
                <w:sz w:val="24"/>
                <w:szCs w:val="24"/>
                <w:color w:val="auto"/>
              </w:rPr>
            </w:pPr>
          </w:p>
        </w:tc>
      </w:tr>
      <w:tr>
        <w:trPr>
          <w:trHeight w:val="258"/>
        </w:trPr>
        <w:tc>
          <w:tcPr>
            <w:tcW w:w="1260" w:type="dxa"/>
            <w:vAlign w:val="bottom"/>
          </w:tcPr>
          <w:p>
            <w:pPr>
              <w:spacing w:after="0"/>
              <w:rPr>
                <w:sz w:val="22"/>
                <w:szCs w:val="22"/>
                <w:color w:val="auto"/>
              </w:rPr>
            </w:pP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039697107</w:t>
            </w:r>
          </w:p>
        </w:tc>
        <w:tc>
          <w:tcPr>
            <w:tcW w:w="20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w w:val="98"/>
              </w:rPr>
              <w:t>IF THIS STATEMENT IS FILED PURSUANT TO Rules 13d-1(b), OR 13d-2(b) OR (c), CHECK WHETHER</w:t>
            </w:r>
          </w:p>
        </w:tc>
      </w:tr>
      <w:tr>
        <w:trPr>
          <w:trHeight w:val="216"/>
        </w:trPr>
        <w:tc>
          <w:tcPr>
            <w:tcW w:w="1260" w:type="dxa"/>
            <w:vAlign w:val="bottom"/>
          </w:tcPr>
          <w:p>
            <w:pPr>
              <w:spacing w:after="0"/>
              <w:rPr>
                <w:sz w:val="18"/>
                <w:szCs w:val="18"/>
                <w:color w:val="auto"/>
              </w:rPr>
            </w:pPr>
          </w:p>
        </w:tc>
        <w:tc>
          <w:tcPr>
            <w:tcW w:w="9740" w:type="dxa"/>
            <w:vAlign w:val="bottom"/>
            <w:gridSpan w:val="5"/>
          </w:tcPr>
          <w:p>
            <w:pPr>
              <w:ind w:left="420"/>
              <w:spacing w:after="0" w:line="216" w:lineRule="exact"/>
              <w:rPr>
                <w:sz w:val="20"/>
                <w:szCs w:val="20"/>
                <w:color w:val="auto"/>
              </w:rPr>
            </w:pPr>
            <w:r>
              <w:rPr>
                <w:rFonts w:ascii="Times New Roman" w:cs="Times New Roman" w:eastAsia="Times New Roman" w:hAnsi="Times New Roman"/>
                <w:sz w:val="20"/>
                <w:szCs w:val="20"/>
                <w:b w:val="1"/>
                <w:bCs w:val="1"/>
                <w:color w:val="auto"/>
              </w:rPr>
              <w:t>THE PERSON FILING IS A:</w:t>
            </w:r>
          </w:p>
        </w:tc>
      </w:tr>
      <w:tr>
        <w:trPr>
          <w:trHeight w:val="310"/>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w:t>
            </w:r>
          </w:p>
        </w:tc>
      </w:tr>
      <w:tr>
        <w:trPr>
          <w:trHeight w:val="445"/>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Bank as defined in Section 3(a)(6) of the Act;</w:t>
            </w:r>
          </w:p>
        </w:tc>
      </w:tr>
      <w:tr>
        <w:trPr>
          <w:trHeight w:val="446"/>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w:t>
            </w:r>
          </w:p>
        </w:tc>
      </w:tr>
      <w:tr>
        <w:trPr>
          <w:trHeight w:val="446"/>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tc>
      </w:tr>
      <w:tr>
        <w:trPr>
          <w:trHeight w:val="445"/>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An investment adviser in accordance with Rule 13d-1(b)(1)(ii)(E);</w:t>
            </w:r>
          </w:p>
        </w:tc>
      </w:tr>
      <w:tr>
        <w:trPr>
          <w:trHeight w:val="445"/>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Rule 13d-1(b)(1)(ii)(F);</w:t>
            </w:r>
          </w:p>
        </w:tc>
      </w:tr>
      <w:tr>
        <w:trPr>
          <w:trHeight w:val="459"/>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Rule 13d-1(b)(1)(ii)(G);</w:t>
            </w:r>
          </w:p>
        </w:tc>
      </w:tr>
      <w:tr>
        <w:trPr>
          <w:trHeight w:val="445"/>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(h)</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w:t>
            </w:r>
          </w:p>
        </w:tc>
      </w:tr>
      <w:tr>
        <w:trPr>
          <w:trHeight w:val="397"/>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A church plan that is excluded from the definition of an investment company under Section 3(c)(14)</w:t>
            </w:r>
          </w:p>
        </w:tc>
      </w:tr>
      <w:tr>
        <w:trPr>
          <w:trHeight w:val="258"/>
        </w:trPr>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of the Investment Company Act;</w:t>
            </w:r>
          </w:p>
        </w:tc>
      </w:tr>
      <w:tr>
        <w:trPr>
          <w:trHeight w:val="493"/>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(j)</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 non-U.S. institution in accordance with Rule 13d-1(b)(1)(ii)(J);</w:t>
            </w:r>
          </w:p>
        </w:tc>
      </w:tr>
      <w:tr>
        <w:trPr>
          <w:trHeight w:val="445"/>
        </w:trPr>
        <w:tc>
          <w:tcPr>
            <w:tcW w:w="126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(k)</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Group, in accordance with Rule 13d-1(b)(1)(ii)(K).</w:t>
            </w:r>
          </w:p>
        </w:tc>
      </w:tr>
    </w:tbl>
    <w:p>
      <w:pPr>
        <w:spacing w:after="0" w:line="154"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 xml:space="preserve">If filing as a non-U.S. institution in accordance with Rule 13d-1(b)(1)(ii)(J), please specify the type of institution: </w:t>
      </w:r>
      <w:r>
        <w:rPr>
          <w:rFonts w:ascii="Times New Roman" w:cs="Times New Roman" w:eastAsia="Times New Roman" w:hAnsi="Times New Roman"/>
          <w:sz w:val="20"/>
          <w:szCs w:val="20"/>
          <w:u w:val="single" w:color="auto"/>
          <w:color w:val="auto"/>
        </w:rPr>
        <w:t>Not applicable.</w:t>
      </w:r>
    </w:p>
    <w:p>
      <w:pPr>
        <w:sectPr>
          <w:pgSz w:w="11900" w:h="16838" w:orient="portrait"/>
          <w:cols w:equalWidth="0" w:num="1">
            <w:col w:w="11240"/>
          </w:cols>
          <w:pgMar w:left="320" w:top="221" w:right="339" w:bottom="1440" w:gutter="0" w:footer="0" w:header="0"/>
        </w:sectPr>
      </w:pPr>
    </w:p>
    <w:bookmarkStart w:id="8" w:name="page9"/>
    <w:bookmarkEnd w:id="8"/>
    <w:p>
      <w:pPr>
        <w:spacing w:after="0"/>
        <w:tabs>
          <w:tab w:leader="none" w:pos="5360" w:val="left"/>
          <w:tab w:leader="none" w:pos="9820" w:val="left"/>
        </w:tabs>
        <w:rPr>
          <w:sz w:val="20"/>
          <w:szCs w:val="20"/>
          <w:color w:val="auto"/>
        </w:rPr>
      </w:pPr>
      <w:r>
        <w:rPr>
          <w:rFonts w:ascii="Times New Roman" w:cs="Times New Roman" w:eastAsia="Times New Roman" w:hAnsi="Times New Roman"/>
          <w:sz w:val="20"/>
          <w:szCs w:val="20"/>
          <w:b w:val="1"/>
          <w:bCs w:val="1"/>
          <w:color w:val="auto"/>
        </w:rPr>
        <w:t>CUSIP No. 039697107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9 of 11 Pages</w:t>
      </w:r>
    </w:p>
    <w:p>
      <w:pPr>
        <w:sectPr>
          <w:pgSz w:w="11900" w:h="16838" w:orient="portrait"/>
          <w:cols w:equalWidth="0" w:num="1">
            <w:col w:w="11240"/>
          </w:cols>
          <w:pgMar w:left="320" w:top="2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12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5" w:lineRule="exact"/>
        <w:rPr>
          <w:sz w:val="20"/>
          <w:szCs w:val="20"/>
          <w:color w:val="auto"/>
        </w:rPr>
      </w:pPr>
    </w:p>
    <w:p>
      <w:pPr>
        <w:ind w:left="1820" w:hanging="912"/>
        <w:spacing w:after="0"/>
        <w:tabs>
          <w:tab w:leader="none" w:pos="18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Adage Capital Partners GP, L.L.C. and Adage Capital Advisors, L.L.C.</w:t>
      </w:r>
    </w:p>
    <w:p>
      <w:pPr>
        <w:ind w:left="2260" w:hanging="448"/>
        <w:spacing w:after="0"/>
        <w:tabs>
          <w:tab w:leader="none" w:pos="22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5,000,000</w:t>
      </w:r>
    </w:p>
    <w:p>
      <w:pPr>
        <w:ind w:left="2260" w:right="140" w:hanging="448"/>
        <w:spacing w:after="0" w:line="239" w:lineRule="auto"/>
        <w:tabs>
          <w:tab w:leader="none" w:pos="22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5.54%. The percentage set forth in this Schedule 13G/A is calculated based upon a total of 90,248,465 shares of Common Stock outstanding as of November 2, 2020, as reported in the Company's Quarterly Report on Form 10-Q for the quarterly period ended September 30, 2020 filed with the Securities and Exchange Commission on November 5, 2020.</w:t>
      </w:r>
    </w:p>
    <w:p>
      <w:pPr>
        <w:spacing w:after="0" w:line="1" w:lineRule="exact"/>
        <w:rPr>
          <w:rFonts w:ascii="Times New Roman" w:cs="Times New Roman" w:eastAsia="Times New Roman" w:hAnsi="Times New Roman"/>
          <w:sz w:val="20"/>
          <w:szCs w:val="20"/>
          <w:color w:val="auto"/>
        </w:rPr>
      </w:pPr>
    </w:p>
    <w:p>
      <w:pPr>
        <w:ind w:left="2260" w:hanging="448"/>
        <w:spacing w:after="0"/>
        <w:tabs>
          <w:tab w:leader="none" w:pos="22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2920" w:hanging="662"/>
        <w:spacing w:after="0"/>
        <w:tabs>
          <w:tab w:leader="none" w:pos="29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5,000,000</w:t>
      </w:r>
    </w:p>
    <w:p>
      <w:pPr>
        <w:ind w:left="2920" w:hanging="662"/>
        <w:spacing w:after="0"/>
        <w:tabs>
          <w:tab w:leader="none" w:pos="29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2920" w:hanging="662"/>
        <w:spacing w:after="0"/>
        <w:tabs>
          <w:tab w:leader="none" w:pos="29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5,000,000</w:t>
      </w:r>
    </w:p>
    <w:p>
      <w:pPr>
        <w:spacing w:after="0" w:line="207" w:lineRule="exact"/>
        <w:rPr>
          <w:sz w:val="20"/>
          <w:szCs w:val="20"/>
          <w:color w:val="auto"/>
        </w:rPr>
      </w:pPr>
    </w:p>
    <w:p>
      <w:pPr>
        <w:ind w:left="120" w:right="200"/>
        <w:spacing w:after="0" w:line="249" w:lineRule="auto"/>
        <w:rPr>
          <w:sz w:val="20"/>
          <w:szCs w:val="20"/>
          <w:color w:val="auto"/>
        </w:rPr>
      </w:pPr>
      <w:r>
        <w:rPr>
          <w:rFonts w:ascii="Times New Roman" w:cs="Times New Roman" w:eastAsia="Times New Roman" w:hAnsi="Times New Roman"/>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ACPGP and ACA may be deemed to beneficially own the shares owned by ACP.</w:t>
      </w:r>
    </w:p>
    <w:p>
      <w:pPr>
        <w:spacing w:after="0" w:line="193" w:lineRule="exact"/>
        <w:rPr>
          <w:sz w:val="20"/>
          <w:szCs w:val="20"/>
          <w:color w:val="auto"/>
        </w:rPr>
      </w:pPr>
    </w:p>
    <w:p>
      <w:pPr>
        <w:ind w:left="1820" w:hanging="912"/>
        <w:spacing w:after="0"/>
        <w:tabs>
          <w:tab w:leader="none" w:pos="1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Robert Atchinson and Phillip Gross</w:t>
      </w:r>
    </w:p>
    <w:p>
      <w:pPr>
        <w:spacing w:after="0" w:line="21" w:lineRule="exact"/>
        <w:rPr>
          <w:rFonts w:ascii="Times New Roman" w:cs="Times New Roman" w:eastAsia="Times New Roman" w:hAnsi="Times New Roman"/>
          <w:sz w:val="20"/>
          <w:szCs w:val="20"/>
          <w:color w:val="auto"/>
        </w:rPr>
      </w:pPr>
    </w:p>
    <w:p>
      <w:pPr>
        <w:ind w:left="2260" w:hanging="448"/>
        <w:spacing w:after="0"/>
        <w:tabs>
          <w:tab w:leader="none" w:pos="22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5,000,000</w:t>
      </w:r>
    </w:p>
    <w:p>
      <w:pPr>
        <w:ind w:left="2260" w:hanging="448"/>
        <w:spacing w:after="0"/>
        <w:tabs>
          <w:tab w:leader="none" w:pos="22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5.54%</w:t>
      </w:r>
    </w:p>
    <w:p>
      <w:pPr>
        <w:ind w:left="2260" w:hanging="448"/>
        <w:spacing w:after="0"/>
        <w:tabs>
          <w:tab w:leader="none" w:pos="22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2920" w:hanging="662"/>
        <w:spacing w:after="0"/>
        <w:tabs>
          <w:tab w:leader="none" w:pos="292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5,000,000</w:t>
      </w:r>
    </w:p>
    <w:p>
      <w:pPr>
        <w:ind w:left="2920" w:hanging="662"/>
        <w:spacing w:after="0"/>
        <w:tabs>
          <w:tab w:leader="none" w:pos="292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2920" w:hanging="662"/>
        <w:spacing w:after="0"/>
        <w:tabs>
          <w:tab w:leader="none" w:pos="292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5,000,000</w:t>
      </w:r>
    </w:p>
    <w:p>
      <w:pPr>
        <w:spacing w:after="0" w:line="207" w:lineRule="exact"/>
        <w:rPr>
          <w:sz w:val="20"/>
          <w:szCs w:val="20"/>
          <w:color w:val="auto"/>
        </w:rPr>
      </w:pPr>
    </w:p>
    <w:p>
      <w:pPr>
        <w:jc w:val="both"/>
        <w:ind w:left="120" w:right="140"/>
        <w:spacing w:after="0" w:line="254" w:lineRule="auto"/>
        <w:rPr>
          <w:sz w:val="20"/>
          <w:szCs w:val="20"/>
          <w:color w:val="auto"/>
        </w:rPr>
      </w:pPr>
      <w:r>
        <w:rPr>
          <w:rFonts w:ascii="Times New Roman" w:cs="Times New Roman" w:eastAsia="Times New Roman" w:hAnsi="Times New Roman"/>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184"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800" w:right="1640" w:hanging="1686"/>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 xml:space="preserve">OWNERSHIP OF MORE THAN FIVE PERCENT ON BEHALF OF ANOTHER PERSON </w:t>
      </w: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221" w:right="339" w:bottom="1440" w:gutter="0" w:footer="0" w:header="0"/>
          <w:type w:val="continuous"/>
        </w:sectPr>
      </w:pPr>
    </w:p>
    <w:bookmarkStart w:id="9" w:name="page10"/>
    <w:bookmarkEnd w:id="9"/>
    <w:p>
      <w:pPr>
        <w:spacing w:after="0"/>
        <w:tabs>
          <w:tab w:leader="none" w:pos="5360" w:val="left"/>
          <w:tab w:leader="none" w:pos="9740" w:val="left"/>
        </w:tabs>
        <w:rPr>
          <w:sz w:val="20"/>
          <w:szCs w:val="20"/>
          <w:color w:val="auto"/>
        </w:rPr>
      </w:pPr>
      <w:r>
        <w:rPr>
          <w:rFonts w:ascii="Times New Roman" w:cs="Times New Roman" w:eastAsia="Times New Roman" w:hAnsi="Times New Roman"/>
          <w:sz w:val="20"/>
          <w:szCs w:val="20"/>
          <w:b w:val="1"/>
          <w:bCs w:val="1"/>
          <w:color w:val="auto"/>
        </w:rPr>
        <w:t>CUSIP No. 039697107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10 of 11 Pages</w:t>
      </w:r>
    </w:p>
    <w:p>
      <w:pPr>
        <w:sectPr>
          <w:pgSz w:w="11900" w:h="16838" w:orient="portrait"/>
          <w:cols w:equalWidth="0" w:num="1">
            <w:col w:w="11240"/>
          </w:cols>
          <w:pgMar w:left="320" w:top="2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right="28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SECURITY BEING REPORTED ON BY THE PARENT HOLDING COMPANY OR CONTROL PERSON </w:t>
      </w:r>
      <w:r>
        <w:rPr>
          <w:rFonts w:ascii="Times New Roman" w:cs="Times New Roman" w:eastAsia="Times New Roman" w:hAnsi="Times New Roman"/>
          <w:sz w:val="20"/>
          <w:szCs w:val="20"/>
          <w:color w:val="auto"/>
        </w:rPr>
        <w:t>Not applicable.</w:t>
      </w:r>
    </w:p>
    <w:p>
      <w:pPr>
        <w:spacing w:after="0" w:line="191"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07"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1" w:right="339" w:bottom="1440" w:gutter="0" w:footer="0" w:header="0"/>
          <w:type w:val="continuous"/>
        </w:sectPr>
      </w:pPr>
    </w:p>
    <w:bookmarkStart w:id="10" w:name="page11"/>
    <w:bookmarkEnd w:id="10"/>
    <w:p>
      <w:pPr>
        <w:spacing w:after="0"/>
        <w:tabs>
          <w:tab w:leader="none" w:pos="5360" w:val="left"/>
          <w:tab w:leader="none" w:pos="9740" w:val="left"/>
        </w:tabs>
        <w:rPr>
          <w:sz w:val="20"/>
          <w:szCs w:val="20"/>
          <w:color w:val="auto"/>
        </w:rPr>
      </w:pPr>
      <w:r>
        <w:rPr>
          <w:rFonts w:ascii="Times New Roman" w:cs="Times New Roman" w:eastAsia="Times New Roman" w:hAnsi="Times New Roman"/>
          <w:sz w:val="20"/>
          <w:szCs w:val="20"/>
          <w:b w:val="1"/>
          <w:bCs w:val="1"/>
          <w:color w:val="auto"/>
        </w:rPr>
        <w:t>CUSIP No. 039697107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11 of 11 Pages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11,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GP,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2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2"/>
      <w:numFmt w:val="bullet"/>
      <w:start w:val="1"/>
    </w:lvl>
  </w:abstractNum>
  <w:abstractNum w:abstractNumId="2">
    <w:nsid w:val="1F16E9E8"/>
    <w:multiLevelType w:val="hybridMultilevel"/>
    <w:lvl w:ilvl="0">
      <w:lvlJc w:val="left"/>
      <w:lvlText w:val="3"/>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3"/>
      <w:numFmt w:val="bullet"/>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2"/>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3"/>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8">
    <w:nsid w:val="7C83E45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2021-02-11T06:34:55Z</dcterms:created>
  <dcterms:modified xsi:type="dcterms:W3CDTF">2021-02-11T06:34:55Z</dcterms:modified>
</cp:coreProperties>
</file>