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797"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4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BASKETT FOREST</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40" w:type="dxa"/>
            <w:vAlign w:val="bottom"/>
            <w:gridSpan w:val="5"/>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ARDELYX,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1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40" w:type="dxa"/>
            <w:vAlign w:val="bottom"/>
            <w:gridSpan w:val="5"/>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40" w:type="dxa"/>
            <w:vAlign w:val="bottom"/>
            <w:gridSpan w:val="5"/>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1954 GREENSPRING DRIVE</w:t>
            </w:r>
          </w:p>
        </w:tc>
        <w:tc>
          <w:tcPr>
            <w:tcW w:w="134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7"/>
                <w:szCs w:val="17"/>
                <w:color w:val="0000FF"/>
              </w:rPr>
              <w:t>06/15/2020</w:t>
            </w: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SUITE 600</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8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80" w:type="dxa"/>
            <w:vAlign w:val="bottom"/>
            <w:gridSpan w:val="6"/>
            <w:vMerge w:val="continue"/>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9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920" w:type="dxa"/>
            <w:vAlign w:val="bottom"/>
            <w:gridSpan w:val="4"/>
            <w:vMerge w:val="continue"/>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TIMONIUM</w:t>
            </w:r>
          </w:p>
        </w:tc>
        <w:tc>
          <w:tcPr>
            <w:tcW w:w="1120" w:type="dxa"/>
            <w:vAlign w:val="bottom"/>
            <w:gridSpan w:val="2"/>
          </w:tcPr>
          <w:p>
            <w:pPr>
              <w:ind w:left="40"/>
              <w:spacing w:after="0"/>
              <w:rPr>
                <w:sz w:val="20"/>
                <w:szCs w:val="20"/>
                <w:color w:val="auto"/>
              </w:rPr>
            </w:pPr>
            <w:r>
              <w:rPr>
                <w:rFonts w:ascii="Arial" w:cs="Arial" w:eastAsia="Arial" w:hAnsi="Arial"/>
                <w:sz w:val="17"/>
                <w:szCs w:val="17"/>
                <w:color w:val="0000FF"/>
              </w:rPr>
              <w:t>MD</w:t>
            </w:r>
          </w:p>
        </w:tc>
        <w:tc>
          <w:tcPr>
            <w:tcW w:w="1340" w:type="dxa"/>
            <w:vAlign w:val="bottom"/>
          </w:tcPr>
          <w:p>
            <w:pPr>
              <w:ind w:left="140"/>
              <w:spacing w:after="0"/>
              <w:rPr>
                <w:sz w:val="20"/>
                <w:szCs w:val="20"/>
                <w:color w:val="auto"/>
              </w:rPr>
            </w:pPr>
            <w:r>
              <w:rPr>
                <w:rFonts w:ascii="Arial" w:cs="Arial" w:eastAsia="Arial" w:hAnsi="Arial"/>
                <w:sz w:val="17"/>
                <w:szCs w:val="17"/>
                <w:color w:val="0000FF"/>
              </w:rPr>
              <w:t>21093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8"/>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780" w:type="dxa"/>
            <w:vAlign w:val="bottom"/>
            <w:tcBorders>
              <w:top w:val="single" w:sz="8" w:color="2C2C2C"/>
            </w:tcBorders>
            <w:gridSpan w:val="17"/>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9"/>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4"/>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20" w:type="dxa"/>
            <w:vAlign w:val="bottom"/>
            <w:gridSpan w:val="4"/>
            <w:vMerge w:val="restart"/>
          </w:tcPr>
          <w:p>
            <w:pPr>
              <w:ind w:left="900"/>
              <w:spacing w:after="0"/>
              <w:rPr>
                <w:sz w:val="20"/>
                <w:szCs w:val="20"/>
                <w:color w:val="auto"/>
              </w:rPr>
            </w:pPr>
            <w:r>
              <w:rPr>
                <w:rFonts w:ascii="Arial" w:cs="Arial" w:eastAsia="Arial" w:hAnsi="Arial"/>
                <w:sz w:val="17"/>
                <w:szCs w:val="17"/>
                <w:color w:val="0000FF"/>
              </w:rPr>
              <w:t>06/15/2020</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vMerge w:val="restart"/>
          </w:tcPr>
          <w:p>
            <w:pPr>
              <w:ind w:left="200"/>
              <w:spacing w:after="0"/>
              <w:rPr>
                <w:sz w:val="20"/>
                <w:szCs w:val="20"/>
                <w:color w:val="auto"/>
              </w:rPr>
            </w:pPr>
            <w:r>
              <w:rPr>
                <w:rFonts w:ascii="Arial" w:cs="Arial" w:eastAsia="Arial" w:hAnsi="Arial"/>
                <w:sz w:val="13"/>
                <w:szCs w:val="13"/>
                <w:color w:val="0000FF"/>
              </w:rPr>
              <w:t>S</w:t>
            </w:r>
          </w:p>
        </w:tc>
        <w:tc>
          <w:tcPr>
            <w:tcW w:w="700" w:type="dxa"/>
            <w:vAlign w:val="bottom"/>
            <w:vMerge w:val="restart"/>
          </w:tcPr>
          <w:p>
            <w:pPr>
              <w:ind w:left="340"/>
              <w:spacing w:after="0"/>
              <w:rPr>
                <w:sz w:val="20"/>
                <w:szCs w:val="20"/>
                <w:color w:val="auto"/>
              </w:rPr>
            </w:pPr>
            <w:r>
              <w:rPr>
                <w:rFonts w:ascii="Arial" w:cs="Arial" w:eastAsia="Arial" w:hAnsi="Arial"/>
                <w:sz w:val="17"/>
                <w:szCs w:val="17"/>
                <w:color w:val="0000FF"/>
              </w:rPr>
              <w:t>43</w:t>
            </w:r>
          </w:p>
        </w:tc>
        <w:tc>
          <w:tcPr>
            <w:tcW w:w="440" w:type="dxa"/>
            <w:vAlign w:val="bottom"/>
            <w:vMerge w:val="restart"/>
          </w:tcPr>
          <w:p>
            <w:pPr>
              <w:ind w:left="300"/>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560" w:type="dxa"/>
            <w:vAlign w:val="bottom"/>
            <w:gridSpan w:val="4"/>
            <w:vMerge w:val="restart"/>
          </w:tcPr>
          <w:p>
            <w:pPr>
              <w:jc w:val="right"/>
              <w:ind w:right="47"/>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6.37</w:t>
            </w:r>
          </w:p>
        </w:tc>
        <w:tc>
          <w:tcPr>
            <w:tcW w:w="460" w:type="dxa"/>
            <w:vAlign w:val="bottom"/>
          </w:tcPr>
          <w:p>
            <w:pPr>
              <w:spacing w:after="0"/>
              <w:rPr>
                <w:sz w:val="22"/>
                <w:szCs w:val="22"/>
                <w:color w:val="auto"/>
              </w:rPr>
            </w:pPr>
          </w:p>
        </w:tc>
        <w:tc>
          <w:tcPr>
            <w:tcW w:w="740" w:type="dxa"/>
            <w:vAlign w:val="bottom"/>
            <w:vMerge w:val="restart"/>
          </w:tcPr>
          <w:p>
            <w:pPr>
              <w:jc w:val="center"/>
              <w:ind w:right="437"/>
              <w:spacing w:after="0"/>
              <w:rPr>
                <w:sz w:val="20"/>
                <w:szCs w:val="20"/>
                <w:color w:val="auto"/>
              </w:rPr>
            </w:pPr>
            <w:r>
              <w:rPr>
                <w:rFonts w:ascii="Arial" w:cs="Arial" w:eastAsia="Arial" w:hAnsi="Arial"/>
                <w:sz w:val="17"/>
                <w:szCs w:val="17"/>
                <w:color w:val="0000FF"/>
                <w:w w:val="84"/>
              </w:rPr>
              <w:t>0</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20" w:type="dxa"/>
            <w:vAlign w:val="bottom"/>
            <w:gridSpan w:val="4"/>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gridSpan w:val="4"/>
            <w:vMerge w:val="continue"/>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w w:val="99"/>
              </w:rPr>
              <w:t>Note 1</w:t>
            </w:r>
            <w:r>
              <w:rPr>
                <w:rFonts w:ascii="Arial" w:cs="Arial" w:eastAsia="Arial" w:hAnsi="Arial"/>
                <w:sz w:val="22"/>
                <w:szCs w:val="22"/>
                <w:color w:val="008000"/>
                <w:w w:val="99"/>
                <w:vertAlign w:val="superscript"/>
              </w:rPr>
              <w:t>(1)</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gridSpan w:val="3"/>
            <w:vMerge w:val="restart"/>
          </w:tcPr>
          <w:p>
            <w:pPr>
              <w:jc w:val="center"/>
              <w:ind w:left="47"/>
              <w:spacing w:after="0"/>
              <w:rPr>
                <w:sz w:val="20"/>
                <w:szCs w:val="20"/>
                <w:color w:val="auto"/>
              </w:rPr>
            </w:pPr>
            <w:r>
              <w:rPr>
                <w:rFonts w:ascii="Arial" w:cs="Arial" w:eastAsia="Arial" w:hAnsi="Arial"/>
                <w:sz w:val="17"/>
                <w:szCs w:val="17"/>
                <w:color w:val="0000FF"/>
                <w:w w:val="92"/>
              </w:rPr>
              <w:t>8,086,401</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w w:val="99"/>
              </w:rPr>
              <w:t>Note 2</w:t>
            </w:r>
            <w:r>
              <w:rPr>
                <w:rFonts w:ascii="Arial" w:cs="Arial" w:eastAsia="Arial" w:hAnsi="Arial"/>
                <w:sz w:val="22"/>
                <w:szCs w:val="22"/>
                <w:color w:val="008000"/>
                <w:w w:val="99"/>
                <w:vertAlign w:val="superscript"/>
              </w:rPr>
              <w:t>(2)</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gridSpan w:val="3"/>
            <w:vMerge w:val="restart"/>
          </w:tcPr>
          <w:p>
            <w:pPr>
              <w:jc w:val="center"/>
              <w:ind w:left="47"/>
              <w:spacing w:after="0"/>
              <w:rPr>
                <w:sz w:val="20"/>
                <w:szCs w:val="20"/>
                <w:color w:val="auto"/>
              </w:rPr>
            </w:pPr>
            <w:r>
              <w:rPr>
                <w:rFonts w:ascii="Arial" w:cs="Arial" w:eastAsia="Arial" w:hAnsi="Arial"/>
                <w:sz w:val="17"/>
                <w:szCs w:val="17"/>
                <w:color w:val="0000FF"/>
                <w:w w:val="92"/>
              </w:rPr>
              <w:t>2,604,582</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w w:val="99"/>
              </w:rPr>
              <w:t>Note 3</w:t>
            </w:r>
            <w:r>
              <w:rPr>
                <w:rFonts w:ascii="Arial" w:cs="Arial" w:eastAsia="Arial" w:hAnsi="Arial"/>
                <w:sz w:val="22"/>
                <w:szCs w:val="22"/>
                <w:color w:val="008000"/>
                <w:w w:val="99"/>
                <w:vertAlign w:val="superscript"/>
              </w:rPr>
              <w:t>(3)</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gridSpan w:val="3"/>
            <w:vMerge w:val="restart"/>
          </w:tcPr>
          <w:p>
            <w:pPr>
              <w:jc w:val="center"/>
              <w:ind w:left="47"/>
              <w:spacing w:after="0"/>
              <w:rPr>
                <w:sz w:val="20"/>
                <w:szCs w:val="20"/>
                <w:color w:val="auto"/>
              </w:rPr>
            </w:pPr>
            <w:r>
              <w:rPr>
                <w:rFonts w:ascii="Arial" w:cs="Arial" w:eastAsia="Arial" w:hAnsi="Arial"/>
                <w:sz w:val="17"/>
                <w:szCs w:val="17"/>
                <w:color w:val="0000FF"/>
                <w:w w:val="92"/>
              </w:rPr>
              <w:t>2,942,599</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Note 4</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-4075430</wp:posOffset>
            </wp:positionV>
            <wp:extent cx="7031355" cy="4120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412051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a member of the Board of Directors of New Enterprise Associates, LLC ("NEA LLC"), which is the direct beneficial owner of the shares. The Reporting Person disclaims beneficial ownership within the meaning of Section 16 of the Securities Exchange Act of 1934, as amended, or otherwise of such portion of the NEA LLC shares in which the Reporting Person has no pecuniary interest.</w:t>
      </w:r>
    </w:p>
    <w:p>
      <w:pPr>
        <w:spacing w:after="0" w:line="25" w:lineRule="exact"/>
        <w:rPr>
          <w:rFonts w:ascii="Arial" w:cs="Arial" w:eastAsia="Arial" w:hAnsi="Arial"/>
          <w:sz w:val="13"/>
          <w:szCs w:val="13"/>
          <w:color w:val="008000"/>
        </w:rPr>
      </w:pPr>
    </w:p>
    <w:p>
      <w:pPr>
        <w:ind w:left="40" w:right="28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12 GP, LLC ("NEA 12 GP"), which is the sole general partner of NEA Partners 12, Limited Partnership ("NEA Partners 12"). NEA Partners 12 is the sole general partner of New Enterprise Associates 12, Limited Partnership ("NEA 12"), which is the direct beneficial owner of the securities. The Reporting Person disclaims beneficial ownership, within the meaning of Section 16 of the Securities Exchange Act of 1934, as amended, or otherwise of such portion of the NEA 12 shares in which the Reporting Person has no pecuniary interest.</w:t>
      </w:r>
    </w:p>
    <w:p>
      <w:pPr>
        <w:spacing w:after="0" w:line="8" w:lineRule="exact"/>
        <w:rPr>
          <w:rFonts w:ascii="Arial" w:cs="Arial" w:eastAsia="Arial" w:hAnsi="Arial"/>
          <w:sz w:val="12"/>
          <w:szCs w:val="12"/>
          <w:color w:val="008000"/>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a manager of NEA 15 GP, LLC ("NEA 15 GP"), which is the sole general partner of NEA Partners 15, L.P. ("NEA Partners 15"). NEA Partners 15 is the sole general partner of New Enterprise Associates 15, L.P. ("NEA 15"), the direct beneficial owner of the securities. The Reporting Person disclaims beneficial ownership within the meaning of Section 16 of the Securities Exchange Act of 1934, as amended, or otherwise of such portion of the NEA 15 shares in which the Reporting Person has no pecuniary interest.</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a manager of NEA 15 GP, which is the sole general partner of NEA Partners 15-OF, L.P. ("NEA Partners 15-OF"). NEA Partners 15-OF is the sole general partner of NEA 15 Opportunity Fund, L.P. ("NEA Opportunity 15"), the direct beneficial owner of the securities. The Reporting Person disclaims beneficial ownership within the meaning of Section 16 of the Securities Exchange Act of 1934, as amended, or otherwise of such portion of the NEA Opportunity 15 shares in which the Reporting Person has no pecuniary interest.</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Sasha Keough, attorney-in- </w:t>
      </w:r>
      <w:r>
        <w:rPr>
          <w:rFonts w:ascii="Arial" w:cs="Arial" w:eastAsia="Arial" w:hAnsi="Arial"/>
          <w:sz w:val="34"/>
          <w:szCs w:val="34"/>
          <w:color w:val="0000FF"/>
          <w:vertAlign w:val="subscript"/>
        </w:rPr>
        <w:t>06/17/2020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64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79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77631"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2020-06-17T15:02:30Z</dcterms:created>
  <dcterms:modified xsi:type="dcterms:W3CDTF">2020-06-17T15:02:30Z</dcterms:modified>
</cp:coreProperties>
</file>