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GRAMMER ELIZABETH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EVP, General Counsel</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06"/>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8"/>
                <w:szCs w:val="18"/>
                <w:color w:val="0000FF"/>
                <w:w w:val="88"/>
              </w:rPr>
              <w:t>09/21/2018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9"/>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142,743</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gridSpan w:val="3"/>
          </w:tcPr>
          <w:p>
            <w:pPr>
              <w:jc w:val="center"/>
              <w:ind w:left="606"/>
              <w:spacing w:after="0"/>
              <w:rPr>
                <w:sz w:val="20"/>
                <w:szCs w:val="20"/>
                <w:color w:val="auto"/>
              </w:rPr>
            </w:pPr>
            <w:r>
              <w:rPr>
                <w:rFonts w:ascii="Arial" w:cs="Arial" w:eastAsia="Arial" w:hAnsi="Arial"/>
                <w:sz w:val="18"/>
                <w:szCs w:val="18"/>
                <w:color w:val="0000FF"/>
                <w:w w:val="88"/>
              </w:rPr>
              <w:t>09/21/2018</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ind w:right="219"/>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(1)</w:t>
            </w:r>
          </w:p>
        </w:tc>
        <w:tc>
          <w:tcPr>
            <w:tcW w:w="700" w:type="dxa"/>
            <w:vAlign w:val="bottom"/>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Pr>
          <w:p>
            <w:pPr>
              <w:spacing w:after="0"/>
              <w:rPr>
                <w:sz w:val="24"/>
                <w:szCs w:val="24"/>
                <w:color w:val="auto"/>
              </w:rPr>
            </w:pPr>
          </w:p>
        </w:tc>
        <w:tc>
          <w:tcPr>
            <w:tcW w:w="880" w:type="dxa"/>
            <w:vAlign w:val="bottom"/>
          </w:tcPr>
          <w:p>
            <w:pPr>
              <w:jc w:val="center"/>
              <w:ind w:right="337"/>
              <w:spacing w:after="0"/>
              <w:rPr>
                <w:sz w:val="20"/>
                <w:szCs w:val="20"/>
                <w:color w:val="auto"/>
              </w:rPr>
            </w:pPr>
            <w:r>
              <w:rPr>
                <w:rFonts w:ascii="Arial" w:cs="Arial" w:eastAsia="Arial" w:hAnsi="Arial"/>
                <w:sz w:val="18"/>
                <w:szCs w:val="18"/>
                <w:color w:val="0000FF"/>
                <w:w w:val="88"/>
              </w:rPr>
              <w:t>1,000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son</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top w:val="single" w:sz="8" w:color="2C2C2C"/>
            </w:tcBorders>
          </w:tcPr>
          <w:p>
            <w:pPr>
              <w:spacing w:after="0"/>
              <w:rPr>
                <w:sz w:val="23"/>
                <w:szCs w:val="23"/>
                <w:color w:val="auto"/>
              </w:rPr>
            </w:pPr>
          </w:p>
        </w:tc>
        <w:tc>
          <w:tcPr>
            <w:tcW w:w="1020" w:type="dxa"/>
            <w:vAlign w:val="bottom"/>
            <w:tcBorders>
              <w:top w:val="single" w:sz="8" w:color="2C2C2C"/>
            </w:tcBorders>
          </w:tcPr>
          <w:p>
            <w:pPr>
              <w:spacing w:after="0"/>
              <w:rPr>
                <w:sz w:val="23"/>
                <w:szCs w:val="23"/>
                <w:color w:val="auto"/>
              </w:rPr>
            </w:pPr>
          </w:p>
        </w:tc>
        <w:tc>
          <w:tcPr>
            <w:tcW w:w="1840" w:type="dxa"/>
            <w:vAlign w:val="bottom"/>
            <w:tcBorders>
              <w:top w:val="single" w:sz="8" w:color="2C2C2C"/>
            </w:tcBorders>
            <w:gridSpan w:val="3"/>
          </w:tcPr>
          <w:p>
            <w:pPr>
              <w:jc w:val="center"/>
              <w:ind w:left="606"/>
              <w:spacing w:after="0"/>
              <w:rPr>
                <w:sz w:val="20"/>
                <w:szCs w:val="20"/>
                <w:color w:val="auto"/>
              </w:rPr>
            </w:pPr>
            <w:r>
              <w:rPr>
                <w:rFonts w:ascii="Arial" w:cs="Arial" w:eastAsia="Arial" w:hAnsi="Arial"/>
                <w:sz w:val="18"/>
                <w:szCs w:val="18"/>
                <w:color w:val="0000FF"/>
                <w:w w:val="88"/>
              </w:rPr>
              <w:t>09/21/2018</w:t>
            </w:r>
          </w:p>
        </w:tc>
        <w:tc>
          <w:tcPr>
            <w:tcW w:w="20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jc w:val="center"/>
              <w:ind w:right="239"/>
              <w:spacing w:after="0"/>
              <w:rPr>
                <w:sz w:val="20"/>
                <w:szCs w:val="20"/>
                <w:color w:val="auto"/>
              </w:rPr>
            </w:pPr>
            <w:r>
              <w:rPr>
                <w:rFonts w:ascii="Arial" w:cs="Arial" w:eastAsia="Arial" w:hAnsi="Arial"/>
                <w:sz w:val="14"/>
                <w:szCs w:val="14"/>
                <w:color w:val="0000FF"/>
                <w:w w:val="91"/>
              </w:rPr>
              <w:t>G</w:t>
            </w:r>
          </w:p>
        </w:tc>
        <w:tc>
          <w:tcPr>
            <w:tcW w:w="7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Borders>
              <w:top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141,743</w:t>
            </w:r>
          </w:p>
        </w:tc>
        <w:tc>
          <w:tcPr>
            <w:tcW w:w="9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06"/>
              <w:spacing w:after="0"/>
              <w:rPr>
                <w:sz w:val="20"/>
                <w:szCs w:val="20"/>
                <w:color w:val="auto"/>
              </w:rPr>
            </w:pPr>
            <w:r>
              <w:rPr>
                <w:rFonts w:ascii="Arial" w:cs="Arial" w:eastAsia="Arial" w:hAnsi="Arial"/>
                <w:sz w:val="18"/>
                <w:szCs w:val="18"/>
                <w:color w:val="0000FF"/>
                <w:w w:val="88"/>
              </w:rPr>
              <w:t>09/21/2018</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9"/>
              <w:spacing w:after="0"/>
              <w:rPr>
                <w:sz w:val="20"/>
                <w:szCs w:val="20"/>
                <w:color w:val="auto"/>
              </w:rPr>
            </w:pPr>
            <w:r>
              <w:rPr>
                <w:rFonts w:ascii="Arial" w:cs="Arial" w:eastAsia="Arial" w:hAnsi="Arial"/>
                <w:sz w:val="14"/>
                <w:szCs w:val="14"/>
                <w:color w:val="0000FF"/>
                <w:w w:val="91"/>
              </w:rPr>
              <w:t>G</w:t>
            </w:r>
          </w:p>
        </w:tc>
        <w:tc>
          <w:tcPr>
            <w:tcW w:w="700" w:type="dxa"/>
            <w:vAlign w:val="bottom"/>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140,743</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8"/>
                <w:szCs w:val="18"/>
                <w:color w:val="0000FF"/>
                <w:w w:val="88"/>
              </w:rPr>
              <w:t>11/13/2018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6,539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2.84</w:t>
            </w:r>
            <w:r>
              <w:rPr>
                <w:rFonts w:ascii="Arial" w:cs="Arial" w:eastAsia="Arial" w:hAnsi="Arial"/>
                <w:sz w:val="22"/>
                <w:szCs w:val="22"/>
                <w:color w:val="008000"/>
                <w:w w:val="85"/>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134,204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27"/>
              <w:spacing w:after="0" w:line="135" w:lineRule="exact"/>
              <w:rPr>
                <w:sz w:val="20"/>
                <w:szCs w:val="20"/>
                <w:color w:val="auto"/>
              </w:rPr>
            </w:pPr>
            <w:r>
              <w:rPr>
                <w:rFonts w:ascii="Arial" w:cs="Arial" w:eastAsia="Arial" w:hAnsi="Arial"/>
                <w:sz w:val="12"/>
                <w:szCs w:val="12"/>
                <w:b w:val="1"/>
                <w:bCs w:val="1"/>
                <w:color w:val="auto"/>
                <w:w w:val="98"/>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67"/>
              <w:spacing w:after="0"/>
              <w:rPr>
                <w:sz w:val="20"/>
                <w:szCs w:val="20"/>
                <w:color w:val="auto"/>
              </w:rPr>
            </w:pPr>
            <w:r>
              <w:rPr>
                <w:rFonts w:ascii="Arial" w:cs="Arial" w:eastAsia="Arial" w:hAnsi="Arial"/>
                <w:sz w:val="12"/>
                <w:szCs w:val="12"/>
                <w:b w:val="1"/>
                <w:bCs w:val="1"/>
                <w:color w:val="auto"/>
                <w:w w:val="92"/>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involved a gift of securities by the Reporting Person to her son, who shares Reporting Person's household. The Reporting Person disclaims beneficial ownership of the shares held by her son, and this report should not be deemed an admission that the Reporting Person is the beneficial owner of her son's shares for purposes of Section 16 or for any other purpose.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2,463 shares acquired under the Issuer's Employee Stock Purchase Plan on August 31, 2018.</w:t>
      </w:r>
    </w:p>
    <w:p>
      <w:pPr>
        <w:spacing w:after="0" w:line="41"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$2.8062 to $2.84,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Elizabeth Grammer</w:t>
            </w:r>
          </w:p>
        </w:tc>
        <w:tc>
          <w:tcPr>
            <w:tcW w:w="5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11/15/2018</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2019-12-24T08:13:36Z</dcterms:created>
  <dcterms:modified xsi:type="dcterms:W3CDTF">2019-12-24T08:13:36Z</dcterms:modified>
</cp:coreProperties>
</file>