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880" w:type="dxa"/>
            <w:vAlign w:val="bottom"/>
          </w:tcPr>
          <w:p>
            <w:pPr>
              <w:jc w:val="center"/>
              <w:ind w:right="1182"/>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2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80" w:type="dxa"/>
            <w:vAlign w:val="bottom"/>
          </w:tcPr>
          <w:p>
            <w:pPr>
              <w:jc w:val="center"/>
              <w:ind w:right="116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5"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2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118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On February 23, 2022 (the “Closing Date”), we entered into a loan and security agreement (the “Loan Agreement”) with SLR Investment Corp., as collateral agent (the “Agent”), and the lenders listed on Schedule 1.1 to the Loan Agreement (collectively the “Lenders”). The Loan Agreement provides for a senior secured term loan facility, with $27.5 million (the “Term A Loan”) funded on the Closing Date and an additional $22.5 million that we may borrow on or prior to July 25, 2023; provided that (i) we have received approval by the U.S. Food and Drug Administration (“FDA”) for our new drug application (“NDA”) for the control of serum phosphorus in chronic kidney disease patients on dialysis by December 31, 2022, and (ii) we have achieved</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certain product revenue milestone targets described in the Loan Agreement (the “Term B Loan”, and collectively, the Term A Loan and the Term B Loan, the “Term Loan”). The Term Loan has a maturity date of March 1, 2027.</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Term Loan bear interest at a floating per annum rate equal to 7.95% plus the greater of (i) one tenth percent ((0.10%) and (ii) one-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month LIBOR. We are permitted to make interest-only payments on the Term Loan through March 31, 2024. Accordingly, beginning on April 1, 2024, we will be required to make monthly payments of interest plus repay the Term Loan in consecutive equal monthly installments of principal. We were obligated to pay one hundred ninety-two thousand five dollars ($192,500), upon the closing of the Term A Loan, and we are obligated to pay seventy-eight thousand seven hundred fifty dollars ($78,750) on the earliest of (i) the funding date of the Term B Loan, (ii) July 25, 2023, and (iii) the prepayment, refinancing,</w:t>
      </w:r>
    </w:p>
    <w:p>
      <w:pPr>
        <w:spacing w:after="0" w:line="2" w:lineRule="exact"/>
        <w:rPr>
          <w:sz w:val="20"/>
          <w:szCs w:val="20"/>
          <w:color w:val="auto"/>
        </w:rPr>
      </w:pPr>
    </w:p>
    <w:p>
      <w:pPr>
        <w:ind w:right="560"/>
        <w:spacing w:after="0" w:line="272" w:lineRule="auto"/>
        <w:rPr>
          <w:sz w:val="20"/>
          <w:szCs w:val="20"/>
          <w:color w:val="auto"/>
        </w:rPr>
      </w:pPr>
      <w:r>
        <w:rPr>
          <w:rFonts w:ascii="Arial" w:cs="Arial" w:eastAsia="Arial" w:hAnsi="Arial"/>
          <w:sz w:val="16"/>
          <w:szCs w:val="16"/>
          <w:color w:val="auto"/>
        </w:rPr>
        <w:t>substitution, or replacement of the Term A Loan on or prior to July 25, 2023. We are obligated to pay a fee equal to 4.95% of the aggregate original principal amount of the Term Loan funded upon the earliest to occur of the maturity date, the acceleration of the Term Loan, and the prepayment,</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refinancing, substitution, or replacement of the Term Loan. We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of our assets, except for our intellectual property and certain other customary exclusions. Additionally, in connection with the Term Loan, we entered into an Exit Fee Agreement, whereby we agreed to pay an exit fee in the amount 2% of the Term Loan funded (the “Exit Fee”) upon (i) any change of control transaction or (ii) our achievement of net revenue from the sale of any products equal to or greater than one hundred million dollars</w:t>
      </w:r>
    </w:p>
    <w:p>
      <w:pPr>
        <w:ind w:right="80"/>
        <w:spacing w:after="0" w:line="245" w:lineRule="auto"/>
        <w:rPr>
          <w:sz w:val="20"/>
          <w:szCs w:val="20"/>
          <w:color w:val="auto"/>
        </w:rPr>
      </w:pPr>
      <w:r>
        <w:rPr>
          <w:rFonts w:ascii="Arial" w:cs="Arial" w:eastAsia="Arial" w:hAnsi="Arial"/>
          <w:sz w:val="18"/>
          <w:szCs w:val="18"/>
          <w:color w:val="auto"/>
        </w:rPr>
        <w:t>($100,000,000), measured on a six (6) months basis, tested monthly at the end of each month. Notwithstanding the prepayment or termination of the Term Loan, the Exit Fee will expire 10 years from the Closing Date.</w:t>
      </w:r>
    </w:p>
    <w:p>
      <w:pPr>
        <w:spacing w:after="0" w:line="19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w:t>
      </w:r>
    </w:p>
    <w:p>
      <w:pPr>
        <w:jc w:val="both"/>
        <w:ind w:right="300"/>
        <w:spacing w:after="0" w:line="276" w:lineRule="auto"/>
        <w:rPr>
          <w:sz w:val="20"/>
          <w:szCs w:val="20"/>
          <w:color w:val="auto"/>
        </w:rPr>
      </w:pPr>
      <w:r>
        <w:rPr>
          <w:rFonts w:ascii="Arial" w:cs="Arial" w:eastAsia="Arial" w:hAnsi="Arial"/>
          <w:sz w:val="16"/>
          <w:szCs w:val="16"/>
          <w:color w:val="auto"/>
        </w:rPr>
        <w:t>capital stock other than dividends payable solely in capital stock or to redeem capital stock. We have agreed to not allow our unrestricted cash and cash equivalents to be less than the eighty percent (80%) of the outstanding Term Loan balance for any period in which our net revenue from the sale of any products, calculated on a trailing six (6) month basis and tested monthly, is less than sixty percent (60%) of the outstanding Term Loan balance.</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 Loan Agreement contains customary events of default that entitle the Agent to cause our indebtedness under the Loan Agreement to become immediately due and payable, and to exercise remedies against us and the collateral securing the Term Loan, including our cash. Under the Loan Agreement, an event of default will occur if, among other things, we fail to make payments under the Loan Agreement, we breach any of our covenants under the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4.0% per annum will apply to all obligations owed under the Loan Agreement.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2022-02-25T06:23:42Z</dcterms:created>
  <dcterms:modified xsi:type="dcterms:W3CDTF">2022-02-25T06:23:42Z</dcterms:modified>
</cp:coreProperties>
</file>