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7403d1_s8.htm"/>
      <w:bookmarkStart w:id="1" w:name="kstm2427403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November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spacing w:before="1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478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47850" cy="4762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ARDELYX,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0" w:type="dxa"/>
          <w:right w:w="0" w:type="dxa"/>
        </w:tblCellMar>
      </w:tblPr>
      <w:tblGrid>
        <w:gridCol w:w="2915"/>
        <w:gridCol w:w="1145"/>
        <w:gridCol w:w="1970"/>
      </w:tblGrid>
      <w:tr>
        <w:trPr/>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001-36485</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26-1303944</w:t>
            </w:r>
          </w:p>
        </w:tc>
      </w:tr>
      <w:tr>
        <w:trPr/>
        <w:tc>
          <w:tcPr>
            <w:tcW w:w="29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  or organization)</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329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Fifth Ave., Suite 210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Waltham, Massachusetts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02451</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(510) 745-1700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2014 Equity Incentive Award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2014 Employee Stock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Elizabeth Grammer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Legal and Administrative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Ardelyx,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400 Fifth Avenue, Suite 210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Waltham, MA 02451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 745-1700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14"/>
        </w:rPr>
        <w:tab/>
        <w:tab/>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V. Roeder,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John C. Williams,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Latham &amp; Watkins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 Scott Drive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California 94025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328-4600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registration statement will become effective upon filing in accordance with Rule 462 under the Securities Act. Proposed sale to take place as soon after the effective date of the registration statement as awards under the plans are exercised and/or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16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on Form S-8 (the “Registration Statement”) is filed by the Registrant relating to (i) 19,000,000 shares of common stock, par value $0.0001 per share (the “Common Stock”) available for issuance under the Company’s Amended and Restated 2014 Equity Incentive Award Plan (the “2014 Plan”) resulting from an increase approved by the Registrant’s stockholders on June 14, 2024, (ii) 6,500,000 shares of Common Stock that may be added to the reserve of the 2014 Plan pursuant to its terms upon forfeiture, expirations and cancellations of awards or repurchase of shares at the original exercise price originally issued under the Company’s 2016 Employment Commencement Incentive Plan and (iii) 3,000,000 shares of Common Stock to be issued pursuant to the Company’s Amended and Restated 2014 Employee Stock Purchase Plan (the “ESPP”) resulting from an increase approved by the Registrant’s stockholders on June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Registration Statement on Form S-8 is being filed by the Company for the purpose of registering additional securities of the same class as other securities for which a Registration Statement on Form S-8 has previously been filed and is effective. Accordingly, this Registration Statement incorporates by reference the contents of the Registration Statement on Form S-8 (File Nos. 333-202663, 333-210079, 333-216154, 333-223694, 333-230156, 333-237057, 333-254187, 333-263145 and 333-270314) filed with the Securities and Exchange Commission (the “Commission”) on </w:t>
      </w:r>
      <w:hyperlink r:id="rId3">
        <w:r>
          <w:rPr>
            <w:rStyle w:val="InternetLink"/>
            <w:rFonts w:ascii="Times New Roman;Times;Serif" w:hAnsi="Times New Roman;Times;Serif"/>
            <w:b w:val="false"/>
            <w:i w:val="false"/>
            <w:caps w:val="false"/>
            <w:smallCaps w:val="false"/>
            <w:sz w:val="20"/>
          </w:rPr>
          <w:t>March 11, 2015</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March 10, 2016</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February 21, 2017</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March 16, 2018</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March 8, 2019</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10, 2020</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12, 2021</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1, 2022</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March 7, 2023</w:t>
        </w:r>
      </w:hyperlink>
      <w:r>
        <w:rPr>
          <w:rFonts w:ascii="Times New Roman;Times;Serif" w:hAnsi="Times New Roman;Times;Serif"/>
          <w:b w:val="false"/>
          <w:i w:val="false"/>
          <w:caps w:val="false"/>
          <w:smallCaps w:val="false"/>
          <w:sz w:val="20"/>
        </w:rPr>
        <w:t xml:space="preserve"> and </w:t>
      </w:r>
      <w:hyperlink r:id="rId12">
        <w:r>
          <w:rPr>
            <w:rStyle w:val="InternetLink"/>
            <w:rFonts w:ascii="Times New Roman;Times;Serif" w:hAnsi="Times New Roman;Times;Serif"/>
            <w:b w:val="false"/>
            <w:i w:val="false"/>
            <w:caps w:val="false"/>
            <w:smallCaps w:val="false"/>
            <w:sz w:val="20"/>
          </w:rPr>
          <w:t>February 28, 2024</w:t>
        </w:r>
      </w:hyperlink>
      <w:r>
        <w:rPr>
          <w:rFonts w:ascii="Times New Roman;Times;Serif" w:hAnsi="Times New Roman;Times;Serif"/>
          <w:b w:val="false"/>
          <w:i w:val="false"/>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called for in Part I of Form S-8 is not being filed with or included in this Form S-8 (by incorporation by reference or otherwise) in accordance with the rules and regulations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this registration statement, Ardelyx, Inc. is sometimes referred to as “Registrant,” “we,” “us” or “our.”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w:t>
      </w:r>
      <w:r>
        <w:rPr>
          <w:rFonts w:ascii="Times New Roman;Times;Serif" w:hAnsi="Times New Roman;Times;Serif"/>
          <w:b/>
          <w:i w:val="false"/>
          <w:caps w:val="false"/>
          <w:smallCaps w:val="false"/>
          <w:sz w:val="20"/>
          <w:u w:val="single"/>
        </w:rPr>
        <w:t>Incorporation of Documents by Reference</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the Registrant to “incorporate by reference” the information it files with them, which means that the Registrant can disclose important information to you by referring to those documents. The information incorporated by reference is considered to be part of this registration statement, and later information filed with the SEC will update and supersede this information. The Registrant hereby incorporates by reference into this registration statement the following documents previously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pPr>
            <w:r>
              <w:rPr>
                <w:rFonts w:ascii="Times New Roman;Times;Serif" w:hAnsi="Times New Roman;Times;Serif"/>
                <w:sz w:val="20"/>
              </w:rPr>
              <w:t>The Registrant’s </w:t>
            </w:r>
            <w:hyperlink r:id="rId13">
              <w:r>
                <w:rPr>
                  <w:rStyle w:val="InternetLink"/>
                  <w:rFonts w:ascii="Times New Roman;Times;Serif" w:hAnsi="Times New Roman;Times;Serif"/>
                  <w:sz w:val="20"/>
                </w:rPr>
                <w:t>Annual Report on Form 10-K for the fiscal year ended December 31, 2023, as filed with the SEC on February 22, 2024 (File No. 001-36485);</w:t>
              </w:r>
            </w:hyperlink>
          </w:p>
        </w:tc>
      </w:tr>
      <w:tr>
        <w:trPr/>
        <w:tc>
          <w:tcPr>
            <w:tcW w:w="23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The Registrant’s Quarterly Reports on Form 10-Q for the fiscal quarters ended March 31, 2024, June 30, 2024 and September 30, 2024, as filed with the SEC on </w:t>
            </w:r>
            <w:hyperlink r:id="rId14">
              <w:r>
                <w:rPr>
                  <w:rStyle w:val="InternetLink"/>
                  <w:rFonts w:ascii="Times New Roman;Times;Serif" w:hAnsi="Times New Roman;Times;Serif"/>
                  <w:b w:val="false"/>
                  <w:i w:val="false"/>
                  <w:caps w:val="false"/>
                  <w:smallCaps w:val="false"/>
                  <w:sz w:val="20"/>
                </w:rPr>
                <w:t>May 2, 2024</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August 1, 2024</w:t>
              </w:r>
            </w:hyperlink>
            <w:r>
              <w:rPr>
                <w:rFonts w:ascii="Times New Roman;Times;Serif" w:hAnsi="Times New Roman;Times;Serif"/>
                <w:b w:val="false"/>
                <w:i w:val="false"/>
                <w:caps w:val="false"/>
                <w:smallCaps w:val="false"/>
                <w:sz w:val="20"/>
              </w:rPr>
              <w:t xml:space="preserve"> and </w:t>
            </w:r>
            <w:hyperlink r:id="rId16">
              <w:r>
                <w:rPr>
                  <w:rStyle w:val="InternetLink"/>
                  <w:rFonts w:ascii="Times New Roman;Times;Serif" w:hAnsi="Times New Roman;Times;Serif"/>
                  <w:b w:val="false"/>
                  <w:i w:val="false"/>
                  <w:caps w:val="false"/>
                  <w:smallCaps w:val="false"/>
                  <w:sz w:val="20"/>
                </w:rPr>
                <w:t>October 31, 2024</w:t>
              </w:r>
            </w:hyperlink>
            <w:r>
              <w:rPr>
                <w:rFonts w:ascii="Times New Roman;Times;Serif" w:hAnsi="Times New Roman;Times;Serif"/>
                <w:b w:val="false"/>
                <w:i w:val="false"/>
                <w:caps w:val="false"/>
                <w:smallCaps w:val="false"/>
                <w:sz w:val="20"/>
              </w:rPr>
              <w:t xml:space="preserve"> respectively; </w:t>
            </w:r>
          </w:p>
          <w:p>
            <w:pPr>
              <w:pStyle w:val="TableContents"/>
              <w:bidi w:val="0"/>
              <w:spacing w:before="0" w:after="0"/>
              <w:ind w:left="0" w:right="0" w:hanging="0"/>
              <w:jc w:val="both"/>
              <w:rPr>
                <w:caps w:val="false"/>
                <w:smallCaps w:val="false"/>
              </w:rPr>
            </w:pPr>
            <w:r>
              <w:rPr>
                <w:caps w:val="false"/>
                <w:smallCaps w:val="false"/>
              </w:rPr>
              <w:t> </w:t>
            </w:r>
          </w:p>
        </w:tc>
      </w:tr>
      <w:tr>
        <w:trPr/>
        <w:tc>
          <w:tcPr>
            <w:tcW w:w="23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pPr>
            <w:r>
              <w:rPr>
                <w:rFonts w:ascii="Times New Roman;Times;Serif" w:hAnsi="Times New Roman;Times;Serif"/>
                <w:sz w:val="20"/>
              </w:rPr>
              <w:t xml:space="preserve">The Registrant’s Current Reports on Form 8-K filed with the SEC on </w:t>
            </w:r>
            <w:hyperlink r:id="rId17">
              <w:r>
                <w:rPr>
                  <w:rStyle w:val="InternetLink"/>
                  <w:rFonts w:ascii="Times New Roman;Times;Serif" w:hAnsi="Times New Roman;Times;Serif"/>
                  <w:sz w:val="20"/>
                </w:rPr>
                <w:t>March 5, 2024</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May 23, 2024</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June 17, 2024</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July 2, 2024</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August 12, 2024</w:t>
              </w:r>
            </w:hyperlink>
            <w:r>
              <w:rPr>
                <w:rFonts w:ascii="Times New Roman;Times;Serif" w:hAnsi="Times New Roman;Times;Serif"/>
                <w:sz w:val="20"/>
              </w:rPr>
              <w:t xml:space="preserve"> and </w:t>
            </w:r>
            <w:hyperlink r:id="rId22">
              <w:r>
                <w:rPr>
                  <w:rStyle w:val="InternetLink"/>
                  <w:rFonts w:ascii="Times New Roman;Times;Serif" w:hAnsi="Times New Roman;Times;Serif"/>
                  <w:sz w:val="20"/>
                </w:rPr>
                <w:t>October 9, 2024</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283"/>
              <w:jc w:val="both"/>
              <w:rPr/>
            </w:pPr>
            <w:hyperlink r:id="rId23">
              <w:r>
                <w:rPr>
                  <w:rStyle w:val="InternetLink"/>
                  <w:rFonts w:ascii="Times New Roman;Times;Serif" w:hAnsi="Times New Roman;Times;Serif"/>
                  <w:sz w:val="20"/>
                </w:rPr>
                <w:t>The information specifically incorporated by reference into the Registrant’s Annual Report on Form 10-K from the Registrant’s Definitive Proxy Statement on Schedule 14A, filed with the SEC on April 29, 2024; and</w:t>
              </w:r>
            </w:hyperlink>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w:t>
            </w:r>
          </w:p>
        </w:tc>
        <w:tc>
          <w:tcPr>
            <w:tcW w:w="10009" w:type="dxa"/>
            <w:tcBorders/>
            <w:vAlign w:val="center"/>
          </w:tcPr>
          <w:p>
            <w:pPr>
              <w:pStyle w:val="TableContents"/>
              <w:bidi w:val="0"/>
              <w:spacing w:before="0" w:after="283"/>
              <w:jc w:val="both"/>
              <w:rPr/>
            </w:pPr>
            <w:r>
              <w:rPr>
                <w:rFonts w:ascii="Times New Roman;Times;Serif" w:hAnsi="Times New Roman;Times;Serif"/>
                <w:sz w:val="20"/>
              </w:rPr>
              <w:t>The description of the Registrant’s Common Stock contained in the Registrant’s registration statement on </w:t>
            </w:r>
            <w:hyperlink r:id="rId24">
              <w:r>
                <w:rPr>
                  <w:rStyle w:val="InternetLink"/>
                  <w:rFonts w:ascii="Times New Roman;Times;Serif" w:hAnsi="Times New Roman;Times;Serif"/>
                  <w:sz w:val="20"/>
                </w:rPr>
                <w:t>Form 8-A (File No. 001-36485), filed by the Registrant with the SEC under Section 12 of the Securities Exchange Act of 1934, as amended (the “Exchange Act”), on June 9, 2014</w:t>
              </w:r>
            </w:hyperlink>
            <w:r>
              <w:rPr>
                <w:rFonts w:ascii="Times New Roman;Times;Serif" w:hAnsi="Times New Roman;Times;Serif"/>
                <w:sz w:val="20"/>
              </w:rPr>
              <w:t>, as amended by the description of the Registrant’s Common Stock contained in </w:t>
            </w:r>
            <w:hyperlink r:id="rId25">
              <w:r>
                <w:rPr>
                  <w:rStyle w:val="InternetLink"/>
                  <w:rFonts w:ascii="Times New Roman;Times;Serif" w:hAnsi="Times New Roman;Times;Serif"/>
                  <w:sz w:val="20"/>
                </w:rPr>
                <w:t>Exhibit 4.4 to the Registrant’s Annual Report on Form 10-K for the fiscal year ended December 31, 2020, filed on March 8, 2021,</w:t>
              </w:r>
            </w:hyperlink>
            <w:r>
              <w:rPr>
                <w:rFonts w:ascii="Times New Roman;Times;Serif" w:hAnsi="Times New Roman;Times;Serif"/>
                <w:sz w:val="20"/>
              </w:rPr>
              <w:t xml:space="preserve"> including any amendments or reports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the Registrant subsequently files pursuant to Sections 13(a), 13(c), 14 and 15(d) of the Exchange Act prior to the filing of a post-effective amendment to the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 except as to any portion of any future annual or quarterly report to stockholders, or document or current report furnished under any current or future items of Form 8-K (including current Items 2.02 and 7.01, and exhibits furnished on such form that relate to such items), in each case, that is not deemed filed under such provisions. 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will any information filed under current Items 2.02 or 7.01 of Form 8-K, and exhibits furnished on such form that relate to such items, be deemed incorporated herein by reference unless such Form 8-K expressly provides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w:t>
      </w:r>
      <w:r>
        <w:rPr>
          <w:rFonts w:ascii="Times New Roman;Times;Serif" w:hAnsi="Times New Roman;Times;Serif"/>
          <w:b/>
          <w:i w:val="false"/>
          <w:caps w:val="false"/>
          <w:smallCaps w:val="false"/>
          <w:sz w:val="20"/>
          <w:u w:val="single"/>
        </w:rPr>
        <w:t>Description of Securities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w:t>
      </w:r>
      <w:r>
        <w:rPr>
          <w:rFonts w:ascii="Times New Roman;Times;Serif" w:hAnsi="Times New Roman;Times;Serif"/>
          <w:b/>
          <w:i w:val="false"/>
          <w:caps w:val="false"/>
          <w:smallCaps w:val="false"/>
          <w:sz w:val="20"/>
          <w:u w:val="single"/>
        </w:rPr>
        <w:t>Interests of Named Experts and Counsel</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w:t>
      </w:r>
      <w:r>
        <w:rPr>
          <w:rFonts w:ascii="Times New Roman;Times;Serif" w:hAnsi="Times New Roman;Times;Serif"/>
          <w:b/>
          <w:i w:val="false"/>
          <w:caps w:val="false"/>
          <w:smallCaps w:val="false"/>
          <w:sz w:val="20"/>
          <w:u w:val="single"/>
        </w:rPr>
        <w:t>Indemnification of Directors and Officers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102 of the Delaware General Corporation Law, we have adopted provisions in our amended and restated certificate of incorporation and bylaws that limit or eliminate the personal liability of our directors for a breach of their fiduciary duties of care as directors.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breach of the director’s duty of loyalty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9055" w:type="dxa"/>
        <w:jc w:val="left"/>
        <w:tblInd w:w="0" w:type="dxa"/>
        <w:tblLayout w:type="fixed"/>
        <w:tblCellMar>
          <w:top w:w="0" w:type="dxa"/>
          <w:left w:w="0" w:type="dxa"/>
          <w:bottom w:w="0" w:type="dxa"/>
          <w:right w:w="0" w:type="dxa"/>
        </w:tblCellMar>
      </w:tblPr>
      <w:tblGrid>
        <w:gridCol w:w="75"/>
        <w:gridCol w:w="170"/>
        <w:gridCol w:w="88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related to unlawful stock repurchases, redemptions or other distributions or payment of dividends; or</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transaction from which the director derived an improper personal benefit.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Section 145 of the Delaware General Corporation Law, our amended and restated bylaws provide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indemnify our directors, officers and employees to the fullest extent permitted by the Delaware General Corporation Law, subject to limited exceptions;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advance expenses to our directors, officers and employees in connection with a legal proceeding to the fullest extent permitted by the Delaware General Corporation Law, subject to limited exceptions; and</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75"/>
        <w:gridCol w:w="170"/>
        <w:gridCol w:w="59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rights provided in our amended and restated bylaws are not exclusive.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provide for the indemnification provisions described above and elsewhere herein. We have also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 </w:t>
      </w:r>
      <w:r>
        <w:rPr>
          <w:rFonts w:ascii="Times New Roman;Times;Serif" w:hAnsi="Times New Roman;Times;Serif"/>
          <w:b/>
          <w:i w:val="false"/>
          <w:caps w:val="false"/>
          <w:smallCaps w:val="false"/>
          <w:sz w:val="20"/>
          <w:u w:val="single"/>
        </w:rPr>
        <w:t>Exemption from Registration Claimed</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w:t>
      </w:r>
      <w:r>
        <w:rPr>
          <w:rFonts w:ascii="Times New Roman;Times;Serif" w:hAnsi="Times New Roman;Times;Serif"/>
          <w:b/>
          <w:i w:val="false"/>
          <w:caps w:val="false"/>
          <w:smallCaps w:val="false"/>
          <w:sz w:val="20"/>
          <w:u w:val="single"/>
        </w:rPr>
        <w:t>Exhibits</w:t>
      </w:r>
      <w:r>
        <w:rPr>
          <w:rFonts w:ascii="Times New Roman;Times;Serif" w:hAnsi="Times New Roman;Times;Serif"/>
          <w:b/>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725"/>
        <w:gridCol w:w="60"/>
        <w:gridCol w:w="5890"/>
        <w:gridCol w:w="60"/>
        <w:gridCol w:w="500"/>
        <w:gridCol w:w="60"/>
        <w:gridCol w:w="1264"/>
        <w:gridCol w:w="60"/>
        <w:gridCol w:w="710"/>
        <w:gridCol w:w="60"/>
        <w:gridCol w:w="816"/>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94"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 Reference</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r>
              <w:rPr/>
              <w:t> </w:t>
            </w:r>
          </w:p>
        </w:tc>
      </w:tr>
      <w:tr>
        <w:trPr/>
        <w:tc>
          <w:tcPr>
            <w:tcW w:w="72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589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vAlign w:val="center"/>
          </w:tcPr>
          <w:p>
            <w:pPr>
              <w:pStyle w:val="TableContents"/>
              <w:bidi w:val="0"/>
              <w:spacing w:before="0" w:after="283"/>
              <w:jc w:val="left"/>
              <w:rPr/>
            </w:pPr>
            <w:r>
              <w:rPr/>
              <w:t> </w:t>
            </w:r>
          </w:p>
        </w:tc>
        <w:tc>
          <w:tcPr>
            <w:tcW w:w="50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Form</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126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c>
          <w:tcPr>
            <w:tcW w:w="60" w:type="dxa"/>
            <w:tcBorders>
              <w:top w:val="single" w:sz="8" w:space="0" w:color="000000"/>
            </w:tcBorders>
            <w:tcMar>
              <w:top w:w="28"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pPr>
            <w:r>
              <w:rPr/>
              <w:t> </w:t>
            </w:r>
          </w:p>
        </w:tc>
        <w:tc>
          <w:tcPr>
            <w:tcW w:w="81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25"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rPr>
                <w:t>Amended and Restated Certificate of Incorporation.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28">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hyperlink r:id="rId29">
              <w:r>
                <w:rPr>
                  <w:rStyle w:val="InternetLink"/>
                  <w:rFonts w:ascii="Times New Roman;Times;Serif" w:hAnsi="Times New Roman;Times;Serif"/>
                  <w:sz w:val="20"/>
                </w:rPr>
                <w:t>June 24,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30">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Certificate of Amendment to Amended and Restated Certificate of Incorporation.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33">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hyperlink r:id="rId34">
              <w:r>
                <w:rPr>
                  <w:rStyle w:val="InternetLink"/>
                  <w:rFonts w:ascii="Times New Roman;Times;Serif" w:hAnsi="Times New Roman;Times;Serif"/>
                  <w:sz w:val="20"/>
                </w:rPr>
                <w:t>June 20, 2023</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35">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36">
              <w:r>
                <w:rPr>
                  <w:rStyle w:val="InternetLink"/>
                  <w:rFonts w:ascii="Times New Roman;Times;Serif" w:hAnsi="Times New Roman;Times;Serif"/>
                  <w:sz w:val="20"/>
                </w:rPr>
                <w:t>4.3</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r:id="rId37">
              <w:r>
                <w:rPr>
                  <w:rStyle w:val="InternetLink"/>
                  <w:rFonts w:ascii="Times New Roman;Times;Serif" w:hAnsi="Times New Roman;Times;Serif"/>
                  <w:sz w:val="20"/>
                </w:rPr>
                <w:t>Amended and Restated Bylaws.</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38">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hyperlink r:id="rId39">
              <w:r>
                <w:rPr>
                  <w:rStyle w:val="InternetLink"/>
                  <w:rFonts w:ascii="Times New Roman;Times;Serif" w:hAnsi="Times New Roman;Times;Serif"/>
                  <w:sz w:val="20"/>
                </w:rPr>
                <w:t>June 24,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40">
              <w:r>
                <w:rPr>
                  <w:rStyle w:val="InternetLink"/>
                  <w:rFonts w:ascii="Times New Roman;Times;Serif" w:hAnsi="Times New Roman;Times;Serif"/>
                  <w:sz w:val="20"/>
                </w:rPr>
                <w:t>3.2</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41">
              <w:r>
                <w:rPr>
                  <w:rStyle w:val="InternetLink"/>
                  <w:rFonts w:ascii="Times New Roman;Times;Serif" w:hAnsi="Times New Roman;Times;Serif"/>
                  <w:sz w:val="20"/>
                </w:rPr>
                <w:t>4.4</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Form of Common Stock Certificate.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43">
              <w:r>
                <w:rPr>
                  <w:rStyle w:val="InternetLink"/>
                  <w:rFonts w:ascii="Times New Roman;Times;Serif" w:hAnsi="Times New Roman;Times;Serif"/>
                  <w:sz w:val="20"/>
                </w:rPr>
                <w:t>S-1/A</w:t>
              </w:r>
            </w:hyperlink>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hyperlink r:id="rId44">
              <w:r>
                <w:rPr>
                  <w:rStyle w:val="InternetLink"/>
                  <w:rFonts w:ascii="Times New Roman;Times;Serif" w:hAnsi="Times New Roman;Times;Serif"/>
                  <w:sz w:val="20"/>
                </w:rPr>
                <w:t>June 18, 2014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45">
              <w:r>
                <w:rPr>
                  <w:rStyle w:val="InternetLink"/>
                  <w:rFonts w:ascii="Times New Roman;Times;Serif" w:hAnsi="Times New Roman;Times;Serif"/>
                  <w:sz w:val="20"/>
                </w:rPr>
                <w:t>4.2</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427403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w:anchor="tm2427403d1_ex5-1.htm">
              <w:r>
                <w:rPr>
                  <w:rStyle w:val="InternetLink"/>
                  <w:rFonts w:ascii="Times New Roman;Times;Serif" w:hAnsi="Times New Roman;Times;Serif"/>
                  <w:sz w:val="20"/>
                </w:rPr>
                <w:t>Opinion of Latham &amp; Watkins LLP.</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tm2427403d1_ex5-1.htm">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w:anchor="tm2427403d1_ex23-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w:anchor="tm2427403d1_ex23-1.htm">
              <w:r>
                <w:rPr>
                  <w:rStyle w:val="InternetLink"/>
                  <w:rFonts w:ascii="Times New Roman;Times;Serif" w:hAnsi="Times New Roman;Times;Serif"/>
                  <w:sz w:val="20"/>
                </w:rPr>
                <w:t>Consent of Independent Registered Public Accounting Firm.</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tm2427403d1_ex23-1.htm">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w:anchor="tm2427403d1_ex5-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w:anchor="tm2427403d1_ex5-1.htm">
              <w:r>
                <w:rPr>
                  <w:rStyle w:val="InternetLink"/>
                  <w:rFonts w:ascii="Times New Roman;Times;Serif" w:hAnsi="Times New Roman;Times;Serif"/>
                  <w:sz w:val="20"/>
                </w:rPr>
                <w:t>Consent of Latham &amp; Watkins LLP (included in Exhibit 5.1).</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tm2427403d1_ex5-1.htm">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w:anchor="m1">
              <w:r>
                <w:rPr>
                  <w:rStyle w:val="InternetLink"/>
                  <w:rFonts w:ascii="Times New Roman;Times;Serif" w:hAnsi="Times New Roman;Times;Serif"/>
                  <w:sz w:val="20"/>
                </w:rPr>
                <w:t>24.1</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w:anchor="m1">
              <w:r>
                <w:rPr>
                  <w:rStyle w:val="InternetLink"/>
                  <w:rFonts w:ascii="Times New Roman;Times;Serif" w:hAnsi="Times New Roman;Times;Serif"/>
                  <w:sz w:val="20"/>
                </w:rPr>
                <w:t>Power of Attorney (included on signature page hereto).</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center"/>
              <w:rPr/>
            </w:pPr>
            <w:hyperlink w:anchor="m1">
              <w:r>
                <w:rPr>
                  <w:rStyle w:val="InternetLink"/>
                  <w:rFonts w:ascii="Times New Roman;Times;Serif" w:hAnsi="Times New Roman;Times;Serif"/>
                  <w:sz w:val="20"/>
                </w:rPr>
                <w:t>X</w:t>
              </w:r>
            </w:hyperlink>
          </w:p>
        </w:tc>
      </w:tr>
      <w:tr>
        <w:trPr/>
        <w:tc>
          <w:tcPr>
            <w:tcW w:w="725" w:type="dxa"/>
            <w:tcBorders/>
            <w:vAlign w:val="center"/>
          </w:tcPr>
          <w:p>
            <w:pPr>
              <w:pStyle w:val="TableContents"/>
              <w:bidi w:val="0"/>
              <w:spacing w:before="0" w:after="283"/>
              <w:jc w:val="left"/>
              <w:rPr/>
            </w:pPr>
            <w:hyperlink r:id="rId46">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r:id="rId47">
              <w:r>
                <w:rPr>
                  <w:rStyle w:val="InternetLink"/>
                  <w:rFonts w:ascii="Times New Roman;Times;Serif" w:hAnsi="Times New Roman;Times;Serif"/>
                  <w:sz w:val="20"/>
                </w:rPr>
                <w:t>Ardelyx, Inc. Amended and Restated 2014 Equity Incentive Award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48">
              <w:r>
                <w:rPr>
                  <w:rStyle w:val="InternetLink"/>
                  <w:rFonts w:ascii="Times New Roman;Times;Serif" w:hAnsi="Times New Roman;Times;Serif"/>
                  <w:sz w:val="20"/>
                </w:rPr>
                <w:t>8-K</w:t>
              </w:r>
            </w:hyperlink>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hyperlink r:id="rId49">
              <w:r>
                <w:rPr>
                  <w:rStyle w:val="InternetLink"/>
                  <w:rFonts w:ascii="Times New Roman;Times;Serif" w:hAnsi="Times New Roman;Times;Serif"/>
                  <w:sz w:val="20"/>
                </w:rPr>
                <w:t>June 17, 2024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50">
              <w:r>
                <w:rPr>
                  <w:rStyle w:val="InternetLink"/>
                  <w:rFonts w:ascii="Times New Roman;Times;Serif" w:hAnsi="Times New Roman;Times;Serif"/>
                  <w:sz w:val="20"/>
                </w:rPr>
                <w:t>10.1</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51">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r:id="rId52">
              <w:r>
                <w:rPr>
                  <w:rStyle w:val="InternetLink"/>
                  <w:rFonts w:ascii="Times New Roman;Times;Serif" w:hAnsi="Times New Roman;Times;Serif"/>
                  <w:sz w:val="20"/>
                </w:rPr>
                <w:t>Ardelyx, Inc. Amended and Restated 2014 Employee Stock Purchase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hyperlink r:id="rId53">
              <w:r>
                <w:rPr>
                  <w:rStyle w:val="InternetLink"/>
                  <w:rFonts w:ascii="Times New Roman;Times;Serif" w:hAnsi="Times New Roman;Times;Serif"/>
                </w:rPr>
                <w:t>8-K</w:t>
              </w:r>
            </w:hyperlink>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hyperlink r:id="rId54">
              <w:r>
                <w:rPr>
                  <w:rStyle w:val="InternetLink"/>
                  <w:rFonts w:ascii="Times New Roman;Times;Serif" w:hAnsi="Times New Roman;Times;Serif"/>
                </w:rPr>
                <w:t>June 17, 2024</w:t>
              </w:r>
            </w:hyperlink>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hyperlink r:id="rId55">
              <w:r>
                <w:rPr>
                  <w:rStyle w:val="InternetLink"/>
                  <w:rFonts w:ascii="Times New Roman;Times;Serif" w:hAnsi="Times New Roman;Times;Serif"/>
                </w:rPr>
                <w:t>10.2</w:t>
              </w:r>
            </w:hyperlink>
          </w:p>
        </w:tc>
        <w:tc>
          <w:tcPr>
            <w:tcW w:w="60"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w:anchor="tm2427403d1_ex-filingfees.htm">
              <w:r>
                <w:rPr>
                  <w:rStyle w:val="InternetLink"/>
                  <w:rFonts w:ascii="Times New Roman;Times;Serif" w:hAnsi="Times New Roman;Times;Serif"/>
                  <w:sz w:val="20"/>
                </w:rPr>
                <w:t>107.1</w:t>
              </w:r>
            </w:hyperlink>
          </w:p>
        </w:tc>
        <w:tc>
          <w:tcPr>
            <w:tcW w:w="60" w:type="dxa"/>
            <w:tcBorders/>
            <w:vAlign w:val="center"/>
          </w:tcPr>
          <w:p>
            <w:pPr>
              <w:pStyle w:val="TableContents"/>
              <w:bidi w:val="0"/>
              <w:spacing w:before="0" w:after="283"/>
              <w:jc w:val="left"/>
              <w:rPr/>
            </w:pPr>
            <w:r>
              <w:rPr/>
              <w:t> </w:t>
            </w:r>
          </w:p>
        </w:tc>
        <w:tc>
          <w:tcPr>
            <w:tcW w:w="5890" w:type="dxa"/>
            <w:tcBorders/>
            <w:vAlign w:val="center"/>
          </w:tcPr>
          <w:p>
            <w:pPr>
              <w:pStyle w:val="TableContents"/>
              <w:bidi w:val="0"/>
              <w:spacing w:before="0" w:after="283"/>
              <w:jc w:val="left"/>
              <w:rPr/>
            </w:pPr>
            <w:hyperlink w:anchor="tm2427403d1_ex-filingfees.htm">
              <w:r>
                <w:rPr>
                  <w:rStyle w:val="InternetLink"/>
                  <w:rFonts w:ascii="Times New Roman;Times;Serif" w:hAnsi="Times New Roman;Times;Serif"/>
                  <w:sz w:val="20"/>
                </w:rPr>
                <w:t>Filing Fee Table.</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6" w:type="dxa"/>
            <w:tcBorders/>
            <w:vAlign w:val="center"/>
          </w:tcPr>
          <w:p>
            <w:pPr>
              <w:pStyle w:val="TableContents"/>
              <w:bidi w:val="0"/>
              <w:spacing w:before="0" w:after="283"/>
              <w:jc w:val="center"/>
              <w:rPr/>
            </w:pPr>
            <w:hyperlink w:anchor="tm2427403d1_ex-filingfees.htm">
              <w:r>
                <w:rPr>
                  <w:rStyle w:val="InternetLink"/>
                  <w:rFonts w:ascii="Times New Roman;Times;Serif" w:hAnsi="Times New Roman;Times;Serif"/>
                  <w:sz w:val="20"/>
                </w:rPr>
                <w:t>X</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#Indicates management contract or compensatory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 </w:t>
      </w:r>
      <w:r>
        <w:rPr>
          <w:rFonts w:ascii="Times New Roman;Times;Serif" w:hAnsi="Times New Roman;Times;Serif"/>
          <w:b/>
          <w:i w:val="false"/>
          <w:caps w:val="false"/>
          <w:smallCaps w:val="false"/>
          <w:sz w:val="20"/>
          <w:u w:val="single"/>
        </w:rPr>
        <w:t>Undertakings</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and (a)(1)(ii) do not apply if the registration statement is on Form S-8 and the information required to be included in a post-effective amendment by those paragraphs is contained in periodic reports filed with or furnished to the SEC by the Registrant pursuant to Section 13 or 15(d) of the Exchange Act that are incorporated by reference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remove from registration by means of a post-effective amendment any of the securities being registered which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m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Waltham, Massachusetts, on November 5, 2024.</w:t>
      </w:r>
    </w:p>
    <w:p>
      <w:pPr>
        <w:pStyle w:val="TextBody"/>
        <w:bidi w:val="0"/>
        <w:spacing w:before="0" w:after="0"/>
        <w:ind w:left="0" w:right="0" w:hanging="0"/>
        <w:jc w:val="left"/>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560"/>
        <w:gridCol w:w="3080"/>
        <w:gridCol w:w="75"/>
      </w:tblGrid>
      <w:tr>
        <w:trPr/>
        <w:tc>
          <w:tcPr>
            <w:tcW w:w="364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ARDELYX,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Raab</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Raab</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constitutes and appoints Michael Raab, Justin Renz and Elizabeth Grammer, and each of them, as attorneys-in-fact, each with the power of 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SEC,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such attorneys-in-fact and agents or any of them, or their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180"/>
        <w:gridCol w:w="60"/>
        <w:gridCol w:w="3155"/>
        <w:gridCol w:w="60"/>
        <w:gridCol w:w="1535"/>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1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Raab</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Chief Executive Officer and</w:t>
              <w:br/>
              <w:t>Director</w:t>
              <w:b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153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Michael Raab</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Justin Renz</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and Operations Officer</w:t>
              <w:br/>
              <w:t>(</w:t>
            </w:r>
            <w:r>
              <w:rPr>
                <w:rFonts w:ascii="Times New Roman;Times;Serif" w:hAnsi="Times New Roman;Times;Serif"/>
                <w:i/>
                <w:sz w:val="20"/>
              </w:rPr>
              <w:t>principal financial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153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Justin Renz</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Robert Felsch</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Accounting Officer</w:t>
              <w:br/>
              <w:t>(</w:t>
            </w:r>
            <w:r>
              <w:rPr>
                <w:rFonts w:ascii="Times New Roman;Times;Serif" w:hAnsi="Times New Roman;Times;Serif"/>
                <w:i/>
                <w:sz w:val="20"/>
              </w:rPr>
              <w:t>principal accounting officer</w:t>
            </w:r>
            <w:r>
              <w:rPr>
                <w:rFonts w:ascii="Times New Roman;Times;Serif" w:hAnsi="Times New Roman;Times;Serif"/>
                <w:sz w:val="20"/>
              </w:rPr>
              <w:t>)</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 Felsch</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David Mott</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tcMar>
              <w:bottom w:w="0" w:type="dxa"/>
            </w:tcMar>
            <w:vAlign w:val="center"/>
          </w:tcPr>
          <w:p>
            <w:pPr>
              <w:pStyle w:val="TableContents"/>
              <w:bidi w:val="0"/>
              <w:spacing w:before="0" w:after="283"/>
              <w:jc w:val="center"/>
              <w:rPr/>
            </w:pPr>
            <w:r>
              <w:rPr/>
              <w:t> </w:t>
            </w:r>
          </w:p>
        </w:tc>
        <w:tc>
          <w:tcPr>
            <w:tcW w:w="153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David Mott</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Robert Bazemore</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3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 Bazemore</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William Bertrand, Jr.</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3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William Bertrand, Jr.</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Muna Bhanji</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Muna Bhanji, R.Ph</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Onaiza Cadoret-Manier</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3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Onaiza Cadoret-Manier</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Richard Rodgers</w:t>
            </w:r>
          </w:p>
        </w:tc>
        <w:tc>
          <w:tcPr>
            <w:tcW w:w="60" w:type="dxa"/>
            <w:tcBorders/>
            <w:tcMar>
              <w:bottom w:w="0" w:type="dxa"/>
            </w:tcMar>
            <w:vAlign w:val="center"/>
          </w:tcPr>
          <w:p>
            <w:pPr>
              <w:pStyle w:val="TableContents"/>
              <w:bidi w:val="0"/>
              <w:spacing w:before="0" w:after="283"/>
              <w:jc w:val="center"/>
              <w:rPr/>
            </w:pPr>
            <w:r>
              <w:rPr/>
              <w:t> </w:t>
            </w:r>
          </w:p>
        </w:tc>
        <w:tc>
          <w:tcPr>
            <w:tcW w:w="315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53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November 5, 2024</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Richard Rodgers</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r>
        <w:trPr/>
        <w:tc>
          <w:tcPr>
            <w:tcW w:w="21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3155" w:type="dxa"/>
            <w:vMerge w:val="continue"/>
            <w:tcBorders/>
            <w:tcMar>
              <w:bottom w:w="0" w:type="dxa"/>
            </w:tcMar>
            <w:vAlign w:val="center"/>
          </w:tcPr>
          <w:p>
            <w:pPr>
              <w:pStyle w:val="Normal"/>
              <w:bidi w:val="0"/>
              <w:jc w:val="left"/>
              <w:rPr/>
            </w:pPr>
            <w:r>
              <w:rPr/>
            </w:r>
          </w:p>
        </w:tc>
        <w:tc>
          <w:tcPr>
            <w:tcW w:w="60" w:type="dxa"/>
            <w:tcBorders/>
            <w:tcMar>
              <w:bottom w:w="0" w:type="dxa"/>
            </w:tcMar>
            <w:vAlign w:val="center"/>
          </w:tcPr>
          <w:p>
            <w:pPr>
              <w:pStyle w:val="TableContents"/>
              <w:bidi w:val="0"/>
              <w:spacing w:before="0" w:after="283"/>
              <w:jc w:val="center"/>
              <w:rPr/>
            </w:pPr>
            <w:r>
              <w:rPr/>
              <w:t> </w:t>
            </w:r>
          </w:p>
        </w:tc>
        <w:tc>
          <w:tcPr>
            <w:tcW w:w="1535" w:type="dxa"/>
            <w:vMerge w:val="continue"/>
            <w:tcBorders/>
            <w:tcMar>
              <w:bottom w:w="0" w:type="dxa"/>
            </w:tcMar>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427403d1_ex5-1.htm"/>
      <w:bookmarkStart w:id="4" w:name="kstm2427403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7894" w:type="dxa"/>
        <w:jc w:val="left"/>
        <w:tblInd w:w="0" w:type="dxa"/>
        <w:tblLayout w:type="fixed"/>
        <w:tblCellMar>
          <w:top w:w="0" w:type="dxa"/>
          <w:left w:w="0" w:type="dxa"/>
          <w:bottom w:w="0" w:type="dxa"/>
          <w:right w:w="0" w:type="dxa"/>
        </w:tblCellMar>
      </w:tblPr>
      <w:tblGrid>
        <w:gridCol w:w="4260"/>
        <w:gridCol w:w="1558"/>
        <w:gridCol w:w="2076"/>
      </w:tblGrid>
      <w:tr>
        <w:trPr/>
        <w:tc>
          <w:tcPr>
            <w:tcW w:w="4260" w:type="dxa"/>
            <w:tcBorders/>
            <w:vAlign w:val="center"/>
          </w:tcPr>
          <w:p>
            <w:pPr>
              <w:pStyle w:val="TableContents"/>
              <w:bidi w:val="0"/>
              <w:spacing w:before="0" w:after="283"/>
              <w:jc w:val="left"/>
              <w:rPr>
                <w:caps w:val="false"/>
                <w:smallCaps w:val="false"/>
              </w:rPr>
            </w:pPr>
            <w:r>
              <w:rPr>
                <w:caps w:val="false"/>
                <w:smallCaps w:val="false"/>
              </w:rPr>
              <w:t> </w:t>
            </w:r>
          </w:p>
        </w:tc>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Scott Drive</w:t>
              <w:br/>
              <w:t>Menlo Park, California 94025</w:t>
              <w:br/>
              <w:t>Tel: +1.650.328.4600 Fax: +1.650.463.2600</w:t>
              <w:br/>
              <w:t>www.lw.com</w:t>
            </w:r>
          </w:p>
        </w:tc>
      </w:tr>
      <w:tr>
        <w:trPr/>
        <w:tc>
          <w:tcPr>
            <w:tcW w:w="4260" w:type="dxa"/>
            <w:tcBorders/>
            <w:vAlign w:val="center"/>
          </w:tcPr>
          <w:p>
            <w:pPr>
              <w:pStyle w:val="TableContents"/>
              <w:bidi w:val="0"/>
              <w:spacing w:before="0" w:after="283"/>
              <w:jc w:val="left"/>
              <w:rPr>
                <w:caps w:val="false"/>
                <w:smallCaps w:val="false"/>
              </w:rPr>
            </w:pPr>
            <w:r>
              <w:rPr>
                <w:caps w:val="false"/>
                <w:smallCaps w:val="false"/>
              </w:rPr>
              <w:t> </w:t>
            </w:r>
          </w:p>
        </w:tc>
        <w:tc>
          <w:tcPr>
            <w:tcW w:w="363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4260"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70510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6"/>
                          <a:stretch>
                            <a:fillRect/>
                          </a:stretch>
                        </pic:blipFill>
                        <pic:spPr bwMode="auto">
                          <a:xfrm>
                            <a:off x="0" y="0"/>
                            <a:ext cx="2705100" cy="285750"/>
                          </a:xfrm>
                          <a:prstGeom prst="rect">
                            <a:avLst/>
                          </a:prstGeom>
                        </pic:spPr>
                      </pic:pic>
                    </a:graphicData>
                  </a:graphic>
                </wp:inline>
              </w:drawing>
            </w:r>
          </w:p>
        </w:tc>
        <w:tc>
          <w:tcPr>
            <w:tcW w:w="363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FIRM / AFFILIATE OFFICES</w:t>
            </w:r>
          </w:p>
        </w:tc>
      </w:tr>
      <w:tr>
        <w:trPr/>
        <w:tc>
          <w:tcPr>
            <w:tcW w:w="4260" w:type="dxa"/>
            <w:tcBorders/>
            <w:vAlign w:val="center"/>
          </w:tcPr>
          <w:p>
            <w:pPr>
              <w:pStyle w:val="TableContents"/>
              <w:bidi w:val="0"/>
              <w:spacing w:before="0" w:after="283"/>
              <w:jc w:val="left"/>
              <w:rPr>
                <w:caps w:val="false"/>
                <w:smallCaps w:val="false"/>
              </w:rPr>
            </w:pPr>
            <w:r>
              <w:rPr>
                <w:caps w:val="false"/>
                <w:smallCaps w:val="false"/>
              </w:rPr>
              <w:t> </w:t>
            </w:r>
          </w:p>
        </w:tc>
        <w:tc>
          <w:tcPr>
            <w:tcW w:w="15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Austin</w:t>
              <w:br/>
              <w:t>Beijing</w:t>
              <w:br/>
              <w:t>Boston</w:t>
              <w:br/>
              <w:t xml:space="preserve">Brussels </w:t>
              <w:br/>
              <w:t xml:space="preserve">Century City </w:t>
              <w:br/>
              <w:t xml:space="preserve">Chicago </w:t>
              <w:br/>
              <w:t xml:space="preserve">Dubai </w:t>
              <w:br/>
              <w:t xml:space="preserve">Düsseldorf </w:t>
              <w:br/>
              <w:t xml:space="preserve">Frankfurt </w:t>
              <w:br/>
              <w:t xml:space="preserve">Hamburg </w:t>
              <w:br/>
              <w:t xml:space="preserve">Hong Kong </w:t>
              <w:br/>
              <w:t xml:space="preserve">Houston </w:t>
              <w:br/>
              <w:t xml:space="preserve">London </w:t>
              <w:br/>
              <w:t xml:space="preserve">Los Angeles </w:t>
              <w:br/>
              <w:t>Madrid</w:t>
            </w:r>
          </w:p>
        </w:tc>
        <w:tc>
          <w:tcPr>
            <w:tcW w:w="20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Milan </w:t>
              <w:br/>
              <w:t xml:space="preserve">Munich </w:t>
              <w:br/>
              <w:t xml:space="preserve">New York </w:t>
              <w:br/>
              <w:t xml:space="preserve">Orange County </w:t>
              <w:br/>
              <w:t xml:space="preserve">Paris </w:t>
              <w:br/>
              <w:t xml:space="preserve">Riyadh </w:t>
              <w:br/>
              <w:t xml:space="preserve">San Diego </w:t>
              <w:br/>
              <w:t xml:space="preserve">San Francisco </w:t>
              <w:br/>
              <w:t xml:space="preserve">Seoul </w:t>
              <w:br/>
              <w:t xml:space="preserve">Silicon Valley </w:t>
              <w:br/>
              <w:t xml:space="preserve">Singapore </w:t>
              <w:br/>
              <w:t xml:space="preserve">Tel Aviv </w:t>
              <w:br/>
              <w:t xml:space="preserve">Tokyo </w:t>
              <w:br/>
              <w:t xml:space="preserve">Washington, D.C.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5,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Ardelyx,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 Fifth Avenue, Suite 210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32081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64"/>
        <w:gridCol w:w="9804"/>
      </w:tblGrid>
      <w:tr>
        <w:trPr/>
        <w:tc>
          <w:tcPr>
            <w:tcW w:w="3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b/>
              </w:rPr>
            </w:pPr>
            <w:r>
              <w:rPr>
                <w:b/>
              </w:rPr>
              <w:t>Re:</w:t>
            </w:r>
          </w:p>
        </w:tc>
        <w:tc>
          <w:tcPr>
            <w:tcW w:w="9804" w:type="dxa"/>
            <w:tcBorders/>
            <w:vAlign w:val="center"/>
          </w:tcPr>
          <w:p>
            <w:pPr>
              <w:pStyle w:val="TableContents"/>
              <w:bidi w:val="0"/>
              <w:spacing w:before="0" w:after="283"/>
              <w:jc w:val="left"/>
              <w:rPr>
                <w:b/>
                <w:u w:val="single"/>
              </w:rPr>
            </w:pPr>
            <w:r>
              <w:rPr>
                <w:b/>
                <w:u w:val="single"/>
              </w:rPr>
              <w:t>Registration Statement on Form S-8; 29,781,752 shares of Common Stock of Ardelyx, Inc., par value $0.0001 per share</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Ardelyx,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registration by the Company of 29,781,752 shares of common stock of the Company, par value $0.0001 per share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issuable under the Company’s Amended and Restated 2014 Equity Incentive Award Plan (the “</w:t>
      </w:r>
      <w:r>
        <w:rPr>
          <w:rFonts w:ascii="Times New Roman;Times;Serif" w:hAnsi="Times New Roman;Times;Serif"/>
          <w:b/>
          <w:i/>
          <w:caps w:val="false"/>
          <w:smallCaps w:val="false"/>
          <w:sz w:val="20"/>
        </w:rPr>
        <w:t>2014 Plan</w:t>
      </w:r>
      <w:r>
        <w:rPr>
          <w:rFonts w:ascii="Times New Roman;Times;Serif" w:hAnsi="Times New Roman;Times;Serif"/>
          <w:b w:val="false"/>
          <w:i w:val="false"/>
          <w:caps w:val="false"/>
          <w:smallCaps w:val="false"/>
          <w:sz w:val="20"/>
        </w:rPr>
        <w:t>”) and Amended and Restated 2014 Employee Stock Purchase Plan, as amended (together with the 2014 Plan, the “</w:t>
      </w:r>
      <w:r>
        <w:rPr>
          <w:rFonts w:ascii="Times New Roman;Times;Serif" w:hAnsi="Times New Roman;Times;Serif"/>
          <w:b/>
          <w:i/>
          <w:caps w:val="false"/>
          <w:smallCaps w:val="false"/>
          <w:sz w:val="20"/>
        </w:rPr>
        <w:t>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are included in a registration statement on Form S-8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November 5, 2024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the related prospectus, other than as expressly stated herein with respect to the issue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 and we express no opinion with respect to any other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November 5, 2024</w:t>
        <w:b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57375" cy="219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7"/>
                    <a:stretch>
                      <a:fillRect/>
                    </a:stretch>
                  </pic:blipFill>
                  <pic:spPr bwMode="auto">
                    <a:xfrm>
                      <a:off x="0" y="0"/>
                      <a:ext cx="1857375" cy="2190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firstLine="720"/>
        <w:jc w:val="both"/>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60"/>
        <w:gridCol w:w="2585"/>
      </w:tblGrid>
      <w:tr>
        <w:trPr/>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Sincerely,</w:t>
            </w:r>
          </w:p>
        </w:tc>
      </w:tr>
      <w:tr>
        <w:trPr/>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85" w:type="dxa"/>
            <w:tcBorders/>
            <w:vAlign w:val="center"/>
          </w:tcPr>
          <w:p>
            <w:pPr>
              <w:pStyle w:val="TableContents"/>
              <w:bidi w:val="0"/>
              <w:spacing w:before="0" w:after="283"/>
              <w:jc w:val="left"/>
              <w:rPr/>
            </w:pPr>
            <w:r>
              <w:rPr/>
              <w:t>/s/ Latham &amp; Watkins LLP</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bookmarkStart w:id="5" w:name="tm2427403d1_ex23-1.htm"/>
      <w:bookmarkStart w:id="6" w:name="kstm2427403d1_ex231"/>
      <w:bookmarkEnd w:id="5"/>
      <w:bookmarkEnd w:id="6"/>
      <w:r>
        <w:rPr/>
        <w:t> </w:t>
      </w:r>
      <w:r>
        <w:br w:type="page"/>
      </w:r>
    </w:p>
    <w:p>
      <w:pPr>
        <w:pStyle w:val="TextBody"/>
        <w:bidi w:val="0"/>
        <w:spacing w:before="0" w:after="0"/>
        <w:ind w:left="0" w:right="0" w:hanging="0"/>
        <w:jc w:val="right"/>
        <w:rPr>
          <w:b/>
        </w:rPr>
      </w:pPr>
      <w:r>
        <w:rPr>
          <w:b/>
        </w:rPr>
        <w:t>Exhibit 23.1</w:t>
      </w:r>
    </w:p>
    <w:p>
      <w:pPr>
        <w:pStyle w:val="TextBody"/>
        <w:bidi w:val="0"/>
        <w:spacing w:before="0" w:after="0"/>
        <w:ind w:left="0" w:right="0" w:hanging="0"/>
        <w:jc w:val="left"/>
        <w:rPr/>
      </w:pPr>
      <w:r>
        <w:rPr/>
        <w:t> </w:t>
      </w:r>
    </w:p>
    <w:p>
      <w:pPr>
        <w:pStyle w:val="TextBody"/>
        <w:bidi w:val="0"/>
        <w:spacing w:before="0" w:after="0"/>
        <w:jc w:val="center"/>
        <w:rPr>
          <w:b/>
        </w:rPr>
      </w:pPr>
      <w:r>
        <w:rPr>
          <w:b/>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both"/>
        <w:rPr/>
      </w:pPr>
      <w:r>
        <w:rPr/>
        <w:t>We consent to the incorporation by reference in the Registration Statement (Form S-8) pertaining to the Amended and Restated 2014 Equity Incentive Award Plan, and the Amended and Restated 2014 Employee Stock Purchase Plan of Ardelyx, Inc. of our reports dated February 22. 2024, with respect to the financial statements of Ardelyx. Inc. and the effectiveness of internal control over financial reporting of Ardelyx. Inc. included in its Annual Report (Form 10-K) for the year ended December 3 1, 2023. filed with the Securities and Exchange Commission.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/s/ Ernst &amp; Young LLP  </w:t>
      </w:r>
    </w:p>
    <w:p>
      <w:pPr>
        <w:pStyle w:val="TextBody"/>
        <w:bidi w:val="0"/>
        <w:spacing w:before="0" w:after="0"/>
        <w:ind w:left="0" w:right="0" w:hanging="0"/>
        <w:jc w:val="left"/>
        <w:rPr/>
      </w:pPr>
      <w:r>
        <w:rPr/>
        <w:t>Boston. Massachusetts</w:t>
      </w:r>
    </w:p>
    <w:p>
      <w:pPr>
        <w:pStyle w:val="TextBody"/>
        <w:bidi w:val="0"/>
        <w:spacing w:before="0" w:after="0"/>
        <w:ind w:left="0" w:right="0" w:hanging="0"/>
        <w:jc w:val="left"/>
        <w:rPr/>
      </w:pPr>
      <w:r>
        <w:rPr/>
        <w:t>November 5. 2024</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bookmarkStart w:id="7" w:name="tm2427403d1_ex-filingfees.htm"/>
      <w:bookmarkStart w:id="8" w:name="kstm2427403d1_exfilingfees"/>
      <w:bookmarkEnd w:id="7"/>
      <w:bookmarkEnd w:id="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Ardelyx,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1: Newly Registered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40" w:type="dxa"/>
          <w:left w:w="40" w:type="dxa"/>
          <w:bottom w:w="35" w:type="dxa"/>
          <w:right w:w="0" w:type="dxa"/>
        </w:tblCellMar>
      </w:tblPr>
      <w:tblGrid>
        <w:gridCol w:w="875"/>
        <w:gridCol w:w="1459"/>
        <w:gridCol w:w="1452"/>
        <w:gridCol w:w="1185"/>
        <w:gridCol w:w="1241"/>
        <w:gridCol w:w="1340"/>
        <w:gridCol w:w="1301"/>
        <w:gridCol w:w="1352"/>
      </w:tblGrid>
      <w:tr>
        <w:trPr/>
        <w:tc>
          <w:tcPr>
            <w:tcW w:w="87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Security</w:t>
              <w:br/>
              <w:t>Type</w:t>
            </w:r>
          </w:p>
        </w:tc>
        <w:tc>
          <w:tcPr>
            <w:tcW w:w="1459"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Security</w:t>
              <w:br/>
              <w:t>Class</w:t>
              <w:br/>
              <w:t>Title</w:t>
            </w:r>
          </w:p>
        </w:tc>
        <w:tc>
          <w:tcPr>
            <w:tcW w:w="1452"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 xml:space="preserve">Fee </w:t>
              <w:br/>
              <w:t>Calculation</w:t>
              <w:br/>
              <w:t>Rule</w:t>
            </w:r>
          </w:p>
        </w:tc>
        <w:tc>
          <w:tcPr>
            <w:tcW w:w="1185"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b/>
              </w:rPr>
              <w:t>Amount</w:t>
              <w:br/>
              <w:t>Registered</w:t>
            </w:r>
            <w:r>
              <w:rPr>
                <w:position w:val="7"/>
                <w:sz w:val="16"/>
                <w:sz w:val="20"/>
              </w:rPr>
              <w:t>(1)</w:t>
            </w:r>
          </w:p>
        </w:tc>
        <w:tc>
          <w:tcPr>
            <w:tcW w:w="124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pPr>
            <w:r>
              <w:rPr>
                <w:b/>
              </w:rPr>
              <w:t>Proposed Maximum</w:t>
              <w:br/>
              <w:t>Offering Price Per</w:t>
              <w:br/>
              <w:t>Unit</w:t>
            </w:r>
            <w:r>
              <w:rPr>
                <w:position w:val="7"/>
                <w:sz w:val="16"/>
                <w:sz w:val="20"/>
              </w:rPr>
              <w:t>(2)</w:t>
            </w:r>
          </w:p>
        </w:tc>
        <w:tc>
          <w:tcPr>
            <w:tcW w:w="134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Maximum</w:t>
              <w:br/>
              <w:t>Aggregate</w:t>
              <w:br/>
              <w:t>Offering</w:t>
              <w:br/>
              <w:t>Price</w:t>
            </w:r>
          </w:p>
        </w:tc>
        <w:tc>
          <w:tcPr>
            <w:tcW w:w="1301"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Fee Rate</w:t>
            </w:r>
          </w:p>
        </w:tc>
        <w:tc>
          <w:tcPr>
            <w:tcW w:w="1352" w:type="dxa"/>
            <w:tcBorders>
              <w:top w:val="single" w:sz="8" w:space="0" w:color="000000"/>
              <w:left w:val="single" w:sz="8" w:space="0" w:color="000000"/>
              <w:bottom w:val="single" w:sz="8" w:space="0" w:color="000000"/>
              <w:right w:val="single" w:sz="8" w:space="0" w:color="000000"/>
            </w:tcBorders>
            <w:tcMar>
              <w:right w:w="40" w:type="dxa"/>
            </w:tcMar>
            <w:vAlign w:val="center"/>
          </w:tcPr>
          <w:p>
            <w:pPr>
              <w:pStyle w:val="TableContents"/>
              <w:bidi w:val="0"/>
              <w:spacing w:before="0" w:after="283"/>
              <w:jc w:val="center"/>
              <w:rPr>
                <w:b/>
              </w:rPr>
            </w:pPr>
            <w:r>
              <w:rPr>
                <w:b/>
              </w:rPr>
              <w:t>Amount of</w:t>
              <w:br/>
              <w:t>Registration Fee</w:t>
            </w:r>
          </w:p>
        </w:tc>
      </w:tr>
      <w:tr>
        <w:trPr/>
        <w:tc>
          <w:tcPr>
            <w:tcW w:w="875" w:type="dxa"/>
            <w:tcBorders>
              <w:left w:val="single" w:sz="8" w:space="0" w:color="000000"/>
              <w:bottom w:val="single" w:sz="8" w:space="0" w:color="000000"/>
            </w:tcBorders>
            <w:tcMar>
              <w:top w:w="0" w:type="dxa"/>
              <w:left w:w="87" w:type="dxa"/>
            </w:tcMar>
            <w:vAlign w:val="center"/>
          </w:tcPr>
          <w:p>
            <w:pPr>
              <w:pStyle w:val="TableContents"/>
              <w:bidi w:val="0"/>
              <w:spacing w:before="0" w:after="283"/>
              <w:jc w:val="left"/>
              <w:rPr/>
            </w:pPr>
            <w:r>
              <w:rPr/>
              <w:t>Equity</w:t>
            </w:r>
          </w:p>
        </w:tc>
        <w:tc>
          <w:tcPr>
            <w:tcW w:w="1459" w:type="dxa"/>
            <w:tcBorders>
              <w:left w:val="single" w:sz="8" w:space="0" w:color="000000"/>
              <w:bottom w:val="single" w:sz="8" w:space="0" w:color="000000"/>
            </w:tcBorders>
            <w:tcMar>
              <w:top w:w="0" w:type="dxa"/>
              <w:left w:w="87" w:type="dxa"/>
            </w:tcMar>
            <w:vAlign w:val="center"/>
          </w:tcPr>
          <w:p>
            <w:pPr>
              <w:pStyle w:val="TableContents"/>
              <w:bidi w:val="0"/>
              <w:spacing w:before="0" w:after="283"/>
              <w:jc w:val="left"/>
              <w:rPr/>
            </w:pPr>
            <w:r>
              <w:rPr/>
              <w:t>Common stock, $0.0001 par value per share</w:t>
            </w:r>
          </w:p>
        </w:tc>
        <w:tc>
          <w:tcPr>
            <w:tcW w:w="1452"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Rule 457(c) and Rule 457(h)</w:t>
            </w:r>
          </w:p>
        </w:tc>
        <w:tc>
          <w:tcPr>
            <w:tcW w:w="1185"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26,348,690</w:t>
            </w:r>
            <w:r>
              <w:rPr>
                <w:position w:val="7"/>
                <w:sz w:val="16"/>
                <w:sz w:val="20"/>
              </w:rPr>
              <w:t>(3)</w:t>
            </w:r>
          </w:p>
        </w:tc>
        <w:tc>
          <w:tcPr>
            <w:tcW w:w="124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$5.905</w:t>
            </w:r>
          </w:p>
        </w:tc>
        <w:tc>
          <w:tcPr>
            <w:tcW w:w="134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$155,589,014</w:t>
            </w:r>
          </w:p>
        </w:tc>
        <w:tc>
          <w:tcPr>
            <w:tcW w:w="130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$153.10 per $1,000,000</w:t>
            </w:r>
          </w:p>
        </w:tc>
        <w:tc>
          <w:tcPr>
            <w:tcW w:w="1352" w:type="dxa"/>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center"/>
              <w:rPr/>
            </w:pPr>
            <w:r>
              <w:rPr/>
              <w:t>$23,820.68</w:t>
            </w:r>
          </w:p>
        </w:tc>
      </w:tr>
      <w:tr>
        <w:trPr/>
        <w:tc>
          <w:tcPr>
            <w:tcW w:w="875" w:type="dxa"/>
            <w:tcBorders>
              <w:left w:val="single" w:sz="8" w:space="0" w:color="000000"/>
              <w:bottom w:val="single" w:sz="8" w:space="0" w:color="000000"/>
            </w:tcBorders>
            <w:tcMar>
              <w:top w:w="0" w:type="dxa"/>
              <w:left w:w="87" w:type="dxa"/>
            </w:tcMar>
            <w:vAlign w:val="center"/>
          </w:tcPr>
          <w:p>
            <w:pPr>
              <w:pStyle w:val="TableContents"/>
              <w:bidi w:val="0"/>
              <w:spacing w:before="0" w:after="283"/>
              <w:jc w:val="left"/>
              <w:rPr/>
            </w:pPr>
            <w:r>
              <w:rPr/>
              <w:t>Equity</w:t>
            </w:r>
          </w:p>
        </w:tc>
        <w:tc>
          <w:tcPr>
            <w:tcW w:w="1459" w:type="dxa"/>
            <w:tcBorders>
              <w:left w:val="single" w:sz="8" w:space="0" w:color="000000"/>
              <w:bottom w:val="single" w:sz="8" w:space="0" w:color="000000"/>
            </w:tcBorders>
            <w:tcMar>
              <w:top w:w="0" w:type="dxa"/>
              <w:left w:w="87" w:type="dxa"/>
              <w:bottom w:w="40" w:type="dxa"/>
            </w:tcMar>
            <w:vAlign w:val="center"/>
          </w:tcPr>
          <w:p>
            <w:pPr>
              <w:pStyle w:val="TableContents"/>
              <w:bidi w:val="0"/>
              <w:spacing w:before="0" w:after="283"/>
              <w:jc w:val="left"/>
              <w:rPr/>
            </w:pPr>
            <w:r>
              <w:rPr/>
              <w:t>Common stock, $0.0001 par value per share</w:t>
            </w:r>
          </w:p>
        </w:tc>
        <w:tc>
          <w:tcPr>
            <w:tcW w:w="1452"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center"/>
              <w:rPr/>
            </w:pPr>
            <w:r>
              <w:rPr/>
              <w:t>Rule 457(c) and Rule 457(h)</w:t>
            </w:r>
          </w:p>
        </w:tc>
        <w:tc>
          <w:tcPr>
            <w:tcW w:w="1185" w:type="dxa"/>
            <w:tcBorders>
              <w:left w:val="single" w:sz="8" w:space="0" w:color="000000"/>
              <w:bottom w:val="single" w:sz="8" w:space="0" w:color="000000"/>
            </w:tcBorders>
            <w:tcMar>
              <w:top w:w="0" w:type="dxa"/>
              <w:bottom w:w="40" w:type="dxa"/>
            </w:tcMar>
            <w:vAlign w:val="center"/>
          </w:tcPr>
          <w:p>
            <w:pPr>
              <w:pStyle w:val="TableContents"/>
              <w:bidi w:val="0"/>
              <w:spacing w:before="0" w:after="283"/>
              <w:jc w:val="center"/>
              <w:rPr/>
            </w:pPr>
            <w:r>
              <w:rPr/>
              <w:t>3,000,000</w:t>
            </w:r>
            <w:r>
              <w:rPr>
                <w:position w:val="7"/>
                <w:sz w:val="16"/>
                <w:sz w:val="20"/>
              </w:rPr>
              <w:t>(4)</w:t>
            </w:r>
          </w:p>
        </w:tc>
        <w:tc>
          <w:tcPr>
            <w:tcW w:w="124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$5.905</w:t>
            </w:r>
          </w:p>
        </w:tc>
        <w:tc>
          <w:tcPr>
            <w:tcW w:w="134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$17,715,000</w:t>
            </w:r>
          </w:p>
        </w:tc>
        <w:tc>
          <w:tcPr>
            <w:tcW w:w="1301"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$153.10 per $1,000,000</w:t>
            </w:r>
          </w:p>
        </w:tc>
        <w:tc>
          <w:tcPr>
            <w:tcW w:w="1352" w:type="dxa"/>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center"/>
              <w:rPr/>
            </w:pPr>
            <w:r>
              <w:rPr/>
              <w:t>$2,712.17</w:t>
            </w:r>
          </w:p>
        </w:tc>
      </w:tr>
      <w:tr>
        <w:trPr/>
        <w:tc>
          <w:tcPr>
            <w:tcW w:w="4971" w:type="dxa"/>
            <w:gridSpan w:val="4"/>
            <w:tcBorders>
              <w:left w:val="single" w:sz="8" w:space="0" w:color="000000"/>
              <w:bottom w:val="single" w:sz="8" w:space="0" w:color="000000"/>
            </w:tcBorders>
            <w:tcMar>
              <w:top w:w="0" w:type="dxa"/>
              <w:bottom w:w="40" w:type="dxa"/>
            </w:tcMar>
            <w:vAlign w:val="center"/>
          </w:tcPr>
          <w:p>
            <w:pPr>
              <w:pStyle w:val="TableContents"/>
              <w:bidi w:val="0"/>
              <w:spacing w:before="0" w:after="283"/>
              <w:jc w:val="center"/>
              <w:rPr>
                <w:b/>
              </w:rPr>
            </w:pPr>
            <w:r>
              <w:rPr>
                <w:b/>
              </w:rPr>
              <w:t>Total Offering Amounts</w:t>
            </w:r>
          </w:p>
        </w:tc>
        <w:tc>
          <w:tcPr>
            <w:tcW w:w="124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40" w:type="dxa"/>
            <w:tcBorders>
              <w:left w:val="single" w:sz="8" w:space="0" w:color="000000"/>
              <w:bottom w:val="single" w:sz="8" w:space="0" w:color="000000"/>
            </w:tcBorders>
            <w:tcMar>
              <w:top w:w="0" w:type="dxa"/>
            </w:tcMar>
            <w:vAlign w:val="center"/>
          </w:tcPr>
          <w:p>
            <w:pPr>
              <w:pStyle w:val="TableContents"/>
              <w:bidi w:val="0"/>
              <w:spacing w:before="0" w:after="283"/>
              <w:jc w:val="center"/>
              <w:rPr/>
            </w:pPr>
            <w:r>
              <w:rPr/>
              <w:t>$173,304,014</w:t>
            </w:r>
          </w:p>
        </w:tc>
        <w:tc>
          <w:tcPr>
            <w:tcW w:w="130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52" w:type="dxa"/>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center"/>
              <w:rPr/>
            </w:pPr>
            <w:r>
              <w:rPr/>
              <w:t>$26,532.85</w:t>
            </w:r>
          </w:p>
        </w:tc>
      </w:tr>
      <w:tr>
        <w:trPr/>
        <w:tc>
          <w:tcPr>
            <w:tcW w:w="4971" w:type="dxa"/>
            <w:gridSpan w:val="4"/>
            <w:tcBorders>
              <w:left w:val="single" w:sz="8" w:space="0" w:color="000000"/>
              <w:bottom w:val="single" w:sz="8" w:space="0" w:color="000000"/>
            </w:tcBorders>
            <w:tcMar>
              <w:top w:w="0" w:type="dxa"/>
              <w:bottom w:w="40" w:type="dxa"/>
            </w:tcMar>
            <w:vAlign w:val="center"/>
          </w:tcPr>
          <w:p>
            <w:pPr>
              <w:pStyle w:val="TableContents"/>
              <w:bidi w:val="0"/>
              <w:spacing w:before="0" w:after="283"/>
              <w:jc w:val="center"/>
              <w:rPr>
                <w:b/>
              </w:rPr>
            </w:pPr>
            <w:r>
              <w:rPr>
                <w:b/>
              </w:rPr>
              <w:t>Total Fee Offsets</w:t>
            </w:r>
          </w:p>
        </w:tc>
        <w:tc>
          <w:tcPr>
            <w:tcW w:w="124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0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52" w:type="dxa"/>
            <w:tcBorders>
              <w:left w:val="single" w:sz="8" w:space="0" w:color="000000"/>
              <w:bottom w:val="single" w:sz="8" w:space="0" w:color="000000"/>
              <w:right w:val="single" w:sz="8" w:space="0" w:color="000000"/>
            </w:tcBorders>
            <w:tcMar>
              <w:top w:w="0" w:type="dxa"/>
              <w:right w:w="40" w:type="dxa"/>
            </w:tcMar>
            <w:vAlign w:val="center"/>
          </w:tcPr>
          <w:p>
            <w:pPr>
              <w:pStyle w:val="TableContents"/>
              <w:bidi w:val="0"/>
              <w:spacing w:before="0" w:after="283"/>
              <w:jc w:val="center"/>
              <w:rPr/>
            </w:pPr>
            <w:r>
              <w:rPr/>
              <w:t>$-</w:t>
            </w:r>
            <w:r>
              <w:rPr>
                <w:position w:val="7"/>
                <w:sz w:val="16"/>
                <w:sz w:val="20"/>
              </w:rPr>
              <w:t>(5)</w:t>
            </w:r>
          </w:p>
        </w:tc>
      </w:tr>
      <w:tr>
        <w:trPr/>
        <w:tc>
          <w:tcPr>
            <w:tcW w:w="4971" w:type="dxa"/>
            <w:gridSpan w:val="4"/>
            <w:tcBorders>
              <w:left w:val="single" w:sz="8" w:space="0" w:color="000000"/>
              <w:bottom w:val="single" w:sz="8" w:space="0" w:color="000000"/>
            </w:tcBorders>
            <w:tcMar>
              <w:top w:w="0" w:type="dxa"/>
              <w:bottom w:w="40" w:type="dxa"/>
            </w:tcMar>
            <w:vAlign w:val="center"/>
          </w:tcPr>
          <w:p>
            <w:pPr>
              <w:pStyle w:val="TableContents"/>
              <w:bidi w:val="0"/>
              <w:spacing w:before="0" w:after="283"/>
              <w:jc w:val="center"/>
              <w:rPr>
                <w:b/>
              </w:rPr>
            </w:pPr>
            <w:r>
              <w:rPr>
                <w:b/>
              </w:rPr>
              <w:t>Net Fee Due</w:t>
            </w:r>
          </w:p>
        </w:tc>
        <w:tc>
          <w:tcPr>
            <w:tcW w:w="124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4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01"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1352" w:type="dxa"/>
            <w:tcBorders>
              <w:left w:val="single" w:sz="8" w:space="0" w:color="000000"/>
              <w:bottom w:val="single" w:sz="8" w:space="0" w:color="000000"/>
              <w:right w:val="single" w:sz="8" w:space="0" w:color="000000"/>
            </w:tcBorders>
            <w:tcMar>
              <w:top w:w="0" w:type="dxa"/>
              <w:bottom w:w="40" w:type="dxa"/>
              <w:right w:w="40" w:type="dxa"/>
            </w:tcMar>
            <w:vAlign w:val="center"/>
          </w:tcPr>
          <w:p>
            <w:pPr>
              <w:pStyle w:val="TableContents"/>
              <w:bidi w:val="0"/>
              <w:spacing w:before="0" w:after="283"/>
              <w:jc w:val="center"/>
              <w:rPr/>
            </w:pPr>
            <w:r>
              <w:rPr/>
              <w:t>$26,532.85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416(a) under the Securities Act of 1933, as amended (the “Securities Act”), this registration statement shall also cover any additional shares of the Registrant’s common stock that become issuable under the Amended and Restated 2014 Equity Incentive Award Plan (the “Restated Plan”) or the Amended and Restated 2014 Employee Stock Purchase Plan (the “Restated ESPP”) by reason of any stock dividend, stock split, recapitalization or similar transaction effected without the Registrant’s receipt of consideration which would increase the number of outstanding shares of common stock.</w:t>
            </w:r>
          </w:p>
        </w:tc>
      </w:tr>
      <w:tr>
        <w:trPr/>
        <w:tc>
          <w:tcPr>
            <w:tcW w:w="243" w:type="dxa"/>
            <w:tcBorders/>
            <w:vAlign w:val="center"/>
          </w:tcPr>
          <w:p>
            <w:pPr>
              <w:pStyle w:val="TableContents"/>
              <w:bidi w:val="0"/>
              <w:spacing w:before="0" w:after="283"/>
              <w:jc w:val="left"/>
              <w:rPr/>
            </w:pPr>
            <w:r>
              <w:rPr/>
              <w:t> </w:t>
            </w:r>
          </w:p>
        </w:tc>
        <w:tc>
          <w:tcPr>
            <w:tcW w:w="9962" w:type="dxa"/>
            <w:tcBorders/>
            <w:vAlign w:val="center"/>
          </w:tcPr>
          <w:p>
            <w:pPr>
              <w:pStyle w:val="TableContents"/>
              <w:bidi w:val="0"/>
              <w:spacing w:before="0" w:after="283"/>
              <w:jc w:val="left"/>
              <w:rPr/>
            </w:pPr>
            <w:r>
              <w:rPr/>
              <w:t> </w:t>
            </w:r>
          </w:p>
        </w:tc>
      </w:tr>
      <w:tr>
        <w:trPr/>
        <w:tc>
          <w:tcPr>
            <w:tcW w:w="243" w:type="dxa"/>
            <w:tcBorders/>
            <w:vAlign w:val="center"/>
          </w:tcPr>
          <w:p>
            <w:pPr>
              <w:pStyle w:val="TableContents"/>
              <w:bidi w:val="0"/>
              <w:spacing w:before="0" w:after="283"/>
              <w:jc w:val="both"/>
              <w:rPr/>
            </w:pPr>
            <w:r>
              <w:rPr/>
              <w:t>(2)</w:t>
            </w:r>
          </w:p>
        </w:tc>
        <w:tc>
          <w:tcPr>
            <w:tcW w:w="9962" w:type="dxa"/>
            <w:tcBorders/>
            <w:vAlign w:val="center"/>
          </w:tcPr>
          <w:p>
            <w:pPr>
              <w:pStyle w:val="TableContents"/>
              <w:bidi w:val="0"/>
              <w:spacing w:before="0" w:after="283"/>
              <w:jc w:val="both"/>
              <w:rPr/>
            </w:pPr>
            <w:r>
              <w:rPr/>
              <w:t>Estimated solely for the purpose of calculating the amount of the registration fee pursuant to Rule 457(h) and Rule 457(c) promulgated under the Securities Act. The proposed maximum offering price per share and the proposed maximum aggregate offering price for shares reserved for future issuance under the Restated Plan and the Restated ESPP are based on the average of the high and the low price of Registrant’s Common Stock as reported on The Nasdaq Global Market on October 31, 2024.</w:t>
            </w:r>
          </w:p>
        </w:tc>
      </w:tr>
      <w:tr>
        <w:trPr/>
        <w:tc>
          <w:tcPr>
            <w:tcW w:w="243" w:type="dxa"/>
            <w:tcBorders/>
            <w:vAlign w:val="center"/>
          </w:tcPr>
          <w:p>
            <w:pPr>
              <w:pStyle w:val="TableContents"/>
              <w:bidi w:val="0"/>
              <w:spacing w:before="0" w:after="283"/>
              <w:jc w:val="both"/>
              <w:rPr/>
            </w:pPr>
            <w:r>
              <w:rPr/>
              <w:t> </w:t>
            </w:r>
          </w:p>
        </w:tc>
        <w:tc>
          <w:tcPr>
            <w:tcW w:w="9962" w:type="dxa"/>
            <w:tcBorders/>
            <w:vAlign w:val="center"/>
          </w:tcPr>
          <w:p>
            <w:pPr>
              <w:pStyle w:val="TableContents"/>
              <w:bidi w:val="0"/>
              <w:spacing w:before="0" w:after="283"/>
              <w:jc w:val="both"/>
              <w:rPr/>
            </w:pPr>
            <w:r>
              <w:rPr/>
              <w:t> </w:t>
            </w:r>
          </w:p>
        </w:tc>
      </w:tr>
      <w:tr>
        <w:trPr/>
        <w:tc>
          <w:tcPr>
            <w:tcW w:w="243" w:type="dxa"/>
            <w:tcBorders/>
            <w:vAlign w:val="center"/>
          </w:tcPr>
          <w:p>
            <w:pPr>
              <w:pStyle w:val="TableContents"/>
              <w:bidi w:val="0"/>
              <w:spacing w:before="0" w:after="283"/>
              <w:jc w:val="both"/>
              <w:rPr/>
            </w:pPr>
            <w:r>
              <w:rPr/>
              <w:t>(3)</w:t>
            </w:r>
          </w:p>
        </w:tc>
        <w:tc>
          <w:tcPr>
            <w:tcW w:w="9962" w:type="dxa"/>
            <w:tcBorders/>
            <w:vAlign w:val="center"/>
          </w:tcPr>
          <w:p>
            <w:pPr>
              <w:pStyle w:val="TableContents"/>
              <w:bidi w:val="0"/>
              <w:spacing w:before="0" w:after="283"/>
              <w:jc w:val="both"/>
              <w:rPr/>
            </w:pPr>
            <w:r>
              <w:rPr/>
              <w:t>As described in the Explanatory Note in this Registration Statement, represents (i) an increase of 19,000,000 shares of Common Stock available for issuance under the Restated Plan and (ii) 7,348,690 shares of Common Stock that may become available for issuance as a result of shares subject to outstanding awards under 2016 Employee Commencement Incentive Plan that are forfeited back to or repurchased by the Company because of a failure to vest.</w:t>
            </w:r>
          </w:p>
        </w:tc>
      </w:tr>
      <w:tr>
        <w:trPr/>
        <w:tc>
          <w:tcPr>
            <w:tcW w:w="243" w:type="dxa"/>
            <w:tcBorders/>
            <w:vAlign w:val="center"/>
          </w:tcPr>
          <w:p>
            <w:pPr>
              <w:pStyle w:val="TableContents"/>
              <w:bidi w:val="0"/>
              <w:spacing w:before="0" w:after="283"/>
              <w:jc w:val="both"/>
              <w:rPr/>
            </w:pPr>
            <w:r>
              <w:rPr/>
              <w:t> </w:t>
            </w:r>
          </w:p>
        </w:tc>
        <w:tc>
          <w:tcPr>
            <w:tcW w:w="9962" w:type="dxa"/>
            <w:tcBorders/>
            <w:vAlign w:val="center"/>
          </w:tcPr>
          <w:p>
            <w:pPr>
              <w:pStyle w:val="TableContents"/>
              <w:bidi w:val="0"/>
              <w:spacing w:before="0" w:after="283"/>
              <w:jc w:val="both"/>
              <w:rPr/>
            </w:pPr>
            <w:r>
              <w:rPr/>
              <w:t> </w:t>
            </w:r>
          </w:p>
        </w:tc>
      </w:tr>
      <w:tr>
        <w:trPr/>
        <w:tc>
          <w:tcPr>
            <w:tcW w:w="243" w:type="dxa"/>
            <w:tcBorders/>
            <w:vAlign w:val="center"/>
          </w:tcPr>
          <w:p>
            <w:pPr>
              <w:pStyle w:val="TableContents"/>
              <w:bidi w:val="0"/>
              <w:spacing w:before="0" w:after="283"/>
              <w:jc w:val="both"/>
              <w:rPr/>
            </w:pPr>
            <w:r>
              <w:rPr/>
              <w:t>(4)</w:t>
            </w:r>
          </w:p>
        </w:tc>
        <w:tc>
          <w:tcPr>
            <w:tcW w:w="9962" w:type="dxa"/>
            <w:tcBorders/>
            <w:vAlign w:val="center"/>
          </w:tcPr>
          <w:p>
            <w:pPr>
              <w:pStyle w:val="TableContents"/>
              <w:bidi w:val="0"/>
              <w:spacing w:before="0" w:after="283"/>
              <w:jc w:val="both"/>
              <w:rPr/>
            </w:pPr>
            <w:r>
              <w:rPr/>
              <w:t>Represents the shares of the Registrant’s common stock issuable under the Restated ESPP resulting from an increase approved by the Registrant’s stockholders on June 14, 2024.</w:t>
            </w:r>
          </w:p>
        </w:tc>
      </w:tr>
      <w:tr>
        <w:trPr/>
        <w:tc>
          <w:tcPr>
            <w:tcW w:w="243" w:type="dxa"/>
            <w:tcBorders/>
            <w:vAlign w:val="center"/>
          </w:tcPr>
          <w:p>
            <w:pPr>
              <w:pStyle w:val="TableContents"/>
              <w:bidi w:val="0"/>
              <w:spacing w:before="0" w:after="283"/>
              <w:jc w:val="both"/>
              <w:rPr/>
            </w:pPr>
            <w:r>
              <w:rPr/>
              <w:t> </w:t>
            </w:r>
          </w:p>
        </w:tc>
        <w:tc>
          <w:tcPr>
            <w:tcW w:w="9962" w:type="dxa"/>
            <w:tcBorders/>
            <w:vAlign w:val="center"/>
          </w:tcPr>
          <w:p>
            <w:pPr>
              <w:pStyle w:val="TableContents"/>
              <w:bidi w:val="0"/>
              <w:spacing w:before="0" w:after="283"/>
              <w:jc w:val="both"/>
              <w:rPr/>
            </w:pPr>
            <w:r>
              <w:rPr/>
              <w:t> </w:t>
            </w:r>
          </w:p>
        </w:tc>
      </w:tr>
      <w:tr>
        <w:trPr/>
        <w:tc>
          <w:tcPr>
            <w:tcW w:w="243" w:type="dxa"/>
            <w:tcBorders/>
            <w:vAlign w:val="center"/>
          </w:tcPr>
          <w:p>
            <w:pPr>
              <w:pStyle w:val="TableContents"/>
              <w:bidi w:val="0"/>
              <w:spacing w:before="0" w:after="283"/>
              <w:jc w:val="both"/>
              <w:rPr/>
            </w:pPr>
            <w:r>
              <w:rPr/>
              <w:t>(5)</w:t>
            </w:r>
          </w:p>
        </w:tc>
        <w:tc>
          <w:tcPr>
            <w:tcW w:w="9962" w:type="dxa"/>
            <w:tcBorders/>
            <w:vAlign w:val="center"/>
          </w:tcPr>
          <w:p>
            <w:pPr>
              <w:pStyle w:val="TableContents"/>
              <w:bidi w:val="0"/>
              <w:spacing w:before="0" w:after="283"/>
              <w:jc w:val="both"/>
              <w:rPr/>
            </w:pPr>
            <w:r>
              <w:rPr/>
              <w:t>The Registrant does not have any fee offsets.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437402/000119312515087522/d889275ds8.htm" TargetMode="External"/><Relationship Id="rId4" Type="http://schemas.openxmlformats.org/officeDocument/2006/relationships/hyperlink" Target="http://www.sec.gov/Archives/edgar/data/1437402/000119312516500176/d159520ds8.htm" TargetMode="External"/><Relationship Id="rId5" Type="http://schemas.openxmlformats.org/officeDocument/2006/relationships/hyperlink" Target="http://www.sec.gov/Archives/edgar/data/1437402/000119312517050555/d333014ds8.htm" TargetMode="External"/><Relationship Id="rId6" Type="http://schemas.openxmlformats.org/officeDocument/2006/relationships/hyperlink" Target="http://www.sec.gov/Archives/edgar/data/1437402/000119312518084334/d551566ds8.htm" TargetMode="External"/><Relationship Id="rId7" Type="http://schemas.openxmlformats.org/officeDocument/2006/relationships/hyperlink" Target="http://www.sec.gov/Archives/edgar/data/1437402/000155837019001719/s-8.htm" TargetMode="External"/><Relationship Id="rId8" Type="http://schemas.openxmlformats.org/officeDocument/2006/relationships/hyperlink" Target="http://www.sec.gov/Archives/edgar/data/1437402/000119312520068867/d896070ds8.htm" TargetMode="External"/><Relationship Id="rId9" Type="http://schemas.openxmlformats.org/officeDocument/2006/relationships/hyperlink" Target="http://www.sec.gov/Archives/edgar/data/1437402/000155837021002843/tmb-20210311xs8.htm" TargetMode="External"/><Relationship Id="rId10" Type="http://schemas.openxmlformats.org/officeDocument/2006/relationships/hyperlink" Target="http://www.sec.gov/Archives/edgar/data/1437402/000110465922028658/tm227853d1_s8.htm" TargetMode="External"/><Relationship Id="rId11" Type="http://schemas.openxmlformats.org/officeDocument/2006/relationships/hyperlink" Target="https://www.sec.gov/Archives/edgar/data/1437402/000110465923029195/tm238542d1_s8.htm" TargetMode="External"/><Relationship Id="rId12" Type="http://schemas.openxmlformats.org/officeDocument/2006/relationships/hyperlink" Target="https://www.sec.gov/Archives/edgar/data/1437402/000110465924028324/tm247176d1_s8.htm" TargetMode="External"/><Relationship Id="rId13" Type="http://schemas.openxmlformats.org/officeDocument/2006/relationships/hyperlink" Target="https://www.sec.gov/ix?doc=/Archives/edgar/data/1437402/000162828024006393/ardx-20231231.htm" TargetMode="External"/><Relationship Id="rId14" Type="http://schemas.openxmlformats.org/officeDocument/2006/relationships/hyperlink" Target="https://www.sec.gov/ix?doc=/Archives/edgar/data/0001437402/000162828024019990/ardx-20240331.htm" TargetMode="External"/><Relationship Id="rId15" Type="http://schemas.openxmlformats.org/officeDocument/2006/relationships/hyperlink" Target="https://www.sec.gov/ix?doc=/Archives/edgar/data/0001437402/000162828024034121/ardx-20240630.htm" TargetMode="External"/><Relationship Id="rId16" Type="http://schemas.openxmlformats.org/officeDocument/2006/relationships/hyperlink" Target="https://www.sec.gov/ix?doc=/Archives/edgar/data/1437402/000162828024044551/ardx-20240930.htm" TargetMode="External"/><Relationship Id="rId17" Type="http://schemas.openxmlformats.org/officeDocument/2006/relationships/hyperlink" Target="https://www.sec.gov/ix?doc=/Archives/edgar/data/1437402/000162828024008908/ardx-20240301.htm" TargetMode="External"/><Relationship Id="rId18" Type="http://schemas.openxmlformats.org/officeDocument/2006/relationships/hyperlink" Target="https://www.sec.gov/ix?doc=/Archives/edgar/data/0001437402/000162828024024996/ardx-20240522.htm" TargetMode="External"/><Relationship Id="rId19" Type="http://schemas.openxmlformats.org/officeDocument/2006/relationships/hyperlink" Target="https://www.sec.gov/ix?doc=/Archives/edgar/data/0001437402/000162828024028413/ardx-20240614.htm" TargetMode="External"/><Relationship Id="rId20" Type="http://schemas.openxmlformats.org/officeDocument/2006/relationships/hyperlink" Target="https://www.sec.gov/ix?doc=/Archives/edgar/data/0001437402/000162828024030708/ardx-20240702.htm" TargetMode="External"/><Relationship Id="rId21" Type="http://schemas.openxmlformats.org/officeDocument/2006/relationships/hyperlink" Target="https://www.sec.gov/ix?doc=/Archives/edgar/data/0001437402/000162828024036749/ardx-20240807.htm" TargetMode="External"/><Relationship Id="rId22" Type="http://schemas.openxmlformats.org/officeDocument/2006/relationships/hyperlink" Target="https://www.sec.gov/ix?doc=/Archives/edgar/data/1437402/000162828024042602/ardx-20241003.htm" TargetMode="External"/><Relationship Id="rId23" Type="http://schemas.openxmlformats.org/officeDocument/2006/relationships/hyperlink" Target="https://www.sec.gov/Archives/edgar/data/1437402/000114036124023095/ny20024289x1_def14a.htm" TargetMode="External"/><Relationship Id="rId24" Type="http://schemas.openxmlformats.org/officeDocument/2006/relationships/hyperlink" Target="https://www.sec.gov/Archives/edgar/data/1437402/000119312514230441/d740908d8a12b.htm" TargetMode="External"/><Relationship Id="rId25" Type="http://schemas.openxmlformats.org/officeDocument/2006/relationships/hyperlink" Target="https://www.sec.gov/Archives/edgar/data/1437402/000155837021002500/ardx-20201231xex4d4.htm" TargetMode="External"/><Relationship Id="rId26" Type="http://schemas.openxmlformats.org/officeDocument/2006/relationships/hyperlink" Target="https://www.sec.gov/Archives/edgar/data/1437402/000119312514247380/d748616dex31.htm" TargetMode="External"/><Relationship Id="rId27" Type="http://schemas.openxmlformats.org/officeDocument/2006/relationships/hyperlink" Target="https://www.sec.gov/Archives/edgar/data/1437402/000119312514247380/d748616dex31.htm" TargetMode="External"/><Relationship Id="rId28" Type="http://schemas.openxmlformats.org/officeDocument/2006/relationships/hyperlink" Target="https://www.sec.gov/Archives/edgar/data/1437402/000119312514247380/d748616dex31.htm" TargetMode="External"/><Relationship Id="rId29" Type="http://schemas.openxmlformats.org/officeDocument/2006/relationships/hyperlink" Target="https://www.sec.gov/Archives/edgar/data/1437402/000119312514247380/d748616dex31.htm" TargetMode="External"/><Relationship Id="rId30" Type="http://schemas.openxmlformats.org/officeDocument/2006/relationships/hyperlink" Target="https://www.sec.gov/Archives/edgar/data/1437402/000119312514247380/d748616dex31.htm" TargetMode="External"/><Relationship Id="rId31" Type="http://schemas.openxmlformats.org/officeDocument/2006/relationships/hyperlink" Target="https://www.sec.gov/Archives/edgar/data/1437402/000162828023022681/certificateofamendment6-16.htm" TargetMode="External"/><Relationship Id="rId32" Type="http://schemas.openxmlformats.org/officeDocument/2006/relationships/hyperlink" Target="https://www.sec.gov/Archives/edgar/data/1437402/000162828023022681/certificateofamendment6-16.htm" TargetMode="External"/><Relationship Id="rId33" Type="http://schemas.openxmlformats.org/officeDocument/2006/relationships/hyperlink" Target="https://www.sec.gov/Archives/edgar/data/1437402/000162828023022681/certificateofamendment6-16.htm" TargetMode="External"/><Relationship Id="rId34" Type="http://schemas.openxmlformats.org/officeDocument/2006/relationships/hyperlink" Target="https://www.sec.gov/Archives/edgar/data/1437402/000162828023022681/certificateofamendment6-16.htm" TargetMode="External"/><Relationship Id="rId35" Type="http://schemas.openxmlformats.org/officeDocument/2006/relationships/hyperlink" Target="https://www.sec.gov/Archives/edgar/data/1437402/000162828023022681/certificateofamendment6-16.htm" TargetMode="External"/><Relationship Id="rId36" Type="http://schemas.openxmlformats.org/officeDocument/2006/relationships/hyperlink" Target="https://www.sec.gov/Archives/edgar/data/1437402/000119312514247380/d748616dex32.htm" TargetMode="External"/><Relationship Id="rId37" Type="http://schemas.openxmlformats.org/officeDocument/2006/relationships/hyperlink" Target="https://www.sec.gov/Archives/edgar/data/1437402/000119312514247380/d748616dex32.htm" TargetMode="External"/><Relationship Id="rId38" Type="http://schemas.openxmlformats.org/officeDocument/2006/relationships/hyperlink" Target="https://www.sec.gov/Archives/edgar/data/1437402/000119312514247380/d748616dex32.htm" TargetMode="External"/><Relationship Id="rId39" Type="http://schemas.openxmlformats.org/officeDocument/2006/relationships/hyperlink" Target="https://www.sec.gov/Archives/edgar/data/1437402/000119312514247380/d748616dex32.htm" TargetMode="External"/><Relationship Id="rId40" Type="http://schemas.openxmlformats.org/officeDocument/2006/relationships/hyperlink" Target="https://www.sec.gov/Archives/edgar/data/1437402/000119312514247380/d748616dex32.htm" TargetMode="External"/><Relationship Id="rId41" Type="http://schemas.openxmlformats.org/officeDocument/2006/relationships/hyperlink" Target="https://www.sec.gov/Archives/edgar/data/1437402/000119312514240520/d704770dex42.htm" TargetMode="External"/><Relationship Id="rId42" Type="http://schemas.openxmlformats.org/officeDocument/2006/relationships/hyperlink" Target="https://www.sec.gov/Archives/edgar/data/1437402/000119312514240520/d704770dex42.htm" TargetMode="External"/><Relationship Id="rId43" Type="http://schemas.openxmlformats.org/officeDocument/2006/relationships/hyperlink" Target="https://www.sec.gov/Archives/edgar/data/1437402/000119312514240520/d704770dex42.htm" TargetMode="External"/><Relationship Id="rId44" Type="http://schemas.openxmlformats.org/officeDocument/2006/relationships/hyperlink" Target="https://www.sec.gov/Archives/edgar/data/1437402/000119312514240520/d704770dex42.htm" TargetMode="External"/><Relationship Id="rId45" Type="http://schemas.openxmlformats.org/officeDocument/2006/relationships/hyperlink" Target="https://www.sec.gov/Archives/edgar/data/1437402/000119312514240520/d704770dex42.htm" TargetMode="External"/><Relationship Id="rId46" Type="http://schemas.openxmlformats.org/officeDocument/2006/relationships/hyperlink" Target="https://www.sec.gov/Archives/edgar/data/1437402/000162828024028413/ardelyx-amendedandrestateda.htm" TargetMode="External"/><Relationship Id="rId47" Type="http://schemas.openxmlformats.org/officeDocument/2006/relationships/hyperlink" Target="https://www.sec.gov/Archives/edgar/data/1437402/000162828024028413/ardelyx-amendedandrestateda.htm" TargetMode="External"/><Relationship Id="rId48" Type="http://schemas.openxmlformats.org/officeDocument/2006/relationships/hyperlink" Target="https://www.sec.gov/Archives/edgar/data/1437402/000162828024028413/ardelyx-amendedandrestateda.htm" TargetMode="External"/><Relationship Id="rId49" Type="http://schemas.openxmlformats.org/officeDocument/2006/relationships/hyperlink" Target="https://www.sec.gov/Archives/edgar/data/1437402/000162828024028413/ardelyx-amendedandrestateda.htm" TargetMode="External"/><Relationship Id="rId50" Type="http://schemas.openxmlformats.org/officeDocument/2006/relationships/hyperlink" Target="https://www.sec.gov/Archives/edgar/data/1437402/000162828024028413/ardelyx-amendedandrestateda.htm" TargetMode="External"/><Relationship Id="rId51" Type="http://schemas.openxmlformats.org/officeDocument/2006/relationships/hyperlink" Target="https://www.sec.gov/Archives/edgar/data/1437402/000162828024028413/ardelyx-amendedandrestated.htm" TargetMode="External"/><Relationship Id="rId52" Type="http://schemas.openxmlformats.org/officeDocument/2006/relationships/hyperlink" Target="https://www.sec.gov/Archives/edgar/data/1437402/000162828024028413/ardelyx-amendedandrestated.htm" TargetMode="External"/><Relationship Id="rId53" Type="http://schemas.openxmlformats.org/officeDocument/2006/relationships/hyperlink" Target="https://www.sec.gov/Archives/edgar/data/1437402/000162828024028413/ardelyx-amendedandrestated.htm" TargetMode="External"/><Relationship Id="rId54" Type="http://schemas.openxmlformats.org/officeDocument/2006/relationships/hyperlink" Target="https://www.sec.gov/Archives/edgar/data/1437402/000162828024028413/ardelyx-amendedandrestated.htm" TargetMode="External"/><Relationship Id="rId55" Type="http://schemas.openxmlformats.org/officeDocument/2006/relationships/hyperlink" Target="https://www.sec.gov/Archives/edgar/data/1437402/000162828024028413/ardelyx-amendedandrestated.htm" TargetMode="External"/><Relationship Id="rId56" Type="http://schemas.openxmlformats.org/officeDocument/2006/relationships/image" Target="media/image2.jpeg"/><Relationship Id="rId57" Type="http://schemas.openxmlformats.org/officeDocument/2006/relationships/image" Target="media/image3.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3998</Words>
  <Characters>21618</Characters>
  <CharactersWithSpaces>25719</CharactersWithSpaces>
  <Paragraphs>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