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GRAMMER ELIZABETH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ARDELYX,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3"/>
        <w:spacing w:after="0"/>
        <w:rPr>
          <w:sz w:val="20"/>
          <w:szCs w:val="20"/>
          <w:color w:val="auto"/>
        </w:rPr>
      </w:pPr>
      <w:r>
        <w:rPr>
          <w:rFonts w:ascii="Arial" w:cs="Arial" w:eastAsia="Arial" w:hAnsi="Arial"/>
          <w:sz w:val="18"/>
          <w:szCs w:val="18"/>
          <w:color w:val="0000FF"/>
        </w:rPr>
        <w:t>EVP, General Counsel</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880" w:type="dxa"/>
            <w:vAlign w:val="bottom"/>
            <w:gridSpan w:val="7"/>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FREMONT</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94555</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gridSpan w:val="2"/>
          </w:tcPr>
          <w:p>
            <w:pPr>
              <w:jc w:val="right"/>
              <w:ind w:right="297"/>
              <w:spacing w:after="0"/>
              <w:rPr>
                <w:sz w:val="20"/>
                <w:szCs w:val="20"/>
                <w:color w:val="auto"/>
              </w:rPr>
            </w:pPr>
            <w:r>
              <w:rPr>
                <w:rFonts w:ascii="Arial" w:cs="Arial" w:eastAsia="Arial" w:hAnsi="Arial"/>
                <w:sz w:val="18"/>
                <w:szCs w:val="18"/>
                <w:color w:val="0000FF"/>
              </w:rPr>
              <w:t>118,219</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12/30/2019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66</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7.514</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377"/>
              <w:spacing w:after="0"/>
              <w:rPr>
                <w:sz w:val="20"/>
                <w:szCs w:val="20"/>
                <w:color w:val="auto"/>
              </w:rPr>
            </w:pPr>
            <w:r>
              <w:rPr>
                <w:rFonts w:ascii="Arial" w:cs="Arial" w:eastAsia="Arial" w:hAnsi="Arial"/>
                <w:sz w:val="18"/>
                <w:szCs w:val="18"/>
                <w:color w:val="0000FF"/>
                <w:w w:val="93"/>
              </w:rPr>
              <w:t>2,066</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I</w:t>
            </w: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By son</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4"/>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involved the purchase of securities by the Reporting Person's son, who shares the Reporting Person's household. The Reporting Person disclaims beneficial ownership of the shares held by her son, and this report should not be deemed an admission that the Reporting Person is the beneficial owner of her son's shares for purposes of Section 16 or for any other purpose.</w:t>
      </w:r>
    </w:p>
    <w:tbl>
      <w:tblPr>
        <w:tblLayout w:type="fixed"/>
        <w:tblInd w:w="6860" w:type="dxa"/>
        <w:tblCellMar>
          <w:top w:w="0" w:type="dxa"/>
          <w:left w:w="0" w:type="dxa"/>
          <w:bottom w:w="0" w:type="dxa"/>
          <w:right w:w="0" w:type="dxa"/>
        </w:tblCellMar>
      </w:tblPr>
      <w:tr>
        <w:trPr>
          <w:trHeight w:val="199"/>
        </w:trPr>
        <w:tc>
          <w:tcPr>
            <w:tcW w:w="1600" w:type="dxa"/>
            <w:vAlign w:val="bottom"/>
          </w:tcPr>
          <w:p>
            <w:pPr>
              <w:spacing w:after="0" w:line="199" w:lineRule="exact"/>
              <w:rPr>
                <w:sz w:val="20"/>
                <w:szCs w:val="20"/>
                <w:color w:val="auto"/>
              </w:rPr>
            </w:pPr>
            <w:r>
              <w:rPr>
                <w:rFonts w:ascii="Arial" w:cs="Arial" w:eastAsia="Arial" w:hAnsi="Arial"/>
                <w:sz w:val="18"/>
                <w:szCs w:val="18"/>
                <w:color w:val="0000FF"/>
                <w:w w:val="88"/>
              </w:rPr>
              <w:t>/s/ Elizabeth Grammer</w:t>
            </w:r>
          </w:p>
        </w:tc>
        <w:tc>
          <w:tcPr>
            <w:tcW w:w="520" w:type="dxa"/>
            <w:vAlign w:val="bottom"/>
          </w:tcPr>
          <w:p>
            <w:pPr>
              <w:spacing w:after="0"/>
              <w:rPr>
                <w:sz w:val="17"/>
                <w:szCs w:val="17"/>
                <w:color w:val="auto"/>
              </w:rPr>
            </w:pP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01/02/2020</w:t>
            </w: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304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2020-01-02T19:23:16Z</dcterms:created>
  <dcterms:modified xsi:type="dcterms:W3CDTF">2020-01-02T19:23:16Z</dcterms:modified>
</cp:coreProperties>
</file>