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132715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147955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141605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1800" w:type="dxa"/>
            <w:vAlign w:val="bottom"/>
          </w:tcPr>
          <w:p>
            <w:pPr>
              <w:jc w:val="center"/>
              <w:ind w:right="82"/>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640" w:type="dxa"/>
            <w:vAlign w:val="bottom"/>
          </w:tcPr>
          <w:p>
            <w:pPr>
              <w:jc w:val="center"/>
              <w:ind w:left="1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18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6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0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of incorporation)</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142"/>
              <w:spacing w:after="0"/>
              <w:rPr>
                <w:sz w:val="20"/>
                <w:szCs w:val="20"/>
                <w:color w:val="auto"/>
              </w:rPr>
            </w:pPr>
            <w:r>
              <w:rPr>
                <w:rFonts w:ascii="Arial" w:cs="Arial" w:eastAsia="Arial" w:hAnsi="Arial"/>
                <w:sz w:val="14"/>
                <w:szCs w:val="14"/>
                <w:b w:val="1"/>
                <w:bCs w:val="1"/>
                <w:color w:val="auto"/>
                <w:w w:val="95"/>
              </w:rPr>
              <w:t>Identification Number)</w:t>
            </w:r>
          </w:p>
        </w:tc>
      </w:tr>
      <w:tr>
        <w:trPr>
          <w:trHeight w:val="331"/>
        </w:trPr>
        <w:tc>
          <w:tcPr>
            <w:tcW w:w="18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w:t>
            </w:r>
          </w:p>
        </w:tc>
        <w:tc>
          <w:tcPr>
            <w:tcW w:w="1640" w:type="dxa"/>
            <w:vAlign w:val="bottom"/>
          </w:tcPr>
          <w:p>
            <w:pPr>
              <w:spacing w:after="0"/>
              <w:rPr>
                <w:sz w:val="24"/>
                <w:szCs w:val="24"/>
                <w:color w:val="auto"/>
              </w:rPr>
            </w:pPr>
          </w:p>
        </w:tc>
      </w:tr>
      <w:tr>
        <w:trPr>
          <w:trHeight w:val="212"/>
        </w:trPr>
        <w:tc>
          <w:tcPr>
            <w:tcW w:w="18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Fremont, CA 94555</w:t>
            </w:r>
          </w:p>
        </w:tc>
        <w:tc>
          <w:tcPr>
            <w:tcW w:w="1640" w:type="dxa"/>
            <w:vAlign w:val="bottom"/>
          </w:tcPr>
          <w:p>
            <w:pPr>
              <w:spacing w:after="0"/>
              <w:rPr>
                <w:sz w:val="18"/>
                <w:szCs w:val="18"/>
                <w:color w:val="auto"/>
              </w:rPr>
            </w:pPr>
          </w:p>
        </w:tc>
      </w:tr>
      <w:tr>
        <w:trPr>
          <w:trHeight w:val="186"/>
        </w:trPr>
        <w:tc>
          <w:tcPr>
            <w:tcW w:w="180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40" w:type="dxa"/>
            <w:vAlign w:val="bottom"/>
          </w:tcPr>
          <w:p>
            <w:pPr>
              <w:spacing w:after="0"/>
              <w:rPr>
                <w:sz w:val="16"/>
                <w:szCs w:val="16"/>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8"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1" w:lineRule="exact"/>
        <w:rPr>
          <w:rFonts w:ascii="MS PGothic" w:cs="MS PGothic" w:eastAsia="MS PGothic" w:hAnsi="MS PGothic"/>
          <w:sz w:val="17"/>
          <w:szCs w:val="17"/>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2" w:lineRule="exact"/>
        <w:rPr>
          <w:sz w:val="24"/>
          <w:szCs w:val="24"/>
          <w:color w:val="auto"/>
        </w:rPr>
      </w:pPr>
    </w:p>
    <w:tbl>
      <w:tblPr>
        <w:tblLayout w:type="fixed"/>
        <w:tblInd w:w="60" w:type="dxa"/>
        <w:tblCellMar>
          <w:top w:w="0" w:type="dxa"/>
          <w:left w:w="0" w:type="dxa"/>
          <w:bottom w:w="0" w:type="dxa"/>
          <w:right w:w="0" w:type="dxa"/>
        </w:tblCellMar>
      </w:tblPr>
      <w:tr>
        <w:trPr>
          <w:trHeight w:val="186"/>
        </w:trPr>
        <w:tc>
          <w:tcPr>
            <w:tcW w:w="3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40" w:type="dxa"/>
            <w:vAlign w:val="bottom"/>
            <w:vMerge w:val="continue"/>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ARDX</w:t>
            </w:r>
          </w:p>
        </w:tc>
        <w:tc>
          <w:tcPr>
            <w:tcW w:w="240" w:type="dxa"/>
            <w:vAlign w:val="bottom"/>
            <w:vMerge w:val="continue"/>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right="11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425450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6" w:right="1440" w:bottom="1440" w:gutter="0" w:footer="0" w:header="0"/>
        </w:sectPr>
      </w:pPr>
    </w:p>
    <w:bookmarkStart w:id="1" w:name="page2"/>
    <w:bookmarkEnd w:id="1"/>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0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On November 5, 2020, Ardelyx, Inc. (the “Company”) announced its financial results for the quarter ended September 30, 2020. The full text of the press release issued in connection with the announcement is furnished as Exhibit 99.1 to this Current Report on Form 8-K.</w:t>
      </w:r>
    </w:p>
    <w:p>
      <w:pPr>
        <w:spacing w:after="0" w:line="7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7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Exhibits.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7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4"/>
                <w:szCs w:val="14"/>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63"/>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784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of Ardelyx, Inc</w:t>
              </w:r>
              <w:r>
                <w:rPr>
                  <w:rFonts w:ascii="Arial" w:cs="Arial" w:eastAsia="Arial" w:hAnsi="Arial"/>
                  <w:sz w:val="18"/>
                  <w:szCs w:val="18"/>
                  <w:color w:val="0000EE"/>
                </w:rPr>
                <w:t>.</w:t>
              </w:r>
            </w:hyperlink>
          </w:p>
        </w:tc>
      </w:tr>
      <w:tr>
        <w:trPr>
          <w:trHeight w:val="230"/>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5582920</wp:posOffset>
            </wp:positionH>
            <wp:positionV relativeFrom="page">
              <wp:posOffset>88900</wp:posOffset>
            </wp:positionV>
            <wp:extent cx="101981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Exhibit 99.1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Third Quarter 2020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Business Highlights</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1"/>
          <w:szCs w:val="21"/>
          <w:i w:val="1"/>
          <w:iCs w:val="1"/>
          <w:color w:val="auto"/>
        </w:rPr>
        <w:t>Tenapanor NDA Accepted for Review by FDA; PDUFA Goal Date set for April 29, 2021</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9"/>
          <w:szCs w:val="19"/>
          <w:i w:val="1"/>
          <w:iCs w:val="1"/>
          <w:color w:val="auto"/>
        </w:rPr>
        <w:t>Maintains strong balance sheet with $185.5 million in cash, cash equivalents and short-term</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investments</w:t>
      </w:r>
    </w:p>
    <w:p>
      <w:pPr>
        <w:spacing w:after="0" w:line="187" w:lineRule="exact"/>
        <w:rPr>
          <w:sz w:val="20"/>
          <w:szCs w:val="20"/>
          <w:color w:val="auto"/>
        </w:rPr>
      </w:pPr>
    </w:p>
    <w:p>
      <w:pPr>
        <w:ind w:left="60" w:right="79"/>
        <w:spacing w:after="0" w:line="248" w:lineRule="auto"/>
        <w:rPr>
          <w:sz w:val="20"/>
          <w:szCs w:val="20"/>
          <w:color w:val="auto"/>
        </w:rPr>
      </w:pPr>
      <w:r>
        <w:rPr>
          <w:rFonts w:ascii="Arial" w:cs="Arial" w:eastAsia="Arial" w:hAnsi="Arial"/>
          <w:sz w:val="20"/>
          <w:szCs w:val="20"/>
          <w:b w:val="1"/>
          <w:bCs w:val="1"/>
          <w:color w:val="auto"/>
        </w:rPr>
        <w:t xml:space="preserve">FREMONT, Calif., November 5, 2020 </w:t>
      </w:r>
      <w:r>
        <w:rPr>
          <w:rFonts w:ascii="Arial" w:cs="Arial" w:eastAsia="Arial" w:hAnsi="Arial"/>
          <w:sz w:val="20"/>
          <w:szCs w:val="20"/>
          <w:color w:val="auto"/>
        </w:rPr>
        <w:t>-- Ardelyx, Inc. (Nasdaq: ARDX), a specialized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developing innovative first-in-class medicines to improve treatment for people with kidney and cardiovascular diseases, today reported business highlights and financial results for the third quarter ended September 30, 2020.</w:t>
      </w:r>
    </w:p>
    <w:p>
      <w:pPr>
        <w:spacing w:after="0" w:line="189" w:lineRule="exact"/>
        <w:rPr>
          <w:sz w:val="20"/>
          <w:szCs w:val="20"/>
          <w:color w:val="auto"/>
        </w:rPr>
      </w:pPr>
    </w:p>
    <w:p>
      <w:pPr>
        <w:ind w:left="60" w:right="79"/>
        <w:spacing w:after="0" w:line="259" w:lineRule="auto"/>
        <w:rPr>
          <w:sz w:val="20"/>
          <w:szCs w:val="20"/>
          <w:color w:val="auto"/>
        </w:rPr>
      </w:pPr>
      <w:r>
        <w:rPr>
          <w:rFonts w:ascii="Arial" w:cs="Arial" w:eastAsia="Arial" w:hAnsi="Arial"/>
          <w:sz w:val="19"/>
          <w:szCs w:val="19"/>
          <w:color w:val="auto"/>
        </w:rPr>
        <w:t>“The FDA’s acceptance of our New Drug Application for tenapanor is a major milestone that continues our progress toward the potential launch of this novel therapeutic for the many dialysis patients who struggle with controlling hyperphosphatemia.” said Mike Raab, president and chief executive officer of Ardelyx. “Our commitment to this field was further highlighted in clinical data presented at ASN Kidney Week 2020 generated by Ardelyx and our Japanese partner KKC, supporting the clinical safety and efficacy of tenapanor and reinforcing its potential to transform the treatment landscape for patients.”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Recent Business and Pipeline Updates</w:t>
      </w:r>
    </w:p>
    <w:p>
      <w:pPr>
        <w:spacing w:after="0" w:line="222" w:lineRule="exact"/>
        <w:rPr>
          <w:sz w:val="20"/>
          <w:szCs w:val="20"/>
          <w:color w:val="auto"/>
        </w:rPr>
      </w:pPr>
    </w:p>
    <w:p>
      <w:pPr>
        <w:ind w:left="700" w:right="139" w:hanging="326"/>
        <w:spacing w:after="0" w:line="259"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9"/>
          <w:szCs w:val="19"/>
          <w:color w:val="auto"/>
        </w:rPr>
        <w:t>The United States Food and Drug Administration (FDA) accepted the New Drug Application (NDA) for tenapanor to control serum phosphorus in adult patients with chronic kidney disease (CKD) on dialysis with a Prescription Drug User Fee Act (“PDUFA”) goal date of April 29, 2021. The filing was supported by three successful Phase 3 studies demonstrating tenapanor’s ability to reduce phosphate levels, with two trials evaluating tenapanor as a monotherapy and the third evaluating tenapanor as part of a dual mechanism approach with phosphate binders.</w:t>
      </w:r>
    </w:p>
    <w:p>
      <w:pPr>
        <w:spacing w:after="0" w:line="178" w:lineRule="exact"/>
        <w:rPr>
          <w:rFonts w:ascii="Arial" w:cs="Arial" w:eastAsia="Arial" w:hAnsi="Arial"/>
          <w:sz w:val="17"/>
          <w:szCs w:val="17"/>
          <w:color w:val="auto"/>
        </w:rPr>
      </w:pPr>
    </w:p>
    <w:p>
      <w:pPr>
        <w:ind w:left="700" w:right="319" w:hanging="326"/>
        <w:spacing w:after="0" w:line="278"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8"/>
          <w:szCs w:val="18"/>
          <w:color w:val="auto"/>
        </w:rPr>
        <w:t>Presented new clinical data supporting the clinical safety and efficacy of tenapanor at ASN Kidney Week 2020. Three poster presentations highlighted data from Phase 3 trials conducted by Ardelyx, including the BLOCK, AMPLIFY and PHREEDOM studies. Additionally, the company's partner for tenapanor in Japan, Kyowa Kirin Co., Ltd., presented the results from two Phase 2 studies evaluating the efficacy and safety of tenapanor in Japanese patients on hemodialysis.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Third Quarter 2020 Financial Results</w:t>
      </w:r>
    </w:p>
    <w:p>
      <w:pPr>
        <w:spacing w:after="0" w:line="216" w:lineRule="exact"/>
        <w:rPr>
          <w:sz w:val="20"/>
          <w:szCs w:val="20"/>
          <w:color w:val="auto"/>
        </w:rPr>
      </w:pPr>
    </w:p>
    <w:p>
      <w:pPr>
        <w:ind w:left="700" w:right="239" w:hanging="326"/>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Cash Position</w:t>
      </w:r>
      <w:r>
        <w:rPr>
          <w:rFonts w:ascii="Arial" w:cs="Arial" w:eastAsia="Arial" w:hAnsi="Arial"/>
          <w:sz w:val="20"/>
          <w:szCs w:val="20"/>
          <w:color w:val="auto"/>
        </w:rPr>
        <w:t>: As of September 30, 2020, Ardelyx had total cash, cash equivalents and short-term</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investments of $185.5 million, as compared to total cash, cash equivalents and short-term investments of $247.5 million as of December 31, 2019.</w:t>
      </w:r>
    </w:p>
    <w:p>
      <w:pPr>
        <w:spacing w:after="0" w:line="177" w:lineRule="exact"/>
        <w:rPr>
          <w:rFonts w:ascii="Arial" w:cs="Arial" w:eastAsia="Arial" w:hAnsi="Arial"/>
          <w:sz w:val="18"/>
          <w:szCs w:val="18"/>
          <w:color w:val="auto"/>
        </w:rPr>
      </w:pPr>
    </w:p>
    <w:p>
      <w:pPr>
        <w:ind w:left="700" w:right="699" w:hanging="326"/>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Revenue</w:t>
      </w:r>
      <w:r>
        <w:rPr>
          <w:rFonts w:ascii="Arial" w:cs="Arial" w:eastAsia="Arial" w:hAnsi="Arial"/>
          <w:sz w:val="20"/>
          <w:szCs w:val="20"/>
          <w:color w:val="auto"/>
        </w:rPr>
        <w:t>: The company generated $2.7 million in revenue during the three months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2020, which primarily represents collaborative development revenue and sales of tenapanor for clinical supply to KKC.</w:t>
      </w:r>
    </w:p>
    <w:p>
      <w:pPr>
        <w:spacing w:after="0" w:line="177" w:lineRule="exact"/>
        <w:rPr>
          <w:rFonts w:ascii="Arial" w:cs="Arial" w:eastAsia="Arial" w:hAnsi="Arial"/>
          <w:sz w:val="18"/>
          <w:szCs w:val="18"/>
          <w:color w:val="auto"/>
        </w:rPr>
      </w:pPr>
    </w:p>
    <w:p>
      <w:pPr>
        <w:ind w:left="700" w:right="319" w:hanging="326"/>
        <w:spacing w:after="0" w:line="346" w:lineRule="auto"/>
        <w:tabs>
          <w:tab w:leader="none" w:pos="700" w:val="left"/>
        </w:tabs>
        <w:numPr>
          <w:ilvl w:val="0"/>
          <w:numId w:val="3"/>
        </w:numPr>
        <w:rPr>
          <w:rFonts w:ascii="Arial" w:cs="Arial" w:eastAsia="Arial" w:hAnsi="Arial"/>
          <w:sz w:val="15"/>
          <w:szCs w:val="15"/>
          <w:color w:val="auto"/>
        </w:rPr>
      </w:pPr>
      <w:r>
        <w:rPr>
          <w:rFonts w:ascii="Arial" w:cs="Arial" w:eastAsia="Arial" w:hAnsi="Arial"/>
          <w:sz w:val="16"/>
          <w:szCs w:val="16"/>
          <w:b w:val="1"/>
          <w:bCs w:val="1"/>
          <w:color w:val="auto"/>
        </w:rPr>
        <w:t>R&amp;D Expenses</w:t>
      </w:r>
      <w:r>
        <w:rPr>
          <w:rFonts w:ascii="Arial" w:cs="Arial" w:eastAsia="Arial" w:hAnsi="Arial"/>
          <w:sz w:val="16"/>
          <w:szCs w:val="16"/>
          <w:color w:val="auto"/>
        </w:rPr>
        <w:t>: Research and development expenses were $12.2 million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2020, a decrease of approximately $5.4 million, or 30 percent, compared to $17.6 million for the three months ended September 30, 2019. The decrease was primarily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289560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4" w:name="page5"/>
    <w:bookmarkEnd w:id="4"/>
    <w:p>
      <w:pPr>
        <w:ind w:left="700" w:right="519"/>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completion of the Phase 3 PHREEDOM and AMPLIFY clinical trials evaluating tenapanor for the control of hyperphosphatemia.</w:t>
      </w:r>
    </w:p>
    <w:p>
      <w:pPr>
        <w:spacing w:after="0" w:line="171" w:lineRule="exact"/>
        <w:rPr>
          <w:sz w:val="20"/>
          <w:szCs w:val="20"/>
          <w:color w:val="auto"/>
        </w:rPr>
      </w:pPr>
    </w:p>
    <w:p>
      <w:pPr>
        <w:ind w:left="700" w:right="79" w:hanging="326"/>
        <w:spacing w:after="0" w:line="280"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G&amp;A Expenses</w:t>
      </w:r>
      <w:r>
        <w:rPr>
          <w:rFonts w:ascii="Arial" w:cs="Arial" w:eastAsia="Arial" w:hAnsi="Arial"/>
          <w:sz w:val="18"/>
          <w:szCs w:val="18"/>
          <w:color w:val="auto"/>
        </w:rPr>
        <w:t>: General and administrative expenses were $7.6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2020, an increase of $0.7 million, or approximately 10 percent, compared to $6.9 million for the three months September 30, 2019. The increase was primarily due to an increase in costs associated with building and staffing our commercial infrastructure and teams as we prepare for the anticipated U.S. launch of tenapanor for the control of serum phosphorus in CKD patients on dialysis.</w:t>
      </w:r>
    </w:p>
    <w:p>
      <w:pPr>
        <w:spacing w:after="0" w:line="156" w:lineRule="exact"/>
        <w:rPr>
          <w:rFonts w:ascii="Arial" w:cs="Arial" w:eastAsia="Arial" w:hAnsi="Arial"/>
          <w:sz w:val="16"/>
          <w:szCs w:val="16"/>
          <w:color w:val="auto"/>
        </w:rPr>
      </w:pPr>
    </w:p>
    <w:p>
      <w:pPr>
        <w:jc w:val="both"/>
        <w:ind w:left="700" w:right="99" w:hanging="326"/>
        <w:spacing w:after="0" w:line="25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Net loss for the quarter ended September 30, 2020 was $18.1 million, or ($0.20) per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 as compared to $23.5 million, or ($0.37) per common share, for the quarter ended September 30, 2019.</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Ardelyx, Inc.</w:t>
      </w:r>
    </w:p>
    <w:p>
      <w:pPr>
        <w:spacing w:after="0" w:line="22" w:lineRule="exact"/>
        <w:rPr>
          <w:sz w:val="20"/>
          <w:szCs w:val="20"/>
          <w:color w:val="auto"/>
        </w:rPr>
      </w:pPr>
    </w:p>
    <w:p>
      <w:pPr>
        <w:ind w:left="60" w:right="99"/>
        <w:spacing w:after="0"/>
        <w:rPr>
          <w:sz w:val="20"/>
          <w:szCs w:val="20"/>
          <w:color w:val="auto"/>
        </w:rPr>
      </w:pPr>
      <w:r>
        <w:rPr>
          <w:rFonts w:ascii="Arial" w:cs="Arial" w:eastAsia="Arial" w:hAnsi="Arial"/>
          <w:sz w:val="19"/>
          <w:szCs w:val="19"/>
          <w:color w:val="auto"/>
        </w:rPr>
        <w:t>Ardelyx is focused on developing innovative first-in-class medicines to enhance the lives of patients with kidney and cardiovascular diseases. Ardelyx is advancing tenapanor, a novel product candidate to control serum phosphorus in adult patients with CKD on dialysis, for which the company’s NDA is currently under review by the FDA, with a PDUFA goal date of April 29, 2021. Ardelyx is also advancing RDX013, a potassium secretagogue program, for the potential treatment of high potassium, or hyperkalemia, a problem among certain patients with kidney and/or heart disease. In addition, Ardelyx received FDA approval of IBSRELA</w:t>
      </w:r>
      <w:r>
        <w:rPr>
          <w:rFonts w:ascii="Arial" w:cs="Arial" w:eastAsia="Arial" w:hAnsi="Arial"/>
          <w:sz w:val="28"/>
          <w:szCs w:val="28"/>
          <w:color w:val="auto"/>
          <w:vertAlign w:val="superscript"/>
        </w:rPr>
        <w:t>®</w:t>
      </w:r>
      <w:r>
        <w:rPr>
          <w:rFonts w:ascii="Arial" w:cs="Arial" w:eastAsia="Arial" w:hAnsi="Arial"/>
          <w:sz w:val="19"/>
          <w:szCs w:val="19"/>
          <w:color w:val="auto"/>
        </w:rPr>
        <w:t xml:space="preserve"> (tenapanor) on September 12, 2019. Ardelyx has established agreements with Kyowa Kirin in Japan, Fosun Pharma in China and Knight Therapeutics in Canada for the development and commercialization of tenapanor in the respective territories.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Forward Looking Statements</w:t>
      </w:r>
    </w:p>
    <w:p>
      <w:pPr>
        <w:spacing w:after="0" w:line="22"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statements regarding the potential for the use of tenapanor as monotherapy and as part of a dual mechanism approach with tenapanor and phosphate binders for the treatment of hyperphosphatemia.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the uncertainties associated with the regulatory approval process and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to be filed with the Securities and Exchange Commission on November 5, 2020, and its future current and periodic reports to be filed with the Securities and Exchange Commission.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Investor and Media Contacts: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Kimia Keshtbod</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kkeshtbod@ardelyx.com</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Sylvia Wheeler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Wheelhouse Life Science Advisors</w:t>
      </w:r>
    </w:p>
    <w:p>
      <w:pPr>
        <w:ind w:left="60"/>
        <w:spacing w:after="0"/>
        <w:rPr>
          <w:sz w:val="20"/>
          <w:szCs w:val="20"/>
          <w:color w:val="auto"/>
        </w:rPr>
      </w:pPr>
      <w:r>
        <w:rPr>
          <w:rFonts w:ascii="Arial" w:cs="Arial" w:eastAsia="Arial" w:hAnsi="Arial"/>
          <w:sz w:val="20"/>
          <w:szCs w:val="20"/>
          <w:color w:val="auto"/>
        </w:rPr>
        <w:t>swheeler@wheelhouselsa.com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Alex Santos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Wheelhouse Life Science Advisors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20"/>
          <w:szCs w:val="20"/>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Ardelyx,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Balance Sheets</w:t>
      </w:r>
    </w:p>
    <w:p>
      <w:pPr>
        <w:jc w:val="center"/>
        <w:ind w:right="19"/>
        <w:spacing w:after="0"/>
        <w:rPr>
          <w:sz w:val="20"/>
          <w:szCs w:val="20"/>
          <w:color w:val="auto"/>
        </w:rPr>
      </w:pPr>
      <w:r>
        <w:rPr>
          <w:rFonts w:ascii="Arial" w:cs="Arial" w:eastAsia="Arial" w:hAnsi="Arial"/>
          <w:sz w:val="20"/>
          <w:szCs w:val="20"/>
          <w:color w:val="auto"/>
        </w:rPr>
        <w:t>(In thousands)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142"/>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(1)</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91,009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181,133</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94,488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66,379</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2,402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49"/>
        </w:trPr>
        <w:tc>
          <w:tcPr>
            <w:tcW w:w="68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198,555</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259,782</w:t>
            </w:r>
          </w:p>
        </w:tc>
      </w:tr>
      <w:tr>
        <w:trPr>
          <w:trHeight w:val="197"/>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3,722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operating lease liability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Loan payable, current portion</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6,667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16"/>
        </w:trPr>
        <w:tc>
          <w:tcPr>
            <w:tcW w:w="6860" w:type="dxa"/>
            <w:vAlign w:val="bottom"/>
          </w:tcPr>
          <w:p>
            <w:pPr>
              <w:ind w:left="400"/>
              <w:spacing w:after="0"/>
              <w:rPr>
                <w:sz w:val="20"/>
                <w:szCs w:val="20"/>
                <w:color w:val="auto"/>
              </w:rPr>
            </w:pPr>
            <w:r>
              <w:rPr>
                <w:rFonts w:ascii="Arial" w:cs="Arial" w:eastAsia="Arial" w:hAnsi="Arial"/>
                <w:sz w:val="18"/>
                <w:szCs w:val="18"/>
                <w:color w:val="auto"/>
              </w:rPr>
              <w:t>Loan payable, net of current portion</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50,681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48,831</w:t>
            </w: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131,340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186,655</w:t>
            </w:r>
          </w:p>
        </w:tc>
      </w:tr>
      <w:tr>
        <w:trPr>
          <w:trHeight w:val="210"/>
        </w:trPr>
        <w:tc>
          <w:tcPr>
            <w:tcW w:w="68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198,555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259,782</w:t>
            </w: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222885</wp:posOffset>
            </wp:positionV>
            <wp:extent cx="1414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0" w:right="31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in the Company’s Annual Report on Form 10-K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597535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5582920</wp:posOffset>
            </wp:positionH>
            <wp:positionV relativeFrom="page">
              <wp:posOffset>431800</wp:posOffset>
            </wp:positionV>
            <wp:extent cx="101981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19810" cy="283210"/>
                    </a:xfrm>
                    <a:prstGeom prst="rect">
                      <a:avLst/>
                    </a:prstGeom>
                    <a:noFill/>
                  </pic:spPr>
                </pic:pic>
              </a:graphicData>
            </a:graphic>
          </wp:anchor>
        </w:drawing>
        <w:t>Ardelyx,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Statements of Operations</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thousands, except share and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1,357</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12,240</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17,580</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46,948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21,810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19,874</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25,102</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68,899</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(3,785)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(23,539)</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(65,437)</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w w:val="93"/>
              </w:rPr>
              <w:t>Shares used in computing net loss per share - basic and</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89,365,798</w:t>
            </w:r>
          </w:p>
        </w:tc>
        <w:tc>
          <w:tcPr>
            <w:tcW w:w="18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62,828,513</w:t>
            </w:r>
          </w:p>
        </w:tc>
        <w:tc>
          <w:tcPr>
            <w:tcW w:w="8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89,109,772</w:t>
            </w:r>
          </w:p>
        </w:tc>
        <w:tc>
          <w:tcPr>
            <w:tcW w:w="160" w:type="dxa"/>
            <w:vAlign w:val="bottom"/>
          </w:tcPr>
          <w:p>
            <w:pPr>
              <w:spacing w:after="0"/>
              <w:rPr>
                <w:sz w:val="17"/>
                <w:szCs w:val="17"/>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5"/>
              </w:rPr>
              <w:t>62,676,591</w:t>
            </w:r>
          </w:p>
        </w:tc>
        <w:tc>
          <w:tcPr>
            <w:tcW w:w="0" w:type="dxa"/>
            <w:vAlign w:val="bottom"/>
          </w:tcPr>
          <w:p>
            <w:pPr>
              <w:spacing w:after="0"/>
              <w:rPr>
                <w:sz w:val="1"/>
                <w:szCs w:val="1"/>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2020-11-05T07:04:12Z</dcterms:created>
  <dcterms:modified xsi:type="dcterms:W3CDTF">2020-11-05T07:04:12Z</dcterms:modified>
</cp:coreProperties>
</file>