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Rosenbaum David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01/06/2015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6"/>
        <w:spacing w:after="0"/>
        <w:rPr>
          <w:sz w:val="20"/>
          <w:szCs w:val="20"/>
          <w:color w:val="auto"/>
        </w:rPr>
      </w:pPr>
      <w:r>
        <w:rPr>
          <w:rFonts w:ascii="Arial" w:cs="Arial" w:eastAsia="Arial" w:hAnsi="Arial"/>
          <w:sz w:val="17"/>
          <w:szCs w:val="17"/>
          <w:color w:val="0000FF"/>
        </w:rPr>
        <w:t>SVP, Drug Development</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23.02</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01/06/2015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12,620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01/06/2025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12,620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12,620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48 successive, equal monthly installments on each monthly anniversary of January 6, 2015, subject to the Reporting Person's continued employment or service relationship with the Issuer on each such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01/08/2015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522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2019-12-08T21:57:41Z</dcterms:created>
  <dcterms:modified xsi:type="dcterms:W3CDTF">2019-12-08T21:57:41Z</dcterms:modified>
</cp:coreProperties>
</file>