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Rosenbaum David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Chief Development Officer</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94555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5"/>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02/22/2021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612</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6.8825</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0"/>
              <w:spacing w:after="0"/>
              <w:rPr>
                <w:sz w:val="20"/>
                <w:szCs w:val="20"/>
                <w:color w:val="auto"/>
              </w:rPr>
            </w:pPr>
            <w:r>
              <w:rPr>
                <w:rFonts w:ascii="Arial" w:cs="Arial" w:eastAsia="Arial" w:hAnsi="Arial"/>
                <w:sz w:val="17"/>
                <w:szCs w:val="17"/>
                <w:color w:val="0000FF"/>
                <w:w w:val="91"/>
              </w:rPr>
              <w:t>165,047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0" w:type="dxa"/>
            <w:vAlign w:val="bottom"/>
            <w:gridSpan w:val="3"/>
            <w:vMerge w:val="restart"/>
          </w:tcPr>
          <w:p>
            <w:pPr>
              <w:ind w:left="840"/>
              <w:spacing w:after="0"/>
              <w:rPr>
                <w:sz w:val="20"/>
                <w:szCs w:val="20"/>
                <w:color w:val="auto"/>
              </w:rPr>
            </w:pPr>
            <w:r>
              <w:rPr>
                <w:rFonts w:ascii="Arial" w:cs="Arial" w:eastAsia="Arial" w:hAnsi="Arial"/>
                <w:sz w:val="17"/>
                <w:szCs w:val="17"/>
                <w:color w:val="0000FF"/>
              </w:rPr>
              <w:t>02/22/2021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ind w:left="260"/>
              <w:spacing w:after="0"/>
              <w:rPr>
                <w:sz w:val="20"/>
                <w:szCs w:val="20"/>
                <w:color w:val="auto"/>
              </w:rPr>
            </w:pPr>
            <w:r>
              <w:rPr>
                <w:rFonts w:ascii="Arial" w:cs="Arial" w:eastAsia="Arial" w:hAnsi="Arial"/>
                <w:sz w:val="17"/>
                <w:szCs w:val="17"/>
                <w:color w:val="0000FF"/>
              </w:rPr>
              <w:t>193</w:t>
            </w:r>
          </w:p>
        </w:tc>
        <w:tc>
          <w:tcPr>
            <w:tcW w:w="440" w:type="dxa"/>
            <w:vAlign w:val="bottom"/>
            <w:vMerge w:val="restart"/>
          </w:tcPr>
          <w:p>
            <w:pPr>
              <w:ind w:left="24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6.8825</w:t>
            </w:r>
          </w:p>
        </w:tc>
        <w:tc>
          <w:tcPr>
            <w:tcW w:w="280" w:type="dxa"/>
            <w:vAlign w:val="bottom"/>
          </w:tcPr>
          <w:p>
            <w:pPr>
              <w:spacing w:after="0"/>
              <w:rPr>
                <w:sz w:val="22"/>
                <w:szCs w:val="22"/>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7"/>
                <w:szCs w:val="17"/>
                <w:color w:val="0000FF"/>
                <w:w w:val="92"/>
              </w:rPr>
              <w:t>29,969</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Wife</w:t>
            </w:r>
            <w:r>
              <w:rPr>
                <w:rFonts w:ascii="Arial" w:cs="Arial" w:eastAsia="Arial" w:hAnsi="Arial"/>
                <w:sz w:val="22"/>
                <w:szCs w:val="22"/>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7"/>
                <w:szCs w:val="17"/>
                <w:color w:val="0000FF"/>
                <w:w w:val="92"/>
              </w:rPr>
              <w:t>77,592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-3584575</wp:posOffset>
            </wp:positionV>
            <wp:extent cx="7031355" cy="3630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6302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the Reporting Person's wife.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David Paul Rosenbaum and Susan Edelstein Rosenbaum, Trustees of the David Paul Rosenbaum Family Trust.</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02/24/2021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131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2021-02-24T15:55:33Z</dcterms:created>
  <dcterms:modified xsi:type="dcterms:W3CDTF">2021-02-24T15:55:33Z</dcterms:modified>
</cp:coreProperties>
</file>