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183515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96520</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82550</wp:posOffset>
            </wp:positionV>
            <wp:extent cx="1431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88265</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ectPr>
          <w:pgSz w:w="11900" w:h="16838" w:orient="portrait"/>
          <w:cols w:equalWidth="0" w:num="1">
            <w:col w:w="9040"/>
          </w:cols>
          <w:pgMar w:left="1420" w:top="376" w:right="1439" w:bottom="1440" w:gutter="0" w:footer="0" w:header="0"/>
        </w:sectPr>
      </w:pPr>
    </w:p>
    <w:p>
      <w:pPr>
        <w:spacing w:after="0" w:line="23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b w:val="1"/>
          <w:bCs w:val="1"/>
          <w:color w:val="auto"/>
        </w:rPr>
        <w:t>001-36485</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26-1303944</w:t>
      </w:r>
    </w:p>
    <w:p>
      <w:pPr>
        <w:spacing w:after="0" w:line="12" w:lineRule="exact"/>
        <w:rPr>
          <w:sz w:val="24"/>
          <w:szCs w:val="24"/>
          <w:color w:val="auto"/>
        </w:rPr>
      </w:pPr>
    </w:p>
    <w:p>
      <w:pPr>
        <w:sectPr>
          <w:pgSz w:w="11900" w:h="16838" w:orient="portrait"/>
          <w:cols w:equalWidth="0" w:num="3">
            <w:col w:w="3220" w:space="720"/>
            <w:col w:w="2140" w:space="720"/>
            <w:col w:w="2240"/>
          </w:cols>
          <w:pgMar w:left="1420" w:top="376" w:right="1439" w:bottom="1440" w:gutter="0" w:footer="0" w:header="0"/>
          <w:type w:val="continuous"/>
        </w:sectPr>
      </w:pPr>
    </w:p>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94" w:lineRule="exact"/>
        <w:rPr>
          <w:sz w:val="24"/>
          <w:szCs w:val="24"/>
          <w:color w:val="auto"/>
        </w:rPr>
      </w:pPr>
    </w:p>
    <w:p>
      <w:pPr>
        <w:sectPr>
          <w:pgSz w:w="11900" w:h="16838" w:orient="portrait"/>
          <w:cols w:equalWidth="0" w:num="3">
            <w:col w:w="3200" w:space="720"/>
            <w:col w:w="1880" w:space="720"/>
            <w:col w:w="2520"/>
          </w:cols>
          <w:pgMar w:left="1420" w:top="376" w:right="14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34175 Ardenwood Blvd., Suite 200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Fremont, CA 94555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9040"/>
          </w:cols>
          <w:pgMar w:left="1420" w:top="376" w:right="1439" w:bottom="1440" w:gutter="0" w:footer="0" w:header="0"/>
          <w:type w:val="continuous"/>
        </w:sectPr>
      </w:pP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88265</wp:posOffset>
            </wp:positionV>
            <wp:extent cx="14319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6"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528320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376" w:right="14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Security Holders.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On June 13, 2018, Ardelyx, Inc. (the “Company”) held its Annual Meeting of Stockholders (the “Annual Meeting”) at the Company’s principal executive offices located at 34175 Ardenwood Blvd., Suite 200 (2nd Floor), Fremont, California 94555. Only stockholders of record at the close of business on April 20, 2018, the record date for the Annual Meeting, were entitled to vote at the Annual Meeting. As of the record date, 47,603,568 shares of the Company’s common stock were outstanding and entitled to vote at the Annual Meeting. At the Annual Meeting, 43,952,888 shares of the Company’s common stock were voted in person or by proxy for the two proposals set forth below, each of which is described in the Company’s Definitive Proxy Statement on Schedule 14A filed with the U.S. Securities and Exchange Commission on April 26, 2018.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Class I director nominees below to the Company’s Board of Directors (the “Board”) to hold office until the 2021 Annual Meeting of Stockholders or until their successors are elected.</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I Director Nominees</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3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Broker 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Votes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Bertrand, Jr., Esq.</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32,172,136</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4,814,123</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6,966,629</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Annalisa Jenkins, MBBS, FRCP</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25,515,353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11,470,906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6,966,629</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35,698,931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-410845</wp:posOffset>
            </wp:positionV>
            <wp:extent cx="448500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85005"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Ratification of Selection of Independent Registered Accounting Firm</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Ernst &amp; Young LLP as the independent registered public accounting firm of the Company for the fiscal year ending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0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6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43,821,510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34,994</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tcPr>
          <w:p>
            <w:pPr>
              <w:spacing w:after="0"/>
              <w:rPr>
                <w:sz w:val="18"/>
                <w:szCs w:val="18"/>
                <w:color w:val="auto"/>
              </w:rPr>
            </w:pPr>
          </w:p>
        </w:tc>
      </w:tr>
      <w:tr>
        <w:trPr>
          <w:trHeight w:val="939"/>
        </w:trPr>
        <w:tc>
          <w:tcPr>
            <w:tcW w:w="9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7" w:right="1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Date: June 14, 2018</w:t>
      </w:r>
      <w:r>
        <w:rPr>
          <w:sz w:val="20"/>
          <w:szCs w:val="20"/>
          <w:color w:val="auto"/>
        </w:rPr>
        <w:tab/>
      </w:r>
      <w:r>
        <w:rPr>
          <w:rFonts w:ascii="Times New Roman" w:cs="Times New Roman" w:eastAsia="Times New Roman" w:hAnsi="Times New Roman"/>
          <w:sz w:val="17"/>
          <w:szCs w:val="17"/>
          <w:color w:val="auto"/>
        </w:rPr>
        <w:t>ARDELYX, INC.</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-127635</wp:posOffset>
            </wp:positionV>
            <wp:extent cx="2641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2019-12-07T13:06:22Z</dcterms:created>
  <dcterms:modified xsi:type="dcterms:W3CDTF">2019-12-07T13:06:22Z</dcterms:modified>
</cp:coreProperties>
</file>